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5D9D" w14:textId="2B9E315A" w:rsidR="002D1C56" w:rsidRDefault="001C6320" w:rsidP="001C6320">
      <w:pPr>
        <w:pStyle w:val="ListParagraph"/>
        <w:numPr>
          <w:ilvl w:val="0"/>
          <w:numId w:val="1"/>
        </w:numPr>
      </w:pPr>
      <w:r w:rsidRPr="001C6320">
        <w:t>A locator is technically correct but occasionally resolves to the wrong element because multiple components appear dynamically; how would you make the locator deterministic?</w:t>
      </w:r>
    </w:p>
    <w:p w14:paraId="1BB544C4" w14:textId="77777777" w:rsidR="00AD1A8B" w:rsidRPr="00AD1A8B" w:rsidRDefault="001C6320" w:rsidP="00AD1A8B">
      <w:r>
        <w:t xml:space="preserve">Ans) </w:t>
      </w:r>
      <w:r w:rsidR="00AD1A8B" w:rsidRPr="00AD1A8B">
        <w:t xml:space="preserve">"If a locator occasionally resolves to the wrong element because multiple components are dynamically rendered, I </w:t>
      </w:r>
      <w:proofErr w:type="gramStart"/>
      <w:r w:rsidR="00AD1A8B" w:rsidRPr="00AD1A8B">
        <w:t>would</w:t>
      </w:r>
      <w:proofErr w:type="gramEnd"/>
      <w:r w:rsidR="00AD1A8B" w:rsidRPr="00AD1A8B">
        <w:t xml:space="preserve"> first inspect why the locator is matching multiple elements. I would prefer a stable and unique locator, such as a data-</w:t>
      </w:r>
      <w:proofErr w:type="spellStart"/>
      <w:r w:rsidR="00AD1A8B" w:rsidRPr="00AD1A8B">
        <w:t>testid</w:t>
      </w:r>
      <w:proofErr w:type="spellEnd"/>
      <w:r w:rsidR="00AD1A8B" w:rsidRPr="00AD1A8B">
        <w:t>, accessible role/name, label, or a unique attribute.</w:t>
      </w:r>
    </w:p>
    <w:p w14:paraId="141BDCF0" w14:textId="77777777" w:rsidR="00AD1A8B" w:rsidRPr="00AD1A8B" w:rsidRDefault="00AD1A8B" w:rsidP="00AD1A8B">
      <w:r w:rsidRPr="00AD1A8B">
        <w:t xml:space="preserve">If the same component exists in multiple sections, I </w:t>
      </w:r>
      <w:proofErr w:type="gramStart"/>
      <w:r w:rsidRPr="00AD1A8B">
        <w:t>would</w:t>
      </w:r>
      <w:proofErr w:type="gramEnd"/>
      <w:r w:rsidRPr="00AD1A8B">
        <w:t xml:space="preserve"> scope the locator to its parent or container and then locate the child element within that scope.</w:t>
      </w:r>
    </w:p>
    <w:p w14:paraId="0BF78C7A" w14:textId="77777777" w:rsidR="00AD1A8B" w:rsidRPr="00AD1A8B" w:rsidRDefault="00AD1A8B" w:rsidP="00AD1A8B">
      <w:r w:rsidRPr="00AD1A8B">
        <w:t xml:space="preserve">I would avoid relying on dynamic classes, indexes, or positional selectors wherever possible. If multiple matching elements are genuinely expected, I would use a meaningful filter or </w:t>
      </w:r>
      <w:proofErr w:type="gramStart"/>
      <w:r w:rsidRPr="00AD1A8B">
        <w:t>nth(</w:t>
      </w:r>
      <w:proofErr w:type="gramEnd"/>
      <w:r w:rsidRPr="00AD1A8B">
        <w:t>) only when the position is deterministic."</w:t>
      </w:r>
    </w:p>
    <w:p w14:paraId="631103DF" w14:textId="71F65A34" w:rsidR="00513997" w:rsidRDefault="00513997" w:rsidP="00513997"/>
    <w:p w14:paraId="3907B776" w14:textId="77777777" w:rsidR="00CA7D19" w:rsidRDefault="00C1390A" w:rsidP="00513997">
      <w:pPr>
        <w:pStyle w:val="ListParagraph"/>
        <w:numPr>
          <w:ilvl w:val="0"/>
          <w:numId w:val="1"/>
        </w:numPr>
      </w:pPr>
      <w:r w:rsidRPr="00C1390A">
        <w:t xml:space="preserve">A Playwright suite contains thousands of tests with significant locator duplication and hundreds of flaky locator failures; how would you redesign the locator architecture and governance model? </w:t>
      </w:r>
    </w:p>
    <w:p w14:paraId="57625031" w14:textId="7815EEB9" w:rsidR="00513997" w:rsidRPr="00513997" w:rsidRDefault="00513997" w:rsidP="00CA7D19">
      <w:pPr>
        <w:ind w:left="360"/>
      </w:pPr>
      <w:r>
        <w:t xml:space="preserve">Ans) </w:t>
      </w:r>
      <w:r w:rsidRPr="00513997">
        <w:t>"For a large suite with thousands of tests and duplicated or flaky locators, I would centralize and standardize the locator strategy rather than allowing every test to define its own selectors.</w:t>
      </w:r>
    </w:p>
    <w:p w14:paraId="71AB53EB" w14:textId="77777777" w:rsidR="00513997" w:rsidRPr="00513997" w:rsidRDefault="00513997" w:rsidP="00513997">
      <w:r w:rsidRPr="00513997">
        <w:t xml:space="preserve">First, I would establish a locator hierarchy: prefer stable user-facing locators such as </w:t>
      </w:r>
      <w:proofErr w:type="spellStart"/>
      <w:r w:rsidRPr="00513997">
        <w:t>getByRole</w:t>
      </w:r>
      <w:proofErr w:type="spellEnd"/>
      <w:r w:rsidRPr="00513997">
        <w:t xml:space="preserve">, </w:t>
      </w:r>
      <w:proofErr w:type="spellStart"/>
      <w:r w:rsidRPr="00513997">
        <w:t>getByLabel</w:t>
      </w:r>
      <w:proofErr w:type="spellEnd"/>
      <w:r w:rsidRPr="00513997">
        <w:t xml:space="preserve">, and </w:t>
      </w:r>
      <w:proofErr w:type="spellStart"/>
      <w:r w:rsidRPr="00513997">
        <w:t>getByTestId</w:t>
      </w:r>
      <w:proofErr w:type="spellEnd"/>
      <w:r w:rsidRPr="00513997">
        <w:t>, followed by stable CSS attributes where appropriate. I would avoid brittle XPath, dynamic classes, and positional selectors unless there is no better option.</w:t>
      </w:r>
    </w:p>
    <w:p w14:paraId="54BF62B2" w14:textId="77777777" w:rsidR="00513997" w:rsidRPr="00513997" w:rsidRDefault="00513997" w:rsidP="00513997">
      <w:r w:rsidRPr="00513997">
        <w:t>I would keep locators close to the component or page they belong to, using Page Objects or reusable component objects. Common components such as headers, menus, tables, dialogs, and navigation would have their own reusable locator definitions.</w:t>
      </w:r>
    </w:p>
    <w:p w14:paraId="4D3A181C" w14:textId="77777777" w:rsidR="00513997" w:rsidRPr="00513997" w:rsidRDefault="00513997" w:rsidP="00513997">
      <w:r w:rsidRPr="00513997">
        <w:t>I would then introduce governance: locator naming conventions, rules for approved selector types, code-review checks, and a policy that test cases should not contain duplicated raw selectors unnecessarily.</w:t>
      </w:r>
    </w:p>
    <w:p w14:paraId="48BBD505" w14:textId="77777777" w:rsidR="00513997" w:rsidRPr="00513997" w:rsidRDefault="00513997" w:rsidP="00513997">
      <w:r w:rsidRPr="00513997">
        <w:t xml:space="preserve">For the existing flaky locators, I would </w:t>
      </w:r>
      <w:proofErr w:type="spellStart"/>
      <w:r w:rsidRPr="00513997">
        <w:t>analyze</w:t>
      </w:r>
      <w:proofErr w:type="spellEnd"/>
      <w:r w:rsidRPr="00513997">
        <w:t xml:space="preserve"> failure patterns, identify duplicate or unstable selectors, replace them with deterministic locators, and use Playwright's strict locator </w:t>
      </w:r>
      <w:proofErr w:type="spellStart"/>
      <w:r w:rsidRPr="00513997">
        <w:t>behavior</w:t>
      </w:r>
      <w:proofErr w:type="spellEnd"/>
      <w:r w:rsidRPr="00513997">
        <w:t xml:space="preserve"> to detect ambiguity.</w:t>
      </w:r>
    </w:p>
    <w:p w14:paraId="68E7FB67" w14:textId="77777777" w:rsidR="00513997" w:rsidRPr="00513997" w:rsidRDefault="00513997" w:rsidP="00513997">
      <w:r w:rsidRPr="00513997">
        <w:t>Finally, I would work with developers to introduce stable test IDs where semantic locators are not sufficient. This gives us a maintainable locator contract between the application and automation framework."</w:t>
      </w:r>
    </w:p>
    <w:p w14:paraId="69865FA4" w14:textId="7A7E9C7C" w:rsidR="00513997" w:rsidRDefault="00FB0771" w:rsidP="00FB0771">
      <w:pPr>
        <w:pStyle w:val="ListParagraph"/>
        <w:numPr>
          <w:ilvl w:val="0"/>
          <w:numId w:val="1"/>
        </w:numPr>
      </w:pPr>
      <w:r w:rsidRPr="00FB0771">
        <w:lastRenderedPageBreak/>
        <w:t>How can locator strategy be used to improve both automation reliability and accessibility coverage?</w:t>
      </w:r>
    </w:p>
    <w:p w14:paraId="5341871C" w14:textId="77777777" w:rsidR="008B511C" w:rsidRPr="008B511C" w:rsidRDefault="00FB0771" w:rsidP="008B511C">
      <w:r>
        <w:t xml:space="preserve">Ans) </w:t>
      </w:r>
      <w:r w:rsidR="008B511C" w:rsidRPr="008B511C">
        <w:t xml:space="preserve">"I can improve both automation reliability and accessibility coverage by prioritizing user-facing and semantic locators such as </w:t>
      </w:r>
      <w:proofErr w:type="spellStart"/>
      <w:proofErr w:type="gramStart"/>
      <w:r w:rsidR="008B511C" w:rsidRPr="008B511C">
        <w:t>getByRole</w:t>
      </w:r>
      <w:proofErr w:type="spellEnd"/>
      <w:r w:rsidR="008B511C" w:rsidRPr="008B511C">
        <w:t>(</w:t>
      </w:r>
      <w:proofErr w:type="gramEnd"/>
      <w:r w:rsidR="008B511C" w:rsidRPr="008B511C">
        <w:t xml:space="preserve">), </w:t>
      </w:r>
      <w:proofErr w:type="spellStart"/>
      <w:proofErr w:type="gramStart"/>
      <w:r w:rsidR="008B511C" w:rsidRPr="008B511C">
        <w:t>getByLabel</w:t>
      </w:r>
      <w:proofErr w:type="spellEnd"/>
      <w:r w:rsidR="008B511C" w:rsidRPr="008B511C">
        <w:t>(</w:t>
      </w:r>
      <w:proofErr w:type="gramEnd"/>
      <w:r w:rsidR="008B511C" w:rsidRPr="008B511C">
        <w:t xml:space="preserve">), and </w:t>
      </w:r>
      <w:proofErr w:type="spellStart"/>
      <w:proofErr w:type="gramStart"/>
      <w:r w:rsidR="008B511C" w:rsidRPr="008B511C">
        <w:t>getByText</w:t>
      </w:r>
      <w:proofErr w:type="spellEnd"/>
      <w:r w:rsidR="008B511C" w:rsidRPr="008B511C">
        <w:t>(</w:t>
      </w:r>
      <w:proofErr w:type="gramEnd"/>
      <w:r w:rsidR="008B511C" w:rsidRPr="008B511C">
        <w:t>) instead of relying heavily on CSS classes or XPath.</w:t>
      </w:r>
    </w:p>
    <w:p w14:paraId="13E926F9" w14:textId="77777777" w:rsidR="008B511C" w:rsidRPr="008B511C" w:rsidRDefault="008B511C" w:rsidP="008B511C">
      <w:r w:rsidRPr="008B511C">
        <w:t xml:space="preserve">For example, using </w:t>
      </w:r>
      <w:proofErr w:type="spellStart"/>
      <w:proofErr w:type="gramStart"/>
      <w:r w:rsidRPr="008B511C">
        <w:t>getByRole</w:t>
      </w:r>
      <w:proofErr w:type="spellEnd"/>
      <w:r w:rsidRPr="008B511C">
        <w:t>(</w:t>
      </w:r>
      <w:proofErr w:type="gramEnd"/>
      <w:r w:rsidRPr="008B511C">
        <w:t xml:space="preserve">'button', </w:t>
      </w:r>
      <w:proofErr w:type="gramStart"/>
      <w:r w:rsidRPr="008B511C">
        <w:t>{ name</w:t>
      </w:r>
      <w:proofErr w:type="gramEnd"/>
      <w:r w:rsidRPr="008B511C">
        <w:t>: 'Submit</w:t>
      </w:r>
      <w:proofErr w:type="gramStart"/>
      <w:r w:rsidRPr="008B511C">
        <w:t>' }</w:t>
      </w:r>
      <w:proofErr w:type="gramEnd"/>
      <w:r w:rsidRPr="008B511C">
        <w:t>) means the test is locating the button based on how an end user, including an assistive technology user, would identify it.</w:t>
      </w:r>
    </w:p>
    <w:p w14:paraId="7288E436" w14:textId="77777777" w:rsidR="008B511C" w:rsidRPr="008B511C" w:rsidRDefault="008B511C" w:rsidP="008B511C">
      <w:r w:rsidRPr="008B511C">
        <w:t>This makes the locator more resilient to implementation changes such as CSS or DOM restructuring, while also implicitly validating that important elements have meaningful roles and accessible names.</w:t>
      </w:r>
    </w:p>
    <w:p w14:paraId="08A7EFF2" w14:textId="77777777" w:rsidR="008B511C" w:rsidRDefault="008B511C" w:rsidP="008B511C">
      <w:r w:rsidRPr="008B511C">
        <w:t>If a role-based locator cannot identify an element because the application doesn't expose the correct semantics, that can highlight an accessibility issue. For cases where semantic locators aren't sufficient, I can use stable data-</w:t>
      </w:r>
      <w:proofErr w:type="spellStart"/>
      <w:r w:rsidRPr="008B511C">
        <w:t>testid</w:t>
      </w:r>
      <w:proofErr w:type="spellEnd"/>
      <w:r w:rsidRPr="008B511C">
        <w:t xml:space="preserve"> attributes.</w:t>
      </w:r>
    </w:p>
    <w:p w14:paraId="602C35FB" w14:textId="17825DD4" w:rsidR="008B511C" w:rsidRDefault="000B1193" w:rsidP="008B511C">
      <w:pPr>
        <w:pStyle w:val="ListParagraph"/>
        <w:numPr>
          <w:ilvl w:val="0"/>
          <w:numId w:val="1"/>
        </w:numPr>
      </w:pPr>
      <w:r w:rsidRPr="000B1193">
        <w:t>How do you structure Playwright automation across multiple teams and repositories?</w:t>
      </w:r>
    </w:p>
    <w:p w14:paraId="5AD56043" w14:textId="77777777" w:rsidR="00936F29" w:rsidRPr="00936F29" w:rsidRDefault="007625EB" w:rsidP="00936F29">
      <w:r>
        <w:t xml:space="preserve">Ans) </w:t>
      </w:r>
      <w:r w:rsidR="00936F29" w:rsidRPr="00936F29">
        <w:t>For multiple teams and repositories, I would establish a common Playwright automation architecture and governance model while allowing each team to maintain ownership of its application-specific tests.</w:t>
      </w:r>
    </w:p>
    <w:p w14:paraId="46DAE2F9" w14:textId="77777777" w:rsidR="00936F29" w:rsidRPr="00936F29" w:rsidRDefault="00936F29" w:rsidP="00936F29">
      <w:r w:rsidRPr="00936F29">
        <w:t>I would define common standards for project structure, locator strategy, configuration, test data, reporting, logging, naming conventions, and CI/CD.</w:t>
      </w:r>
    </w:p>
    <w:p w14:paraId="5642553B" w14:textId="77777777" w:rsidR="00936F29" w:rsidRPr="00936F29" w:rsidRDefault="00936F29" w:rsidP="00936F29">
      <w:r w:rsidRPr="00936F29">
        <w:t>Common functionality such as authentication, browser setup, API utilities, reporting, and reusable UI components can be maintained as shared libraries or packages and versioned independently.</w:t>
      </w:r>
    </w:p>
    <w:p w14:paraId="49CC8C0E" w14:textId="77777777" w:rsidR="00936F29" w:rsidRPr="00936F29" w:rsidRDefault="00936F29" w:rsidP="00936F29">
      <w:r w:rsidRPr="00936F29">
        <w:t>Each application repository would then contain its own page/component objects and tests, consuming the approved shared utilities.</w:t>
      </w:r>
    </w:p>
    <w:p w14:paraId="4725C3D6" w14:textId="77777777" w:rsidR="00936F29" w:rsidRPr="00936F29" w:rsidRDefault="00936F29" w:rsidP="00936F29">
      <w:r w:rsidRPr="00936F29">
        <w:t>I would also standardize CI pipelines, tagging, parallel execution, retry policies, trace collection, and reporting so that results are consistent across teams.</w:t>
      </w:r>
    </w:p>
    <w:p w14:paraId="0ED6BEEA" w14:textId="77777777" w:rsidR="00936F29" w:rsidRPr="00936F29" w:rsidRDefault="00936F29" w:rsidP="00936F29">
      <w:r w:rsidRPr="00936F29">
        <w:t>Finally, I would establish governance through code reviews, documentation, templates, and automated quality checks, while avoiding excessive centralization that could become a bottleneck."</w:t>
      </w:r>
    </w:p>
    <w:p w14:paraId="5AD2FE81" w14:textId="5F3E41E3" w:rsidR="007625EB" w:rsidRDefault="006206AF" w:rsidP="006206AF">
      <w:pPr>
        <w:pStyle w:val="ListParagraph"/>
        <w:numPr>
          <w:ilvl w:val="0"/>
          <w:numId w:val="1"/>
        </w:numPr>
      </w:pPr>
      <w:r w:rsidRPr="006206AF">
        <w:t>How do you handle cross-browser inconsistencies?</w:t>
      </w:r>
    </w:p>
    <w:p w14:paraId="1E738299" w14:textId="77777777" w:rsidR="0031407B" w:rsidRPr="0031407B" w:rsidRDefault="006206AF" w:rsidP="0031407B">
      <w:r>
        <w:t xml:space="preserve">Ans) </w:t>
      </w:r>
      <w:r w:rsidR="0031407B" w:rsidRPr="0031407B">
        <w:t>I handle cross-browser inconsistencies by running the relevant test suite across Chromium, Firefox, and WebKit and identifying whether the issue is related to the application, browser, environment, or automation.</w:t>
      </w:r>
    </w:p>
    <w:p w14:paraId="5065E5FF" w14:textId="77777777" w:rsidR="0031407B" w:rsidRPr="0031407B" w:rsidRDefault="0031407B" w:rsidP="0031407B">
      <w:r w:rsidRPr="0031407B">
        <w:lastRenderedPageBreak/>
        <w:t>I use Playwright's browser projects to configure different browsers with consistent test configuration. I prefer web-first assertions and reliable locators rather than browser-specific waits or selectors.</w:t>
      </w:r>
    </w:p>
    <w:p w14:paraId="70354D3D" w14:textId="77777777" w:rsidR="0031407B" w:rsidRPr="0031407B" w:rsidRDefault="0031407B" w:rsidP="0031407B">
      <w:r w:rsidRPr="0031407B">
        <w:t>If a test fails only in one browser, I reproduce it specifically in that browser and use Playwright's trace, screenshots, video, console logs, and network information to identify the cause.</w:t>
      </w:r>
    </w:p>
    <w:p w14:paraId="47E102B0" w14:textId="77777777" w:rsidR="0031407B" w:rsidRPr="0031407B" w:rsidRDefault="0031407B" w:rsidP="0031407B">
      <w:r w:rsidRPr="0031407B">
        <w:t>I also verify browser versions, Playwright version, OS, viewport, permissions, cookies, and other environment differences between local and CI.</w:t>
      </w:r>
    </w:p>
    <w:p w14:paraId="1E30F893" w14:textId="77777777" w:rsidR="0031407B" w:rsidRPr="0031407B" w:rsidRDefault="0031407B" w:rsidP="0031407B">
      <w:r w:rsidRPr="0031407B">
        <w:t xml:space="preserve">If the application genuinely behaves differently across browsers, I document the expected </w:t>
      </w:r>
      <w:proofErr w:type="spellStart"/>
      <w:r w:rsidRPr="0031407B">
        <w:t>behavior</w:t>
      </w:r>
      <w:proofErr w:type="spellEnd"/>
      <w:r w:rsidRPr="0031407B">
        <w:t xml:space="preserve"> and create browser-specific handling only where required, rather than adding unnecessary browser-specific code.</w:t>
      </w:r>
    </w:p>
    <w:p w14:paraId="0DE2BBEC" w14:textId="57BCE2B0" w:rsidR="006206AF" w:rsidRPr="008B511C" w:rsidRDefault="006206AF" w:rsidP="006206AF"/>
    <w:p w14:paraId="50F0F4E6" w14:textId="2DACC200" w:rsidR="00FB0771" w:rsidRDefault="00FB0771" w:rsidP="00FB0771"/>
    <w:sectPr w:rsidR="00FB0771">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EA4B" w14:textId="77777777" w:rsidR="00FC7BAA" w:rsidRDefault="00FC7BAA" w:rsidP="001C6320">
      <w:pPr>
        <w:spacing w:after="0" w:line="240" w:lineRule="auto"/>
      </w:pPr>
      <w:r>
        <w:separator/>
      </w:r>
    </w:p>
  </w:endnote>
  <w:endnote w:type="continuationSeparator" w:id="0">
    <w:p w14:paraId="15A6FDE7" w14:textId="77777777" w:rsidR="00FC7BAA" w:rsidRDefault="00FC7BAA" w:rsidP="001C6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37A2" w14:textId="77777777" w:rsidR="00FC7BAA" w:rsidRDefault="00FC7BAA" w:rsidP="001C6320">
      <w:pPr>
        <w:spacing w:after="0" w:line="240" w:lineRule="auto"/>
      </w:pPr>
      <w:r>
        <w:separator/>
      </w:r>
    </w:p>
  </w:footnote>
  <w:footnote w:type="continuationSeparator" w:id="0">
    <w:p w14:paraId="08E2E69B" w14:textId="77777777" w:rsidR="00FC7BAA" w:rsidRDefault="00FC7BAA" w:rsidP="001C6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7A97" w14:textId="0FE76730" w:rsidR="001C6320" w:rsidRDefault="001C6320">
    <w:pPr>
      <w:pStyle w:val="Header"/>
    </w:pPr>
    <w:r>
      <w:rPr>
        <w:noProof/>
      </w:rPr>
      <mc:AlternateContent>
        <mc:Choice Requires="wps">
          <w:drawing>
            <wp:anchor distT="0" distB="0" distL="0" distR="0" simplePos="0" relativeHeight="251658241" behindDoc="0" locked="0" layoutInCell="1" allowOverlap="1" wp14:anchorId="3B6E5D53" wp14:editId="14946BEA">
              <wp:simplePos x="635" y="635"/>
              <wp:positionH relativeFrom="page">
                <wp:align>left</wp:align>
              </wp:positionH>
              <wp:positionV relativeFrom="page">
                <wp:align>top</wp:align>
              </wp:positionV>
              <wp:extent cx="1581150" cy="332740"/>
              <wp:effectExtent l="0" t="0" r="0" b="10160"/>
              <wp:wrapNone/>
              <wp:docPr id="317769859"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51FDAF77" w14:textId="0C4149CA" w:rsidR="001C6320" w:rsidRPr="001C6320" w:rsidRDefault="001C6320" w:rsidP="001C6320">
                          <w:pPr>
                            <w:spacing w:after="0"/>
                            <w:rPr>
                              <w:rFonts w:ascii="Tahoma" w:eastAsia="Tahoma" w:hAnsi="Tahoma" w:cs="Tahoma"/>
                              <w:noProof/>
                              <w:color w:val="CF022B"/>
                              <w:sz w:val="16"/>
                              <w:szCs w:val="16"/>
                            </w:rPr>
                          </w:pPr>
                          <w:r w:rsidRPr="001C632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6E5D53"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fill o:detectmouseclick="t"/>
              <v:textbox style="mso-fit-shape-to-text:t" inset="20pt,15pt,0,0">
                <w:txbxContent>
                  <w:p w14:paraId="51FDAF77" w14:textId="0C4149CA" w:rsidR="001C6320" w:rsidRPr="001C6320" w:rsidRDefault="001C6320" w:rsidP="001C6320">
                    <w:pPr>
                      <w:spacing w:after="0"/>
                      <w:rPr>
                        <w:rFonts w:ascii="Tahoma" w:eastAsia="Tahoma" w:hAnsi="Tahoma" w:cs="Tahoma"/>
                        <w:noProof/>
                        <w:color w:val="CF022B"/>
                        <w:sz w:val="16"/>
                        <w:szCs w:val="16"/>
                      </w:rPr>
                    </w:pPr>
                    <w:r w:rsidRPr="001C632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6F17" w14:textId="2676F6EC" w:rsidR="001C6320" w:rsidRDefault="001C6320">
    <w:pPr>
      <w:pStyle w:val="Header"/>
    </w:pPr>
    <w:r>
      <w:rPr>
        <w:noProof/>
      </w:rPr>
      <mc:AlternateContent>
        <mc:Choice Requires="wps">
          <w:drawing>
            <wp:anchor distT="0" distB="0" distL="0" distR="0" simplePos="0" relativeHeight="251658242" behindDoc="0" locked="0" layoutInCell="1" allowOverlap="1" wp14:anchorId="3CEB8C6F" wp14:editId="00AFFEA9">
              <wp:simplePos x="635" y="635"/>
              <wp:positionH relativeFrom="page">
                <wp:align>left</wp:align>
              </wp:positionH>
              <wp:positionV relativeFrom="page">
                <wp:align>top</wp:align>
              </wp:positionV>
              <wp:extent cx="1581150" cy="332740"/>
              <wp:effectExtent l="0" t="0" r="0" b="10160"/>
              <wp:wrapNone/>
              <wp:docPr id="2056874890"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2D6CC6BC" w14:textId="4110EDB2" w:rsidR="001C6320" w:rsidRPr="001C6320" w:rsidRDefault="001C6320" w:rsidP="001C6320">
                          <w:pPr>
                            <w:spacing w:after="0"/>
                            <w:rPr>
                              <w:rFonts w:ascii="Tahoma" w:eastAsia="Tahoma" w:hAnsi="Tahoma" w:cs="Tahoma"/>
                              <w:noProof/>
                              <w:color w:val="CF022B"/>
                              <w:sz w:val="16"/>
                              <w:szCs w:val="16"/>
                            </w:rPr>
                          </w:pPr>
                          <w:r w:rsidRPr="001C632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EB8C6F"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fill o:detectmouseclick="t"/>
              <v:textbox style="mso-fit-shape-to-text:t" inset="20pt,15pt,0,0">
                <w:txbxContent>
                  <w:p w14:paraId="2D6CC6BC" w14:textId="4110EDB2" w:rsidR="001C6320" w:rsidRPr="001C6320" w:rsidRDefault="001C6320" w:rsidP="001C6320">
                    <w:pPr>
                      <w:spacing w:after="0"/>
                      <w:rPr>
                        <w:rFonts w:ascii="Tahoma" w:eastAsia="Tahoma" w:hAnsi="Tahoma" w:cs="Tahoma"/>
                        <w:noProof/>
                        <w:color w:val="CF022B"/>
                        <w:sz w:val="16"/>
                        <w:szCs w:val="16"/>
                      </w:rPr>
                    </w:pPr>
                    <w:r w:rsidRPr="001C632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FC7A" w14:textId="562F229F" w:rsidR="001C6320" w:rsidRDefault="001C6320">
    <w:pPr>
      <w:pStyle w:val="Header"/>
    </w:pPr>
    <w:r>
      <w:rPr>
        <w:noProof/>
      </w:rPr>
      <mc:AlternateContent>
        <mc:Choice Requires="wps">
          <w:drawing>
            <wp:anchor distT="0" distB="0" distL="0" distR="0" simplePos="0" relativeHeight="251658240" behindDoc="0" locked="0" layoutInCell="1" allowOverlap="1" wp14:anchorId="69501ADB" wp14:editId="74BEB1BB">
              <wp:simplePos x="635" y="635"/>
              <wp:positionH relativeFrom="page">
                <wp:align>left</wp:align>
              </wp:positionH>
              <wp:positionV relativeFrom="page">
                <wp:align>top</wp:align>
              </wp:positionV>
              <wp:extent cx="1581150" cy="332740"/>
              <wp:effectExtent l="0" t="0" r="0" b="10160"/>
              <wp:wrapNone/>
              <wp:docPr id="458745281"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363835B8" w14:textId="2571AF55" w:rsidR="001C6320" w:rsidRPr="001C6320" w:rsidRDefault="001C6320" w:rsidP="001C6320">
                          <w:pPr>
                            <w:spacing w:after="0"/>
                            <w:rPr>
                              <w:rFonts w:ascii="Tahoma" w:eastAsia="Tahoma" w:hAnsi="Tahoma" w:cs="Tahoma"/>
                              <w:noProof/>
                              <w:color w:val="CF022B"/>
                              <w:sz w:val="16"/>
                              <w:szCs w:val="16"/>
                            </w:rPr>
                          </w:pPr>
                          <w:r w:rsidRPr="001C632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9501ADB"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fill o:detectmouseclick="t"/>
              <v:textbox style="mso-fit-shape-to-text:t" inset="20pt,15pt,0,0">
                <w:txbxContent>
                  <w:p w14:paraId="363835B8" w14:textId="2571AF55" w:rsidR="001C6320" w:rsidRPr="001C6320" w:rsidRDefault="001C6320" w:rsidP="001C6320">
                    <w:pPr>
                      <w:spacing w:after="0"/>
                      <w:rPr>
                        <w:rFonts w:ascii="Tahoma" w:eastAsia="Tahoma" w:hAnsi="Tahoma" w:cs="Tahoma"/>
                        <w:noProof/>
                        <w:color w:val="CF022B"/>
                        <w:sz w:val="16"/>
                        <w:szCs w:val="16"/>
                      </w:rPr>
                    </w:pPr>
                    <w:r w:rsidRPr="001C632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27B"/>
    <w:multiLevelType w:val="hybridMultilevel"/>
    <w:tmpl w:val="997800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923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30"/>
    <w:rsid w:val="000B1193"/>
    <w:rsid w:val="00135A30"/>
    <w:rsid w:val="001C6320"/>
    <w:rsid w:val="002D1C56"/>
    <w:rsid w:val="0031407B"/>
    <w:rsid w:val="00316C7A"/>
    <w:rsid w:val="004F18A2"/>
    <w:rsid w:val="00512C5D"/>
    <w:rsid w:val="00513997"/>
    <w:rsid w:val="006206AF"/>
    <w:rsid w:val="007625EB"/>
    <w:rsid w:val="007E3B4B"/>
    <w:rsid w:val="008B511C"/>
    <w:rsid w:val="00936F29"/>
    <w:rsid w:val="00991C51"/>
    <w:rsid w:val="00AD1A8B"/>
    <w:rsid w:val="00C1390A"/>
    <w:rsid w:val="00CA7D19"/>
    <w:rsid w:val="00FB0771"/>
    <w:rsid w:val="00FC7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1E8"/>
  <w15:chartTrackingRefBased/>
  <w15:docId w15:val="{9B18861E-7AE2-4C58-A003-01EE6B52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A30"/>
    <w:rPr>
      <w:rFonts w:eastAsiaTheme="majorEastAsia" w:cstheme="majorBidi"/>
      <w:color w:val="272727" w:themeColor="text1" w:themeTint="D8"/>
    </w:rPr>
  </w:style>
  <w:style w:type="paragraph" w:styleId="Title">
    <w:name w:val="Title"/>
    <w:basedOn w:val="Normal"/>
    <w:next w:val="Normal"/>
    <w:link w:val="TitleChar"/>
    <w:uiPriority w:val="10"/>
    <w:qFormat/>
    <w:rsid w:val="00135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A30"/>
    <w:pPr>
      <w:spacing w:before="160"/>
      <w:jc w:val="center"/>
    </w:pPr>
    <w:rPr>
      <w:i/>
      <w:iCs/>
      <w:color w:val="404040" w:themeColor="text1" w:themeTint="BF"/>
    </w:rPr>
  </w:style>
  <w:style w:type="character" w:customStyle="1" w:styleId="QuoteChar">
    <w:name w:val="Quote Char"/>
    <w:basedOn w:val="DefaultParagraphFont"/>
    <w:link w:val="Quote"/>
    <w:uiPriority w:val="29"/>
    <w:rsid w:val="00135A30"/>
    <w:rPr>
      <w:i/>
      <w:iCs/>
      <w:color w:val="404040" w:themeColor="text1" w:themeTint="BF"/>
    </w:rPr>
  </w:style>
  <w:style w:type="paragraph" w:styleId="ListParagraph">
    <w:name w:val="List Paragraph"/>
    <w:basedOn w:val="Normal"/>
    <w:uiPriority w:val="34"/>
    <w:qFormat/>
    <w:rsid w:val="00135A30"/>
    <w:pPr>
      <w:ind w:left="720"/>
      <w:contextualSpacing/>
    </w:pPr>
  </w:style>
  <w:style w:type="character" w:styleId="IntenseEmphasis">
    <w:name w:val="Intense Emphasis"/>
    <w:basedOn w:val="DefaultParagraphFont"/>
    <w:uiPriority w:val="21"/>
    <w:qFormat/>
    <w:rsid w:val="00135A30"/>
    <w:rPr>
      <w:i/>
      <w:iCs/>
      <w:color w:val="0F4761" w:themeColor="accent1" w:themeShade="BF"/>
    </w:rPr>
  </w:style>
  <w:style w:type="paragraph" w:styleId="IntenseQuote">
    <w:name w:val="Intense Quote"/>
    <w:basedOn w:val="Normal"/>
    <w:next w:val="Normal"/>
    <w:link w:val="IntenseQuoteChar"/>
    <w:uiPriority w:val="30"/>
    <w:qFormat/>
    <w:rsid w:val="00135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A30"/>
    <w:rPr>
      <w:i/>
      <w:iCs/>
      <w:color w:val="0F4761" w:themeColor="accent1" w:themeShade="BF"/>
    </w:rPr>
  </w:style>
  <w:style w:type="character" w:styleId="IntenseReference">
    <w:name w:val="Intense Reference"/>
    <w:basedOn w:val="DefaultParagraphFont"/>
    <w:uiPriority w:val="32"/>
    <w:qFormat/>
    <w:rsid w:val="00135A30"/>
    <w:rPr>
      <w:b/>
      <w:bCs/>
      <w:smallCaps/>
      <w:color w:val="0F4761" w:themeColor="accent1" w:themeShade="BF"/>
      <w:spacing w:val="5"/>
    </w:rPr>
  </w:style>
  <w:style w:type="paragraph" w:styleId="Header">
    <w:name w:val="header"/>
    <w:basedOn w:val="Normal"/>
    <w:link w:val="HeaderChar"/>
    <w:uiPriority w:val="99"/>
    <w:unhideWhenUsed/>
    <w:rsid w:val="001C6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6320"/>
  </w:style>
  <w:style w:type="paragraph" w:styleId="Footer">
    <w:name w:val="footer"/>
    <w:basedOn w:val="Normal"/>
    <w:link w:val="FooterChar"/>
    <w:uiPriority w:val="99"/>
    <w:semiHidden/>
    <w:unhideWhenUsed/>
    <w:rsid w:val="00512C5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12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9ffa58-9d1c-42f8-b0e6-79cea428c945}" enabled="1" method="Privilege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3</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15</cp:revision>
  <dcterms:created xsi:type="dcterms:W3CDTF">2026-09-25T11:23:00Z</dcterms:created>
  <dcterms:modified xsi:type="dcterms:W3CDTF">2026-09-25T11:48:00Z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1b57e5c1,12f0c883,7a996b8a</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