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Default="003B3F79" w:rsidP="005179C8">
      <w:pPr>
        <w:jc w:val="center"/>
        <w:rPr>
          <w:b/>
          <w:bCs/>
        </w:rPr>
      </w:pPr>
      <w:r w:rsidRPr="00B07887">
        <w:rPr>
          <w:b/>
          <w:bCs/>
        </w:rPr>
        <w:t>STATE OF NEVADA</w:t>
      </w:r>
    </w:p>
    <w:p w14:paraId="0CEB17C8" w14:textId="77777777" w:rsidR="00B40831" w:rsidRPr="00B07887" w:rsidRDefault="00B40831" w:rsidP="005179C8">
      <w:pPr>
        <w:jc w:val="center"/>
        <w:rPr>
          <w:b/>
          <w:bCs/>
        </w:rPr>
      </w:pPr>
    </w:p>
    <w:p w14:paraId="00C40865" w14:textId="7B258A39" w:rsidR="003B3F79" w:rsidRDefault="00B40831" w:rsidP="005179C8">
      <w:pPr>
        <w:jc w:val="center"/>
        <w:rPr>
          <w:b/>
          <w:bCs/>
        </w:rPr>
      </w:pPr>
      <w:r>
        <w:rPr>
          <w:b/>
          <w:bCs/>
        </w:rPr>
        <w:t>SECRETARY OF STATE</w:t>
      </w:r>
    </w:p>
    <w:p w14:paraId="02643230" w14:textId="77777777" w:rsidR="00B40831" w:rsidRPr="00B07887" w:rsidRDefault="00B40831" w:rsidP="005179C8">
      <w:pPr>
        <w:jc w:val="center"/>
        <w:rPr>
          <w:b/>
          <w:bCs/>
        </w:rPr>
      </w:pPr>
    </w:p>
    <w:p w14:paraId="7B82C176" w14:textId="145306E1" w:rsidR="003B3F79" w:rsidRPr="00B07887" w:rsidRDefault="00B40831" w:rsidP="005179C8">
      <w:pPr>
        <w:jc w:val="center"/>
        <w:rPr>
          <w:b/>
          <w:bCs/>
        </w:rPr>
      </w:pPr>
      <w:r>
        <w:rPr>
          <w:b/>
          <w:bCs/>
        </w:rPr>
        <w:t>101 N Carson St</w:t>
      </w:r>
      <w:r w:rsidR="003B3F79" w:rsidRPr="00B07887">
        <w:rPr>
          <w:b/>
          <w:bCs/>
        </w:rPr>
        <w:t>, Suite 3 │ Carson City, NV 89701</w:t>
      </w:r>
    </w:p>
    <w:p w14:paraId="6244C39A" w14:textId="6C3D72F5"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w:t>
      </w:r>
      <w:r w:rsidR="00B40831">
        <w:rPr>
          <w:b/>
          <w:bCs/>
        </w:rPr>
        <w:t>5708</w:t>
      </w:r>
      <w:r w:rsidRPr="00B07887">
        <w:rPr>
          <w:b/>
          <w:bCs/>
        </w:rPr>
        <w:t xml:space="preserve"> │ Fax:</w:t>
      </w:r>
      <w:r w:rsidR="00976775" w:rsidRPr="00B07887">
        <w:rPr>
          <w:b/>
          <w:bCs/>
        </w:rPr>
        <w:t xml:space="preserve"> </w:t>
      </w:r>
      <w:r w:rsidRPr="00B07887">
        <w:rPr>
          <w:b/>
          <w:bCs/>
        </w:rPr>
        <w:t>775-68</w:t>
      </w:r>
      <w:r w:rsidRPr="0007346E">
        <w:rPr>
          <w:b/>
          <w:bCs/>
        </w:rPr>
        <w:t>4-</w:t>
      </w:r>
      <w:r w:rsidR="0007346E" w:rsidRPr="0007346E">
        <w:rPr>
          <w:b/>
          <w:bCs/>
        </w:rPr>
        <w:t>5</w:t>
      </w:r>
      <w:r w:rsidR="0007346E">
        <w:rPr>
          <w:b/>
          <w:bCs/>
        </w:rPr>
        <w:t>718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55272448" w:rsidR="002934F0" w:rsidRPr="00E869AA" w:rsidRDefault="00D12E1A" w:rsidP="005179C8">
      <w:pPr>
        <w:jc w:val="center"/>
      </w:pPr>
      <w:r>
        <w:t>Solicitation</w:t>
      </w:r>
      <w:r w:rsidR="002934F0" w:rsidRPr="00E869AA">
        <w:t>:</w:t>
      </w:r>
      <w:r w:rsidR="00976775" w:rsidRPr="00E869AA">
        <w:t xml:space="preserve"> </w:t>
      </w:r>
      <w:r w:rsidR="003B3BA2">
        <w:rPr>
          <w:b/>
          <w:bCs/>
        </w:rPr>
        <w:t>04SOS-S2743</w:t>
      </w:r>
    </w:p>
    <w:p w14:paraId="54E63840" w14:textId="53089180" w:rsidR="002934F0" w:rsidRPr="00E869AA" w:rsidRDefault="002934F0" w:rsidP="005179C8">
      <w:pPr>
        <w:jc w:val="center"/>
      </w:pPr>
      <w:r w:rsidRPr="00E869AA">
        <w:t>For</w:t>
      </w:r>
    </w:p>
    <w:p w14:paraId="6C09ACE3" w14:textId="6E544E71" w:rsidR="002934F0" w:rsidRPr="00B07887" w:rsidRDefault="00B40831" w:rsidP="005179C8">
      <w:pPr>
        <w:jc w:val="center"/>
        <w:rPr>
          <w:b/>
          <w:bCs/>
        </w:rPr>
      </w:pPr>
      <w:r>
        <w:rPr>
          <w:b/>
          <w:bCs/>
        </w:rPr>
        <w:t>202</w:t>
      </w:r>
      <w:r w:rsidR="000B24D6">
        <w:rPr>
          <w:b/>
          <w:bCs/>
        </w:rPr>
        <w:t>4</w:t>
      </w:r>
      <w:r>
        <w:rPr>
          <w:b/>
          <w:bCs/>
        </w:rPr>
        <w:t xml:space="preserve"> Nevada Elections</w:t>
      </w:r>
      <w:r w:rsidR="003C72AE">
        <w:rPr>
          <w:b/>
          <w:bCs/>
        </w:rPr>
        <w:t xml:space="preserve"> Official Training</w:t>
      </w:r>
      <w:r>
        <w:rPr>
          <w:b/>
          <w:bCs/>
        </w:rPr>
        <w:t xml:space="preserve"> Conference (N</w:t>
      </w:r>
      <w:r w:rsidR="003C72AE">
        <w:rPr>
          <w:b/>
          <w:bCs/>
        </w:rPr>
        <w:t>EOTC</w:t>
      </w:r>
      <w:r>
        <w:rPr>
          <w:b/>
          <w:bCs/>
        </w:rPr>
        <w:t>)</w:t>
      </w:r>
    </w:p>
    <w:p w14:paraId="04499821" w14:textId="77777777" w:rsidR="003B3F79" w:rsidRPr="00E869AA" w:rsidRDefault="003B3F79" w:rsidP="005179C8">
      <w:pPr>
        <w:jc w:val="center"/>
      </w:pPr>
    </w:p>
    <w:p w14:paraId="4461C066" w14:textId="7A65BC11" w:rsidR="002934F0" w:rsidRPr="00E869AA" w:rsidRDefault="002934F0" w:rsidP="005179C8">
      <w:pPr>
        <w:jc w:val="center"/>
      </w:pPr>
      <w:r w:rsidRPr="00E869AA">
        <w:t>Release Date:</w:t>
      </w:r>
      <w:r w:rsidR="00411933" w:rsidRPr="00E869AA">
        <w:t xml:space="preserve"> </w:t>
      </w:r>
      <w:proofErr w:type="gramStart"/>
      <w:r w:rsidR="00D7233A">
        <w:rPr>
          <w:b/>
          <w:bCs/>
        </w:rPr>
        <w:t>03</w:t>
      </w:r>
      <w:r w:rsidR="003C074C">
        <w:rPr>
          <w:b/>
          <w:bCs/>
        </w:rPr>
        <w:t>/</w:t>
      </w:r>
      <w:r w:rsidR="00547519">
        <w:rPr>
          <w:b/>
          <w:bCs/>
        </w:rPr>
        <w:t>11</w:t>
      </w:r>
      <w:r w:rsidR="003C074C">
        <w:rPr>
          <w:b/>
          <w:bCs/>
        </w:rPr>
        <w:t>/202</w:t>
      </w:r>
      <w:r w:rsidR="00637FD3">
        <w:rPr>
          <w:b/>
          <w:bCs/>
        </w:rPr>
        <w:t>4</w:t>
      </w:r>
      <w:proofErr w:type="gramEnd"/>
    </w:p>
    <w:p w14:paraId="2B985DCC" w14:textId="1E90C327" w:rsidR="003B3F79" w:rsidRPr="00E869AA" w:rsidRDefault="002934F0" w:rsidP="005179C8">
      <w:pPr>
        <w:jc w:val="center"/>
      </w:pPr>
      <w:r w:rsidRPr="00E869AA">
        <w:t>Deadline for Submission and Opening Date and Time:</w:t>
      </w:r>
      <w:r w:rsidR="00411933" w:rsidRPr="00E869AA">
        <w:t xml:space="preserve"> </w:t>
      </w:r>
      <w:r w:rsidR="007D182A">
        <w:rPr>
          <w:b/>
          <w:bCs/>
        </w:rPr>
        <w:t>05</w:t>
      </w:r>
      <w:r w:rsidR="003C074C">
        <w:rPr>
          <w:b/>
          <w:bCs/>
        </w:rPr>
        <w:t>/</w:t>
      </w:r>
      <w:r w:rsidR="007D182A">
        <w:rPr>
          <w:b/>
          <w:bCs/>
        </w:rPr>
        <w:t>28</w:t>
      </w:r>
      <w:r w:rsidR="003C074C">
        <w:rPr>
          <w:b/>
          <w:bCs/>
        </w:rPr>
        <w:t>/202</w:t>
      </w:r>
      <w:r w:rsidR="00637FD3">
        <w:rPr>
          <w:b/>
          <w:bCs/>
        </w:rPr>
        <w:t>4</w:t>
      </w:r>
      <w:r w:rsidRPr="00B07887">
        <w:rPr>
          <w:b/>
          <w:bCs/>
        </w:rPr>
        <w:t xml:space="preserve"> @ </w:t>
      </w:r>
      <w:r w:rsidR="007D182A">
        <w:rPr>
          <w:b/>
          <w:bCs/>
        </w:rPr>
        <w:t>2</w:t>
      </w:r>
      <w:r w:rsidR="000A5C45" w:rsidRPr="00B07887">
        <w:rPr>
          <w:b/>
          <w:bCs/>
        </w:rPr>
        <w:t>:</w:t>
      </w:r>
      <w:r w:rsidR="007D182A">
        <w:rPr>
          <w:b/>
          <w:bCs/>
        </w:rPr>
        <w:t>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05F1273" w:rsidR="002934F0" w:rsidRPr="00E869AA" w:rsidRDefault="00D7233A" w:rsidP="005179C8">
      <w:pPr>
        <w:jc w:val="center"/>
      </w:pPr>
      <w:r>
        <w:t>Miguel</w:t>
      </w:r>
      <w:r w:rsidR="003C72AE">
        <w:t xml:space="preserve"> Camacho</w:t>
      </w:r>
    </w:p>
    <w:p w14:paraId="77ECED79" w14:textId="3E695DA6" w:rsidR="002934F0" w:rsidRPr="00E869AA" w:rsidRDefault="002934F0" w:rsidP="005179C8">
      <w:pPr>
        <w:jc w:val="center"/>
      </w:pPr>
      <w:r w:rsidRPr="00E869AA">
        <w:t>Phone</w:t>
      </w:r>
      <w:r w:rsidR="003C074C">
        <w:t>:</w:t>
      </w:r>
      <w:r w:rsidR="008357FE" w:rsidRPr="00E869AA">
        <w:t xml:space="preserve"> </w:t>
      </w:r>
      <w:r w:rsidR="003C074C">
        <w:t>775-684-</w:t>
      </w:r>
      <w:r w:rsidR="003C72AE">
        <w:t>7156</w:t>
      </w:r>
    </w:p>
    <w:p w14:paraId="0E02F26B" w14:textId="78CEE1A6" w:rsidR="003B3F79" w:rsidRPr="00E869AA" w:rsidRDefault="002934F0" w:rsidP="005179C8">
      <w:pPr>
        <w:jc w:val="center"/>
      </w:pPr>
      <w:r w:rsidRPr="00E869AA">
        <w:t>Email Address</w:t>
      </w:r>
      <w:r w:rsidR="003C074C">
        <w:t xml:space="preserve">: </w:t>
      </w:r>
      <w:hyperlink r:id="rId12" w:history="1">
        <w:r w:rsidR="003C72AE" w:rsidRPr="007D1106">
          <w:rPr>
            <w:rStyle w:val="Hyperlink"/>
          </w:rPr>
          <w:t>mcamacho@sos.nv.gov</w:t>
        </w:r>
      </w:hyperlink>
      <w:r w:rsidR="003C074C">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1CC90674"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AB1BAB">
          <w:rPr>
            <w:noProof/>
            <w:webHidden/>
          </w:rPr>
          <w:t>2</w:t>
        </w:r>
        <w:r w:rsidR="00051D94">
          <w:rPr>
            <w:noProof/>
            <w:webHidden/>
          </w:rPr>
          <w:fldChar w:fldCharType="end"/>
        </w:r>
      </w:hyperlink>
    </w:p>
    <w:p w14:paraId="1A79F453" w14:textId="2DED2BF0"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AB1BAB">
          <w:rPr>
            <w:noProof/>
            <w:webHidden/>
          </w:rPr>
          <w:t>2</w:t>
        </w:r>
        <w:r w:rsidR="00051D94">
          <w:rPr>
            <w:noProof/>
            <w:webHidden/>
          </w:rPr>
          <w:fldChar w:fldCharType="end"/>
        </w:r>
      </w:hyperlink>
    </w:p>
    <w:p w14:paraId="539EC933" w14:textId="749DD28D"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AB1BAB">
          <w:rPr>
            <w:noProof/>
            <w:webHidden/>
          </w:rPr>
          <w:t>3</w:t>
        </w:r>
        <w:r w:rsidR="00051D94">
          <w:rPr>
            <w:noProof/>
            <w:webHidden/>
          </w:rPr>
          <w:fldChar w:fldCharType="end"/>
        </w:r>
      </w:hyperlink>
    </w:p>
    <w:p w14:paraId="0D999A73" w14:textId="4A5FBAB4"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AB1BAB">
          <w:rPr>
            <w:noProof/>
            <w:webHidden/>
          </w:rPr>
          <w:t>3</w:t>
        </w:r>
        <w:r w:rsidR="00051D94">
          <w:rPr>
            <w:noProof/>
            <w:webHidden/>
          </w:rPr>
          <w:fldChar w:fldCharType="end"/>
        </w:r>
      </w:hyperlink>
    </w:p>
    <w:p w14:paraId="58C6D6FD" w14:textId="3C3D18DF"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AB1BAB">
          <w:rPr>
            <w:noProof/>
            <w:webHidden/>
          </w:rPr>
          <w:t>4</w:t>
        </w:r>
        <w:r w:rsidR="00051D94">
          <w:rPr>
            <w:noProof/>
            <w:webHidden/>
          </w:rPr>
          <w:fldChar w:fldCharType="end"/>
        </w:r>
      </w:hyperlink>
    </w:p>
    <w:p w14:paraId="5F327E00" w14:textId="2434D1DE"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AB1BAB">
          <w:rPr>
            <w:noProof/>
            <w:webHidden/>
          </w:rPr>
          <w:t>4</w:t>
        </w:r>
        <w:r w:rsidR="00051D94">
          <w:rPr>
            <w:noProof/>
            <w:webHidden/>
          </w:rPr>
          <w:fldChar w:fldCharType="end"/>
        </w:r>
      </w:hyperlink>
    </w:p>
    <w:p w14:paraId="2F18BAE4" w14:textId="28962B95"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AB1BAB">
          <w:rPr>
            <w:noProof/>
            <w:webHidden/>
          </w:rPr>
          <w:t>5</w:t>
        </w:r>
        <w:r w:rsidR="00051D94">
          <w:rPr>
            <w:noProof/>
            <w:webHidden/>
          </w:rPr>
          <w:fldChar w:fldCharType="end"/>
        </w:r>
      </w:hyperlink>
    </w:p>
    <w:p w14:paraId="62C67E17" w14:textId="7EC4497B"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AB1BAB">
          <w:rPr>
            <w:noProof/>
            <w:webHidden/>
          </w:rPr>
          <w:t>6</w:t>
        </w:r>
        <w:r w:rsidR="00051D94">
          <w:rPr>
            <w:noProof/>
            <w:webHidden/>
          </w:rPr>
          <w:fldChar w:fldCharType="end"/>
        </w:r>
      </w:hyperlink>
    </w:p>
    <w:p w14:paraId="73E01A35" w14:textId="073E10AB" w:rsidR="00051D94" w:rsidRDefault="00ED0C32">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AB1BAB">
          <w:rPr>
            <w:noProof/>
            <w:webHidden/>
          </w:rPr>
          <w:t>7</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73ADADB1" w14:textId="2E9E5A67"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B897735" w:rsidR="001D44B2" w:rsidRPr="00E07DDD" w:rsidRDefault="001D44B2" w:rsidP="00B05314">
      <w:pPr>
        <w:pStyle w:val="Heading2"/>
      </w:pPr>
      <w:r w:rsidRPr="00E07DDD">
        <w:t>The State of Nevada</w:t>
      </w:r>
      <w:r w:rsidR="0078011E">
        <w:t>,</w:t>
      </w:r>
      <w:r w:rsidRPr="00E07DDD">
        <w:t xml:space="preserve"> </w:t>
      </w:r>
      <w:r w:rsidR="004260D0">
        <w:t>Secretary of State</w:t>
      </w:r>
      <w:r w:rsidRPr="00E07DDD">
        <w:t xml:space="preserve"> is seeking proposals from qualified vendors to provid</w:t>
      </w:r>
      <w:r w:rsidRPr="00505AE0">
        <w:t xml:space="preserve">e </w:t>
      </w:r>
      <w:r w:rsidR="001C4F1A" w:rsidRPr="00505AE0">
        <w:t>hotel rooms, meeting space, and catering</w:t>
      </w:r>
      <w:r w:rsidRPr="00505AE0">
        <w:t xml:space="preserve"> services</w:t>
      </w:r>
      <w:r w:rsidR="00BB56AE" w:rsidRPr="00505AE0">
        <w:t xml:space="preserve"> as descri</w:t>
      </w:r>
      <w:r w:rsidR="00BB56AE" w:rsidRPr="00E07DDD">
        <w:t>bed in the scope of work</w:t>
      </w:r>
      <w:r w:rsidR="00D85839" w:rsidRPr="00E07DDD">
        <w:t xml:space="preserve"> and attachments</w:t>
      </w:r>
      <w:r w:rsidRPr="00E07DDD">
        <w:t>.</w:t>
      </w:r>
    </w:p>
    <w:p w14:paraId="306B7618" w14:textId="77777777" w:rsidR="001D44B2" w:rsidRPr="00B66FFF" w:rsidRDefault="001D44B2" w:rsidP="00C371BD"/>
    <w:p w14:paraId="6F7DE43F" w14:textId="4B694395" w:rsidR="001D44B2"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4260D0">
        <w:t>The Secretary of State</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39295A">
        <w:t>one</w:t>
      </w:r>
      <w:r w:rsidR="004260D0">
        <w:t xml:space="preserve"> </w:t>
      </w:r>
      <w:r w:rsidR="004F2D52" w:rsidRPr="00E07DDD">
        <w:t>year,</w:t>
      </w:r>
      <w:r w:rsidRPr="00E07DDD">
        <w:t xml:space="preserve"> subject to Board of Examiners approval.</w:t>
      </w:r>
    </w:p>
    <w:p w14:paraId="091B1C87" w14:textId="77777777" w:rsidR="004260D0" w:rsidRDefault="004260D0" w:rsidP="004260D0"/>
    <w:p w14:paraId="780620B4" w14:textId="1BEFA96C" w:rsidR="004260D0" w:rsidRPr="00C30B25" w:rsidRDefault="004260D0" w:rsidP="004260D0">
      <w:pPr>
        <w:numPr>
          <w:ilvl w:val="12"/>
          <w:numId w:val="0"/>
        </w:numPr>
        <w:tabs>
          <w:tab w:val="left" w:pos="720"/>
        </w:tabs>
        <w:ind w:left="720"/>
      </w:pPr>
      <w:r w:rsidRPr="00C30B25">
        <w:t>The Nevada Secretary of State (NV</w:t>
      </w:r>
      <w:r w:rsidR="00174A46">
        <w:t xml:space="preserve"> </w:t>
      </w:r>
      <w:r w:rsidRPr="00C30B25">
        <w:t>SOS) is seeking proposal from qualified vendors to provide services to host the 202</w:t>
      </w:r>
      <w:r w:rsidR="00637FD3">
        <w:t>4</w:t>
      </w:r>
      <w:r w:rsidRPr="00C30B25">
        <w:t xml:space="preserve"> Nevada</w:t>
      </w:r>
      <w:r w:rsidR="00CF2C83">
        <w:t xml:space="preserve"> </w:t>
      </w:r>
      <w:r w:rsidRPr="00C30B25">
        <w:t>Elections</w:t>
      </w:r>
      <w:r w:rsidR="00CF2C83">
        <w:t xml:space="preserve"> Official Training</w:t>
      </w:r>
      <w:r w:rsidRPr="00C30B25">
        <w:t xml:space="preserve"> Conference (N</w:t>
      </w:r>
      <w:r w:rsidR="00CF2C83">
        <w:t>EOTC</w:t>
      </w:r>
      <w:r w:rsidRPr="00C30B25">
        <w:t xml:space="preserve">). </w:t>
      </w:r>
    </w:p>
    <w:p w14:paraId="1E218524" w14:textId="77777777" w:rsidR="004260D0" w:rsidRPr="004260D0" w:rsidRDefault="004260D0" w:rsidP="004260D0">
      <w:pPr>
        <w:numPr>
          <w:ilvl w:val="12"/>
          <w:numId w:val="0"/>
        </w:numPr>
        <w:tabs>
          <w:tab w:val="left" w:pos="720"/>
        </w:tabs>
        <w:ind w:left="720"/>
        <w:rPr>
          <w:highlight w:val="yellow"/>
        </w:rPr>
      </w:pPr>
    </w:p>
    <w:p w14:paraId="06FD715A" w14:textId="77777777" w:rsidR="004260D0" w:rsidRDefault="004260D0" w:rsidP="004260D0">
      <w:pPr>
        <w:numPr>
          <w:ilvl w:val="12"/>
          <w:numId w:val="0"/>
        </w:numPr>
        <w:tabs>
          <w:tab w:val="left" w:pos="720"/>
        </w:tabs>
        <w:ind w:left="720"/>
      </w:pPr>
      <w:r w:rsidRPr="00C30B25">
        <w:t>The State may award one (1) contract in conjunction with this RFP.</w:t>
      </w:r>
    </w:p>
    <w:p w14:paraId="43F230CF" w14:textId="77777777" w:rsidR="004260D0" w:rsidRDefault="004260D0" w:rsidP="004260D0">
      <w:pPr>
        <w:numPr>
          <w:ilvl w:val="12"/>
          <w:numId w:val="0"/>
        </w:numPr>
        <w:tabs>
          <w:tab w:val="left" w:pos="720"/>
        </w:tabs>
        <w:ind w:left="720"/>
      </w:pPr>
    </w:p>
    <w:p w14:paraId="3D4747FF" w14:textId="55479F80" w:rsidR="004260D0" w:rsidRPr="001C4F1A" w:rsidRDefault="004260D0" w:rsidP="004260D0">
      <w:pPr>
        <w:numPr>
          <w:ilvl w:val="12"/>
          <w:numId w:val="0"/>
        </w:numPr>
        <w:tabs>
          <w:tab w:val="left" w:pos="720"/>
        </w:tabs>
        <w:ind w:left="720"/>
      </w:pPr>
      <w:r w:rsidRPr="001C4F1A">
        <w:t>N</w:t>
      </w:r>
      <w:r w:rsidR="001C4F1A" w:rsidRPr="001C4F1A">
        <w:t>V SOS</w:t>
      </w:r>
      <w:r w:rsidRPr="001C4F1A">
        <w:t xml:space="preserve"> will </w:t>
      </w:r>
      <w:r w:rsidRPr="00F752F4">
        <w:t xml:space="preserve">administer the contract resulting from this RFP. The resulting contract is anticipated to begin </w:t>
      </w:r>
      <w:r w:rsidR="00637FD3">
        <w:t>December</w:t>
      </w:r>
      <w:r w:rsidR="001C4F1A" w:rsidRPr="00F752F4">
        <w:t xml:space="preserve"> 1</w:t>
      </w:r>
      <w:r w:rsidRPr="00F752F4">
        <w:t>, 20</w:t>
      </w:r>
      <w:r w:rsidR="001C4F1A" w:rsidRPr="00F752F4">
        <w:t>2</w:t>
      </w:r>
      <w:r w:rsidR="00637FD3">
        <w:t>4</w:t>
      </w:r>
      <w:r w:rsidRPr="00F752F4">
        <w:t xml:space="preserve">, as subject to Board of Examiners (BOE) approval, and ending </w:t>
      </w:r>
      <w:r w:rsidR="00637FD3">
        <w:t>December 15</w:t>
      </w:r>
      <w:r w:rsidRPr="00F752F4">
        <w:t>, 202</w:t>
      </w:r>
      <w:r w:rsidR="00637FD3">
        <w:t>4</w:t>
      </w:r>
      <w:r w:rsidRPr="00F752F4">
        <w:t>, if</w:t>
      </w:r>
      <w:r w:rsidRPr="001C4F1A">
        <w:t xml:space="preserve"> agreed upon by both parties and is in the best interests of the State.</w:t>
      </w:r>
      <w:r w:rsidR="00F752F4">
        <w:t xml:space="preserve">  Attendees will check in on </w:t>
      </w:r>
      <w:r w:rsidR="00637FD3">
        <w:t>December 8</w:t>
      </w:r>
      <w:r w:rsidR="00F752F4">
        <w:t xml:space="preserve">, </w:t>
      </w:r>
      <w:r w:rsidR="003C074C">
        <w:t>202</w:t>
      </w:r>
      <w:r w:rsidR="00637FD3">
        <w:t>4</w:t>
      </w:r>
      <w:r w:rsidR="003C074C">
        <w:t>,</w:t>
      </w:r>
      <w:r w:rsidR="00F752F4">
        <w:t xml:space="preserve"> and check out on </w:t>
      </w:r>
      <w:r w:rsidR="00637FD3">
        <w:t>December 1</w:t>
      </w:r>
      <w:r w:rsidR="003C78A5">
        <w:t>3</w:t>
      </w:r>
      <w:r w:rsidR="00F752F4">
        <w:t>, 202</w:t>
      </w:r>
      <w:r w:rsidR="00637FD3">
        <w:t>4</w:t>
      </w:r>
      <w:r w:rsidR="00F752F4">
        <w:t>.</w:t>
      </w:r>
    </w:p>
    <w:p w14:paraId="72A1D075" w14:textId="77777777" w:rsidR="004260D0" w:rsidRPr="004260D0" w:rsidRDefault="004260D0" w:rsidP="004260D0">
      <w:pPr>
        <w:ind w:left="720"/>
        <w:rPr>
          <w:b/>
          <w:bCs/>
          <w:i/>
          <w:iCs/>
          <w:highlight w:val="yellow"/>
        </w:rPr>
      </w:pPr>
    </w:p>
    <w:p w14:paraId="11F151F3" w14:textId="77777777" w:rsidR="004260D0" w:rsidRDefault="004260D0" w:rsidP="004260D0">
      <w:pPr>
        <w:ind w:left="720"/>
        <w:rPr>
          <w:b/>
        </w:rPr>
      </w:pPr>
      <w:r w:rsidRPr="00D36A2D">
        <w:rPr>
          <w:b/>
        </w:rPr>
        <w:t>About the Conference and Attendees:</w:t>
      </w:r>
    </w:p>
    <w:p w14:paraId="3A50ED28" w14:textId="77777777" w:rsidR="00491F30" w:rsidRPr="00D36A2D" w:rsidRDefault="00491F30" w:rsidP="004260D0">
      <w:pPr>
        <w:ind w:left="720"/>
        <w:rPr>
          <w:b/>
        </w:rPr>
      </w:pPr>
    </w:p>
    <w:p w14:paraId="7ABE0099" w14:textId="78DB4C07" w:rsidR="002A40DC" w:rsidRPr="003C78A5" w:rsidRDefault="004260D0" w:rsidP="004260D0">
      <w:pPr>
        <w:ind w:left="720"/>
      </w:pPr>
      <w:r w:rsidRPr="003C78A5">
        <w:t xml:space="preserve">The </w:t>
      </w:r>
      <w:r w:rsidR="002A40DC" w:rsidRPr="003C78A5">
        <w:t>N</w:t>
      </w:r>
      <w:r w:rsidR="00174A46" w:rsidRPr="003C78A5">
        <w:t>EOTC</w:t>
      </w:r>
      <w:r w:rsidR="002A40DC" w:rsidRPr="003C78A5">
        <w:t xml:space="preserve"> is </w:t>
      </w:r>
      <w:r w:rsidRPr="003C78A5">
        <w:t xml:space="preserve">an annual </w:t>
      </w:r>
      <w:r w:rsidR="003C78A5">
        <w:t xml:space="preserve">mandatory training </w:t>
      </w:r>
      <w:r w:rsidR="002A40DC" w:rsidRPr="003C78A5">
        <w:t>for Nevada’s county and municipal election officials</w:t>
      </w:r>
      <w:r w:rsidRPr="003C78A5">
        <w:t xml:space="preserve">. Each year the </w:t>
      </w:r>
      <w:r w:rsidR="003C78A5">
        <w:t>training</w:t>
      </w:r>
      <w:r w:rsidRPr="003C78A5">
        <w:t xml:space="preserve"> includes </w:t>
      </w:r>
      <w:r w:rsidR="003C78A5">
        <w:t>five days of structured courses surrounding</w:t>
      </w:r>
      <w:r w:rsidR="002A40DC" w:rsidRPr="003C78A5">
        <w:t xml:space="preserve"> </w:t>
      </w:r>
      <w:r w:rsidR="003C78A5" w:rsidRPr="003C78A5">
        <w:t>elections,</w:t>
      </w:r>
      <w:r w:rsidRPr="003C78A5">
        <w:t xml:space="preserve"> business</w:t>
      </w:r>
      <w:r w:rsidR="002A40DC" w:rsidRPr="003C78A5">
        <w:t xml:space="preserve"> process</w:t>
      </w:r>
      <w:r w:rsidRPr="003C78A5">
        <w:t xml:space="preserve">, technical/administrative sessions, </w:t>
      </w:r>
      <w:r w:rsidR="002A40DC" w:rsidRPr="003C78A5">
        <w:t xml:space="preserve">public </w:t>
      </w:r>
      <w:r w:rsidR="003C78A5" w:rsidRPr="003C78A5">
        <w:t>information,</w:t>
      </w:r>
      <w:r w:rsidR="002A40DC" w:rsidRPr="003C78A5">
        <w:t xml:space="preserve"> and communications </w:t>
      </w:r>
      <w:r w:rsidR="000F1484" w:rsidRPr="003C78A5">
        <w:t>session</w:t>
      </w:r>
      <w:r w:rsidR="003C78A5">
        <w:t>. The training also provides</w:t>
      </w:r>
      <w:r w:rsidR="000F1484" w:rsidRPr="003C78A5">
        <w:t xml:space="preserve"> networking</w:t>
      </w:r>
      <w:r w:rsidRPr="003C78A5">
        <w:t xml:space="preserve"> events, </w:t>
      </w:r>
      <w:r w:rsidR="002A40DC" w:rsidRPr="003C78A5">
        <w:t>vendor exhibits and support sessions</w:t>
      </w:r>
      <w:r w:rsidRPr="003C78A5">
        <w:t xml:space="preserve">, </w:t>
      </w:r>
      <w:r w:rsidR="002A40DC" w:rsidRPr="003C78A5">
        <w:t>and a hosted dinner with the Secretary of State</w:t>
      </w:r>
      <w:r w:rsidRPr="003C78A5">
        <w:t>. Attendees consist primarily of state</w:t>
      </w:r>
      <w:r w:rsidR="002A40DC" w:rsidRPr="003C78A5">
        <w:t>, county and city</w:t>
      </w:r>
      <w:r w:rsidRPr="003C78A5">
        <w:t xml:space="preserve"> government officials who </w:t>
      </w:r>
      <w:r w:rsidR="002A40DC" w:rsidRPr="003C78A5">
        <w:t xml:space="preserve">are responsible for administering and overseeing Nevada’s </w:t>
      </w:r>
      <w:r w:rsidR="000F1484" w:rsidRPr="003C78A5">
        <w:t>elections</w:t>
      </w:r>
      <w:r w:rsidR="002A40DC" w:rsidRPr="003C78A5">
        <w:t xml:space="preserve">.  Other attendees are from federal and state elections regulatory agencies and their partner organizations who focus on election related topics, organizations who support election related programs, election </w:t>
      </w:r>
      <w:r w:rsidR="00D36A2D" w:rsidRPr="003C78A5">
        <w:t>system vendors and support staff, and guest speakers from IT, PIO and Legal disciplines that support elections.</w:t>
      </w:r>
    </w:p>
    <w:p w14:paraId="6E9D42D5" w14:textId="77777777" w:rsidR="002A40DC" w:rsidRPr="003C78A5" w:rsidRDefault="002A40DC" w:rsidP="004260D0">
      <w:pPr>
        <w:ind w:left="720"/>
      </w:pPr>
    </w:p>
    <w:p w14:paraId="71E1A1E7" w14:textId="4423BD04" w:rsidR="004260D0" w:rsidRPr="00D2329C" w:rsidRDefault="00D36A2D" w:rsidP="004260D0">
      <w:pPr>
        <w:ind w:left="720"/>
      </w:pPr>
      <w:r w:rsidRPr="003C78A5">
        <w:t xml:space="preserve">There will be approximately 75 state, county and city election officials </w:t>
      </w:r>
      <w:r w:rsidR="00DB0D6E" w:rsidRPr="003C78A5">
        <w:t xml:space="preserve">that will be hosted by the Secretary of State as well as </w:t>
      </w:r>
      <w:r w:rsidRPr="003C78A5">
        <w:t>an additional</w:t>
      </w:r>
      <w:r w:rsidR="004260D0" w:rsidRPr="003C78A5">
        <w:t xml:space="preserve"> 2</w:t>
      </w:r>
      <w:r w:rsidRPr="003C78A5">
        <w:t>5-30</w:t>
      </w:r>
      <w:r w:rsidR="004260D0" w:rsidRPr="003C78A5">
        <w:t xml:space="preserve"> people, including </w:t>
      </w:r>
      <w:r w:rsidR="00DB0D6E" w:rsidRPr="003C78A5">
        <w:t>guest speakers</w:t>
      </w:r>
      <w:r w:rsidR="004260D0" w:rsidRPr="003C78A5">
        <w:t xml:space="preserve"> and vendors</w:t>
      </w:r>
      <w:r w:rsidR="00DB0D6E" w:rsidRPr="003C78A5">
        <w:t xml:space="preserve"> that are</w:t>
      </w:r>
      <w:r w:rsidR="004260D0" w:rsidRPr="003C78A5">
        <w:t xml:space="preserve"> expected to attend the conference.</w:t>
      </w:r>
      <w:r w:rsidR="004260D0" w:rsidRPr="00D2329C">
        <w:t xml:space="preserve"> </w:t>
      </w:r>
    </w:p>
    <w:p w14:paraId="4C1F480E" w14:textId="77777777" w:rsidR="0082128C" w:rsidRPr="00B66FFF" w:rsidRDefault="0082128C" w:rsidP="00C371BD"/>
    <w:p w14:paraId="49DF71A5" w14:textId="0DAD767E" w:rsidR="002118A9" w:rsidRDefault="003168D7" w:rsidP="00B05314">
      <w:pPr>
        <w:pStyle w:val="Heading2"/>
      </w:pPr>
      <w:r w:rsidRPr="00E07DDD">
        <w:t>AGENCY BACKGROUND</w:t>
      </w:r>
    </w:p>
    <w:p w14:paraId="3A843BD1" w14:textId="77777777" w:rsidR="0082128C" w:rsidRDefault="0082128C" w:rsidP="0082128C"/>
    <w:p w14:paraId="6C8A3B5E" w14:textId="13186D40" w:rsidR="00EA11E4" w:rsidRPr="0082128C" w:rsidRDefault="0082128C" w:rsidP="0082128C">
      <w:pPr>
        <w:pStyle w:val="NormalWeb"/>
        <w:shd w:val="clear" w:color="auto" w:fill="FFFFFF"/>
        <w:spacing w:before="0" w:beforeAutospacing="0" w:after="240" w:afterAutospacing="0"/>
        <w:ind w:left="720"/>
        <w:rPr>
          <w:rFonts w:eastAsiaTheme="minorHAnsi"/>
          <w:sz w:val="20"/>
          <w:szCs w:val="20"/>
        </w:rPr>
      </w:pPr>
      <w:r w:rsidRPr="0082128C">
        <w:rPr>
          <w:rFonts w:eastAsiaTheme="minorHAnsi"/>
          <w:sz w:val="20"/>
          <w:szCs w:val="20"/>
        </w:rPr>
        <w:t>The Secretary of State is the third highest ranking state official, behind the Governor and Lt. Governor. The Secretary of State, elected to a four-year term, is responsible for maintaining the official records of the acts of the Nevada Legislature and of the executive branch of state government, as prescribed by law. The Secretary of State's</w:t>
      </w:r>
      <w:r>
        <w:rPr>
          <w:rFonts w:eastAsiaTheme="minorHAnsi"/>
          <w:sz w:val="20"/>
          <w:szCs w:val="20"/>
        </w:rPr>
        <w:t xml:space="preserve"> Elections Division</w:t>
      </w:r>
      <w:r w:rsidRPr="0082128C">
        <w:rPr>
          <w:rFonts w:eastAsiaTheme="minorHAnsi"/>
          <w:sz w:val="20"/>
          <w:szCs w:val="20"/>
        </w:rPr>
        <w:t xml:space="preserve"> is responsible for the execution, interpretation, and enforcement of federal election and state election and campaign finance laws; administering the requirements of the Help America Vote Act (HAVA); serving as the filing office for statewide elective positions, initiative petitions, and referendums; maintaining the statewide voter </w:t>
      </w:r>
      <w:bookmarkStart w:id="6" w:name="_Hlk139006793"/>
      <w:r w:rsidRPr="0082128C">
        <w:rPr>
          <w:rFonts w:eastAsiaTheme="minorHAnsi"/>
          <w:sz w:val="20"/>
          <w:szCs w:val="20"/>
        </w:rPr>
        <w:t>registration database; and conducting voter outreach programs.</w:t>
      </w:r>
    </w:p>
    <w:p w14:paraId="15F19EF6" w14:textId="6E9EFB98" w:rsidR="00EA11E4" w:rsidRDefault="00EA11E4" w:rsidP="00EA11E4">
      <w:pPr>
        <w:ind w:left="720"/>
      </w:pPr>
      <w:r w:rsidRPr="002A40DC">
        <w:rPr>
          <w:b/>
          <w:bCs/>
          <w:iCs/>
        </w:rPr>
        <w:t>Background on N</w:t>
      </w:r>
      <w:r w:rsidR="00337079">
        <w:rPr>
          <w:b/>
          <w:bCs/>
          <w:iCs/>
        </w:rPr>
        <w:t>EOTC</w:t>
      </w:r>
      <w:r w:rsidRPr="002A40DC">
        <w:rPr>
          <w:b/>
          <w:bCs/>
          <w:iCs/>
        </w:rPr>
        <w:t>:</w:t>
      </w:r>
      <w:r w:rsidRPr="002A40DC">
        <w:t xml:space="preserve">  </w:t>
      </w:r>
    </w:p>
    <w:p w14:paraId="68AB1F84" w14:textId="77777777" w:rsidR="002972DC" w:rsidRPr="002A40DC" w:rsidRDefault="002972DC" w:rsidP="00EA11E4">
      <w:pPr>
        <w:ind w:left="720"/>
      </w:pPr>
    </w:p>
    <w:p w14:paraId="26356044" w14:textId="76F41C19" w:rsidR="002264AD" w:rsidRDefault="00EA11E4" w:rsidP="00EA11E4">
      <w:pPr>
        <w:ind w:left="720"/>
      </w:pPr>
      <w:r w:rsidRPr="002A40DC">
        <w:t>The Nevada Secretary of State hosts a yearly election official</w:t>
      </w:r>
      <w:r w:rsidR="001126C4">
        <w:t>s</w:t>
      </w:r>
      <w:r w:rsidRPr="002A40DC">
        <w:t xml:space="preserve"> conference</w:t>
      </w:r>
      <w:r w:rsidR="002264AD">
        <w:t xml:space="preserve"> to support the elections officials across the state, </w:t>
      </w:r>
      <w:r w:rsidR="001126C4">
        <w:t xml:space="preserve">discuss topics related to voter registration, voter education and outreach, </w:t>
      </w:r>
      <w:r w:rsidR="002264AD">
        <w:t xml:space="preserve">promote the safe and secure administration of federal, </w:t>
      </w:r>
      <w:proofErr w:type="gramStart"/>
      <w:r w:rsidR="002264AD">
        <w:t>state</w:t>
      </w:r>
      <w:proofErr w:type="gramEnd"/>
      <w:r w:rsidR="002264AD">
        <w:t xml:space="preserve"> and local elections and provide resources and training to assist election officials </w:t>
      </w:r>
      <w:r w:rsidR="001126C4">
        <w:t>in the support of their election related duties.</w:t>
      </w:r>
    </w:p>
    <w:p w14:paraId="716BF92A" w14:textId="4B949F03" w:rsidR="00EA11E4" w:rsidRPr="002A40DC" w:rsidRDefault="0039295A" w:rsidP="00EA11E4">
      <w:pPr>
        <w:ind w:left="720"/>
      </w:pPr>
      <w:r>
        <w:t>This conference</w:t>
      </w:r>
      <w:r w:rsidR="00EA11E4" w:rsidRPr="002A40DC">
        <w:t xml:space="preserve"> is attended by county and municipal election officials from across the state and is attended by guest speakers, </w:t>
      </w:r>
      <w:proofErr w:type="gramStart"/>
      <w:r w:rsidR="00EA11E4" w:rsidRPr="002A40DC">
        <w:t>panelists</w:t>
      </w:r>
      <w:proofErr w:type="gramEnd"/>
      <w:r w:rsidR="00EA11E4" w:rsidRPr="002A40DC">
        <w:t xml:space="preserve"> and election system vendors.  The conference includes election related discussions such as legislative </w:t>
      </w:r>
      <w:r w:rsidR="00EA11E4" w:rsidRPr="002A40DC">
        <w:lastRenderedPageBreak/>
        <w:t>review, upcoming election cycle preparations, election system discussions and training related to voter registration and election administration and breakout sessions for specific topic related discussions including Information Technology (IT), Public Information Officers (PIO), and legal (AG, DAG, DA, etc.) panel discussions.  The N</w:t>
      </w:r>
      <w:r w:rsidR="00337079">
        <w:t>EOTC</w:t>
      </w:r>
      <w:r w:rsidR="00EA11E4" w:rsidRPr="002A40DC">
        <w:t xml:space="preserve"> will also include day</w:t>
      </w:r>
      <w:r w:rsidR="00337079">
        <w:t>s</w:t>
      </w:r>
      <w:r w:rsidR="00EA11E4" w:rsidRPr="002A40DC">
        <w:t xml:space="preserve"> dedicated to voter registration and election administration training.</w:t>
      </w:r>
    </w:p>
    <w:p w14:paraId="5642AA21" w14:textId="77777777" w:rsidR="00EA11E4" w:rsidRPr="002A40DC" w:rsidRDefault="00EA11E4" w:rsidP="00EA11E4">
      <w:pPr>
        <w:ind w:left="720"/>
      </w:pPr>
    </w:p>
    <w:p w14:paraId="5685A727" w14:textId="161111E7" w:rsidR="00EA11E4" w:rsidRPr="002A40DC" w:rsidRDefault="00EA11E4" w:rsidP="00EA11E4">
      <w:pPr>
        <w:ind w:left="720"/>
      </w:pPr>
      <w:r w:rsidRPr="002A40DC">
        <w:t>The N</w:t>
      </w:r>
      <w:r w:rsidR="00337079">
        <w:t>EOTC</w:t>
      </w:r>
      <w:r w:rsidRPr="002A40DC">
        <w:t xml:space="preserve"> rotates locations between Northern and Southern Nevada, with each year’s host county being selected based on hosting and travel costs and proximity associated with the attendance of election officials and panelists.  In 202</w:t>
      </w:r>
      <w:r w:rsidR="00BB2E5E">
        <w:t>4</w:t>
      </w:r>
      <w:r w:rsidRPr="002A40DC">
        <w:t>, the N</w:t>
      </w:r>
      <w:r w:rsidR="00337079">
        <w:t>EOTC</w:t>
      </w:r>
      <w:r w:rsidRPr="002A40DC">
        <w:t xml:space="preserve"> will be hosted in </w:t>
      </w:r>
      <w:r w:rsidR="00BB2E5E">
        <w:t>Las Vegas</w:t>
      </w:r>
      <w:r w:rsidRPr="002A40DC">
        <w:t xml:space="preserve">, NV. </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3944E314" w14:textId="50840F56" w:rsidR="00E77EA1" w:rsidRDefault="00E77EA1" w:rsidP="00E77EA1">
      <w:pPr>
        <w:numPr>
          <w:ilvl w:val="12"/>
          <w:numId w:val="0"/>
        </w:numPr>
        <w:tabs>
          <w:tab w:val="left" w:pos="720"/>
        </w:tabs>
        <w:ind w:left="720"/>
      </w:pPr>
      <w:r>
        <w:t>The goal of this RFP is to identify a facility to host the 202</w:t>
      </w:r>
      <w:r w:rsidR="00BB2E5E">
        <w:t>4</w:t>
      </w:r>
      <w:r>
        <w:t xml:space="preserve"> N</w:t>
      </w:r>
      <w:r w:rsidR="00E96BD7">
        <w:t>EOTC</w:t>
      </w:r>
      <w:r>
        <w:t>.</w:t>
      </w:r>
    </w:p>
    <w:p w14:paraId="267A6A86" w14:textId="77777777" w:rsidR="00E77EA1" w:rsidRDefault="00E77EA1" w:rsidP="00E77EA1">
      <w:pPr>
        <w:numPr>
          <w:ilvl w:val="12"/>
          <w:numId w:val="0"/>
        </w:numPr>
        <w:tabs>
          <w:tab w:val="left" w:pos="720"/>
        </w:tabs>
        <w:ind w:left="720"/>
      </w:pPr>
    </w:p>
    <w:p w14:paraId="78711C17" w14:textId="156B08F7" w:rsidR="00E77EA1" w:rsidRDefault="00E77EA1" w:rsidP="00E77EA1">
      <w:pPr>
        <w:pStyle w:val="Heading3"/>
      </w:pPr>
      <w:bookmarkStart w:id="7" w:name="_Toc500767118"/>
      <w:r>
        <w:t xml:space="preserve">The conference will be held on </w:t>
      </w:r>
      <w:r w:rsidR="00BB2E5E">
        <w:t>December 9</w:t>
      </w:r>
      <w:r w:rsidR="00BB2E5E" w:rsidRPr="00BB2E5E">
        <w:rPr>
          <w:vertAlign w:val="superscript"/>
        </w:rPr>
        <w:t>th</w:t>
      </w:r>
      <w:r w:rsidR="00BB2E5E">
        <w:t xml:space="preserve"> –</w:t>
      </w:r>
      <w:r w:rsidR="003F53D8">
        <w:t xml:space="preserve"> </w:t>
      </w:r>
      <w:r w:rsidR="00BB2E5E">
        <w:t>December 13</w:t>
      </w:r>
      <w:r w:rsidR="00BB2E5E" w:rsidRPr="00BB2E5E">
        <w:rPr>
          <w:vertAlign w:val="superscript"/>
        </w:rPr>
        <w:t>th</w:t>
      </w:r>
      <w:r w:rsidR="00BB2E5E">
        <w:t>, 2024,</w:t>
      </w:r>
      <w:r>
        <w:t xml:space="preserve"> in </w:t>
      </w:r>
      <w:r w:rsidR="00BB2E5E">
        <w:t>Las Vegas</w:t>
      </w:r>
      <w:r>
        <w:t>, Nevada</w:t>
      </w:r>
      <w:bookmarkEnd w:id="7"/>
      <w:r>
        <w:t xml:space="preserve">.  Check-in will be on </w:t>
      </w:r>
      <w:r w:rsidR="00BB2E5E">
        <w:t>December 8</w:t>
      </w:r>
      <w:r w:rsidR="00444D96">
        <w:t>,</w:t>
      </w:r>
      <w:r w:rsidR="009D4973">
        <w:rPr>
          <w:vertAlign w:val="superscript"/>
        </w:rPr>
        <w:t xml:space="preserve"> </w:t>
      </w:r>
      <w:r w:rsidR="00AB1BAB">
        <w:t>202</w:t>
      </w:r>
      <w:r w:rsidR="00BB2E5E">
        <w:t>4</w:t>
      </w:r>
      <w:r w:rsidR="00AB1BAB">
        <w:t>,</w:t>
      </w:r>
      <w:r w:rsidR="009D4973">
        <w:t xml:space="preserve"> and check-out will be on </w:t>
      </w:r>
      <w:r w:rsidR="00BB2E5E">
        <w:t>December</w:t>
      </w:r>
      <w:r w:rsidR="003F53D8">
        <w:t xml:space="preserve"> </w:t>
      </w:r>
      <w:r w:rsidR="00BB2E5E">
        <w:t>1</w:t>
      </w:r>
      <w:r w:rsidR="003C78A5">
        <w:t>3</w:t>
      </w:r>
      <w:r w:rsidR="009D4973">
        <w:t>, 202</w:t>
      </w:r>
      <w:r w:rsidR="00BB2E5E">
        <w:t>4</w:t>
      </w:r>
      <w:r w:rsidR="009D4973">
        <w:t>.</w:t>
      </w:r>
    </w:p>
    <w:p w14:paraId="264FA36E" w14:textId="77777777" w:rsidR="00E77EA1" w:rsidRPr="00626C0B" w:rsidRDefault="00E77EA1" w:rsidP="00E77EA1"/>
    <w:p w14:paraId="583D7D37" w14:textId="3197DB60" w:rsidR="00E77EA1" w:rsidRDefault="00E77EA1" w:rsidP="00E77EA1">
      <w:pPr>
        <w:pStyle w:val="Heading2"/>
      </w:pPr>
      <w:bookmarkStart w:id="8" w:name="_Toc500767119"/>
      <w:r>
        <w:t>The facili</w:t>
      </w:r>
      <w:r w:rsidR="009D4973">
        <w:t>ty</w:t>
      </w:r>
      <w:r>
        <w:t xml:space="preserve"> must have the capacity to host a conference with 75 attendees including rooms and an additional 25-30 presenters/panelists, conference</w:t>
      </w:r>
      <w:r w:rsidR="009D4973">
        <w:t>/meeting</w:t>
      </w:r>
      <w:r>
        <w:t xml:space="preserve"> rooms, </w:t>
      </w:r>
      <w:r w:rsidR="009D4973">
        <w:t xml:space="preserve">3 </w:t>
      </w:r>
      <w:r>
        <w:t>breakout rooms</w:t>
      </w:r>
      <w:r w:rsidR="00C21659">
        <w:t xml:space="preserve"> of varying floor plan layouts</w:t>
      </w:r>
      <w:r>
        <w:t>, vendor demonstration space, catering, audio/visual, and professional event coordinator services.</w:t>
      </w:r>
      <w:bookmarkEnd w:id="8"/>
      <w:r>
        <w:t xml:space="preserve"> </w:t>
      </w:r>
    </w:p>
    <w:p w14:paraId="49F9810B" w14:textId="77777777" w:rsidR="00E77EA1" w:rsidRPr="00D2329C" w:rsidRDefault="00E77EA1" w:rsidP="00E77EA1"/>
    <w:p w14:paraId="03D86994" w14:textId="5829066C" w:rsidR="00E77EA1" w:rsidRPr="00D2329C" w:rsidRDefault="00E77EA1" w:rsidP="00E77EA1">
      <w:pPr>
        <w:pStyle w:val="Heading2"/>
        <w:rPr>
          <w:sz w:val="22"/>
          <w:szCs w:val="22"/>
        </w:rPr>
      </w:pPr>
      <w:r w:rsidRPr="0007346E">
        <w:t>All meeting expenses will be charged to a master account, apart</w:t>
      </w:r>
      <w:r w:rsidR="00655241">
        <w:t xml:space="preserve"> from hotel room </w:t>
      </w:r>
      <w:r w:rsidRPr="00D2329C">
        <w:t>incidental charges, for which each individual attendee will be responsible</w:t>
      </w:r>
      <w:r w:rsidR="00655241">
        <w:t xml:space="preserve"> and presenter/panelist/vendor rooms or other accommodations necessary for their attendance</w:t>
      </w:r>
      <w:r w:rsidR="00816B51">
        <w:t xml:space="preserve"> are the responsibility of the presenter/panelist/vendor.</w:t>
      </w:r>
    </w:p>
    <w:p w14:paraId="67630081" w14:textId="77777777" w:rsidR="00D91DEB" w:rsidRPr="00B66FFF" w:rsidRDefault="00D91DEB" w:rsidP="00C371BD"/>
    <w:p w14:paraId="125A3A6F" w14:textId="1EF22EE0" w:rsidR="00C56046" w:rsidRPr="00B66FFF" w:rsidRDefault="00C56046" w:rsidP="00A33A03">
      <w:pPr>
        <w:pStyle w:val="Heading1"/>
      </w:pPr>
      <w:r w:rsidRPr="00B66FFF">
        <w:t>SCOP</w:t>
      </w:r>
      <w:bookmarkStart w:id="9" w:name="_Toc70363816"/>
      <w:bookmarkStart w:id="10" w:name="_Toc70367351"/>
      <w:bookmarkStart w:id="11" w:name="_Toc106965212"/>
      <w:r w:rsidRPr="00B66FFF">
        <w:t>E OF WORK</w:t>
      </w:r>
      <w:bookmarkEnd w:id="9"/>
      <w:bookmarkEnd w:id="10"/>
      <w:bookmarkEnd w:id="11"/>
    </w:p>
    <w:p w14:paraId="356F1A30" w14:textId="77777777" w:rsidR="00405EE8" w:rsidRPr="003206EC" w:rsidRDefault="00405EE8" w:rsidP="00405EE8"/>
    <w:p w14:paraId="024C6454" w14:textId="77777777" w:rsidR="00405EE8" w:rsidRPr="004C5CCC" w:rsidRDefault="00405EE8" w:rsidP="00405EE8">
      <w:pPr>
        <w:pStyle w:val="ListParagraph"/>
        <w:keepNext/>
        <w:numPr>
          <w:ilvl w:val="0"/>
          <w:numId w:val="39"/>
        </w:numPr>
        <w:jc w:val="left"/>
        <w:outlineLvl w:val="1"/>
        <w:rPr>
          <w:b/>
          <w:vanish/>
          <w:szCs w:val="20"/>
        </w:rPr>
      </w:pPr>
    </w:p>
    <w:p w14:paraId="47B1A988" w14:textId="0329F550" w:rsidR="00405EE8" w:rsidRPr="00F130F9" w:rsidRDefault="001220E4" w:rsidP="005A0904">
      <w:pPr>
        <w:pStyle w:val="Heading2"/>
        <w:numPr>
          <w:ilvl w:val="0"/>
          <w:numId w:val="0"/>
        </w:numPr>
        <w:tabs>
          <w:tab w:val="left" w:pos="1080"/>
        </w:tabs>
      </w:pPr>
      <w:r>
        <w:t xml:space="preserve">3.1         </w:t>
      </w:r>
      <w:r w:rsidR="00405EE8" w:rsidRPr="00F130F9">
        <w:t xml:space="preserve">The conference dates are </w:t>
      </w:r>
      <w:r w:rsidR="00E96BD7">
        <w:t>December 9</w:t>
      </w:r>
      <w:r w:rsidR="003F53D8">
        <w:t xml:space="preserve"> – </w:t>
      </w:r>
      <w:r w:rsidR="00E96BD7">
        <w:t>December 13</w:t>
      </w:r>
      <w:r w:rsidR="00F130F9" w:rsidRPr="00F130F9">
        <w:t>, 202</w:t>
      </w:r>
      <w:r w:rsidR="00E96BD7">
        <w:t>4</w:t>
      </w:r>
      <w:r w:rsidR="00405EE8" w:rsidRPr="00F130F9">
        <w:t>.</w:t>
      </w:r>
    </w:p>
    <w:p w14:paraId="05C19709" w14:textId="0B066B3C" w:rsidR="00405EE8" w:rsidRPr="00F130F9" w:rsidRDefault="002972DC" w:rsidP="00AE3AE3">
      <w:pPr>
        <w:pStyle w:val="Heading2"/>
        <w:numPr>
          <w:ilvl w:val="0"/>
          <w:numId w:val="0"/>
        </w:numPr>
        <w:ind w:left="720" w:hanging="720"/>
      </w:pPr>
      <w:bookmarkStart w:id="12" w:name="_Toc500767125"/>
      <w:proofErr w:type="gramStart"/>
      <w:r w:rsidRPr="00F130F9">
        <w:t>3.2</w:t>
      </w:r>
      <w:r w:rsidR="00405EE8" w:rsidRPr="00F130F9">
        <w:t xml:space="preserve"> </w:t>
      </w:r>
      <w:r w:rsidR="00F57327" w:rsidRPr="00F130F9">
        <w:t xml:space="preserve"> </w:t>
      </w:r>
      <w:r w:rsidR="00F57327" w:rsidRPr="00F130F9">
        <w:tab/>
      </w:r>
      <w:proofErr w:type="gramEnd"/>
      <w:r w:rsidR="00405EE8" w:rsidRPr="00F130F9">
        <w:t xml:space="preserve">The conference will be held in </w:t>
      </w:r>
      <w:r w:rsidR="00E96BD7">
        <w:t>Las Vegas</w:t>
      </w:r>
      <w:r w:rsidR="00405EE8" w:rsidRPr="00F130F9">
        <w:t xml:space="preserve">, </w:t>
      </w:r>
      <w:r w:rsidR="00DF045B" w:rsidRPr="00F130F9">
        <w:t>NV</w:t>
      </w:r>
      <w:r w:rsidR="00405EE8" w:rsidRPr="00F130F9">
        <w:t>.</w:t>
      </w:r>
      <w:bookmarkEnd w:id="12"/>
      <w:r w:rsidR="00405EE8" w:rsidRPr="00F130F9">
        <w:t xml:space="preserve"> </w:t>
      </w:r>
    </w:p>
    <w:p w14:paraId="1E599D93" w14:textId="3B2DD702" w:rsidR="002972DC" w:rsidRPr="009E18F8" w:rsidRDefault="00405EE8" w:rsidP="00AE3AE3">
      <w:pPr>
        <w:pStyle w:val="Heading2"/>
        <w:numPr>
          <w:ilvl w:val="0"/>
          <w:numId w:val="0"/>
        </w:numPr>
        <w:ind w:left="720" w:hanging="720"/>
      </w:pPr>
      <w:bookmarkStart w:id="13" w:name="_Toc500767126"/>
      <w:proofErr w:type="gramStart"/>
      <w:r w:rsidRPr="009E18F8">
        <w:t xml:space="preserve">3.3  </w:t>
      </w:r>
      <w:r w:rsidR="00F57327" w:rsidRPr="009E18F8">
        <w:tab/>
      </w:r>
      <w:proofErr w:type="gramEnd"/>
      <w:r w:rsidR="0033469B">
        <w:t>V</w:t>
      </w:r>
      <w:r w:rsidRPr="009E18F8">
        <w:t>endors must provide with their proposal a complete and detailed description of the following</w:t>
      </w:r>
      <w:bookmarkStart w:id="14" w:name="_Toc500767127"/>
      <w:bookmarkEnd w:id="13"/>
      <w:r w:rsidRPr="009E18F8">
        <w:t>:</w:t>
      </w:r>
    </w:p>
    <w:p w14:paraId="1FC87916" w14:textId="242D4787" w:rsidR="00405EE8" w:rsidRPr="009E18F8" w:rsidRDefault="00405EE8" w:rsidP="00AE3AE3">
      <w:pPr>
        <w:pStyle w:val="Heading2"/>
        <w:numPr>
          <w:ilvl w:val="2"/>
          <w:numId w:val="45"/>
        </w:numPr>
        <w:ind w:left="1440"/>
      </w:pPr>
      <w:r w:rsidRPr="009E18F8">
        <w:t>The availability of individual rooms</w:t>
      </w:r>
      <w:bookmarkEnd w:id="14"/>
    </w:p>
    <w:p w14:paraId="68DA0866" w14:textId="772402B7" w:rsidR="00405EE8" w:rsidRPr="009E18F8" w:rsidRDefault="00405EE8" w:rsidP="00AE3AE3">
      <w:pPr>
        <w:pStyle w:val="Heading2"/>
        <w:numPr>
          <w:ilvl w:val="2"/>
          <w:numId w:val="45"/>
        </w:numPr>
        <w:ind w:left="1440"/>
      </w:pPr>
      <w:bookmarkStart w:id="15" w:name="_Toc500767128"/>
      <w:r w:rsidRPr="009E18F8">
        <w:t>The facility layout</w:t>
      </w:r>
      <w:bookmarkEnd w:id="15"/>
      <w:r w:rsidRPr="009E18F8">
        <w:t xml:space="preserve"> shall include the following: </w:t>
      </w:r>
    </w:p>
    <w:p w14:paraId="0F810EDE" w14:textId="15EED4BF" w:rsidR="00405EE8" w:rsidRPr="009E18F8" w:rsidRDefault="005A0904" w:rsidP="00AE3AE3">
      <w:pPr>
        <w:pStyle w:val="Heading2"/>
        <w:numPr>
          <w:ilvl w:val="0"/>
          <w:numId w:val="0"/>
        </w:numPr>
        <w:ind w:left="2070" w:hanging="630"/>
      </w:pPr>
      <w:r>
        <w:t>3.3.2.1</w:t>
      </w:r>
      <w:r w:rsidR="00AE3AE3">
        <w:tab/>
      </w:r>
      <w:r w:rsidR="00AE3AE3">
        <w:tab/>
      </w:r>
      <w:r w:rsidR="00F130F9" w:rsidRPr="009E18F8">
        <w:t>In addition to the main conference space for up to 75 attendees and up to an addition</w:t>
      </w:r>
      <w:r w:rsidR="0007346E">
        <w:t>al</w:t>
      </w:r>
      <w:r w:rsidR="00F130F9" w:rsidRPr="009E18F8">
        <w:t xml:space="preserve"> 25 </w:t>
      </w:r>
      <w:r w:rsidR="00AE3AE3">
        <w:tab/>
      </w:r>
      <w:r w:rsidR="00F130F9" w:rsidRPr="009E18F8">
        <w:t>panelists/presenters</w:t>
      </w:r>
      <w:r w:rsidR="00AE3AE3">
        <w:t>.</w:t>
      </w:r>
    </w:p>
    <w:p w14:paraId="65241E02" w14:textId="7ECEC575" w:rsidR="00405EE8" w:rsidRPr="009E18F8" w:rsidRDefault="005A0904" w:rsidP="00AE3AE3">
      <w:pPr>
        <w:pStyle w:val="Heading2"/>
        <w:numPr>
          <w:ilvl w:val="0"/>
          <w:numId w:val="0"/>
        </w:numPr>
        <w:ind w:left="2070" w:hanging="630"/>
      </w:pPr>
      <w:r>
        <w:t>3.3.2.2</w:t>
      </w:r>
      <w:r>
        <w:tab/>
      </w:r>
      <w:r w:rsidR="00AE3AE3">
        <w:tab/>
      </w:r>
      <w:r w:rsidR="00405EE8" w:rsidRPr="009E18F8">
        <w:t xml:space="preserve">Ability to host a vendor area with up to </w:t>
      </w:r>
      <w:r w:rsidR="00C21659">
        <w:t>4</w:t>
      </w:r>
      <w:r w:rsidR="00405EE8" w:rsidRPr="009E18F8">
        <w:t xml:space="preserve"> vendors</w:t>
      </w:r>
      <w:r w:rsidR="00AE3AE3">
        <w:t>.</w:t>
      </w:r>
    </w:p>
    <w:p w14:paraId="35A017E1" w14:textId="615050A8" w:rsidR="00405EE8" w:rsidRPr="009E18F8" w:rsidRDefault="005A0904" w:rsidP="00AE3AE3">
      <w:pPr>
        <w:pStyle w:val="Heading2"/>
        <w:numPr>
          <w:ilvl w:val="0"/>
          <w:numId w:val="0"/>
        </w:numPr>
        <w:ind w:left="2070" w:hanging="630"/>
      </w:pPr>
      <w:r>
        <w:t>3.3.2.3</w:t>
      </w:r>
      <w:r>
        <w:tab/>
      </w:r>
      <w:r w:rsidR="00AE3AE3">
        <w:tab/>
      </w:r>
      <w:r w:rsidR="00405EE8" w:rsidRPr="009E18F8">
        <w:t xml:space="preserve">Ability to host a </w:t>
      </w:r>
      <w:r w:rsidR="00F130F9" w:rsidRPr="009E18F8">
        <w:t>dinner</w:t>
      </w:r>
      <w:r w:rsidR="00405EE8" w:rsidRPr="009E18F8">
        <w:t xml:space="preserve"> </w:t>
      </w:r>
      <w:r w:rsidR="00F130F9" w:rsidRPr="009E18F8">
        <w:t xml:space="preserve">for </w:t>
      </w:r>
      <w:r w:rsidR="00E96BD7">
        <w:t>f</w:t>
      </w:r>
      <w:r w:rsidR="00C21659">
        <w:t>ive</w:t>
      </w:r>
      <w:r w:rsidR="00F130F9" w:rsidRPr="009E18F8">
        <w:t xml:space="preserve"> event days</w:t>
      </w:r>
      <w:r w:rsidR="00405EE8" w:rsidRPr="009E18F8">
        <w:t xml:space="preserve"> of </w:t>
      </w:r>
      <w:r w:rsidR="00F130F9" w:rsidRPr="009E18F8">
        <w:t>up to 100</w:t>
      </w:r>
      <w:r w:rsidR="00405EE8" w:rsidRPr="009E18F8">
        <w:t xml:space="preserve"> people</w:t>
      </w:r>
      <w:r w:rsidR="00E17093" w:rsidRPr="009E18F8">
        <w:t xml:space="preserve">, and a separate banquet dinner for up </w:t>
      </w:r>
      <w:r w:rsidR="00AE3AE3">
        <w:tab/>
      </w:r>
      <w:r w:rsidR="00E17093" w:rsidRPr="009E18F8">
        <w:t>to 75 people</w:t>
      </w:r>
      <w:r w:rsidR="00AE3AE3">
        <w:t>.</w:t>
      </w:r>
    </w:p>
    <w:p w14:paraId="59C0F4D1" w14:textId="335F6824" w:rsidR="00405EE8" w:rsidRPr="009E18F8" w:rsidRDefault="005A0904" w:rsidP="00AE3AE3">
      <w:pPr>
        <w:pStyle w:val="Heading2"/>
        <w:numPr>
          <w:ilvl w:val="0"/>
          <w:numId w:val="0"/>
        </w:numPr>
        <w:ind w:left="2070" w:hanging="630"/>
      </w:pPr>
      <w:r>
        <w:t>3.3.2.4</w:t>
      </w:r>
      <w:r>
        <w:tab/>
      </w:r>
      <w:r w:rsidR="00AE3AE3">
        <w:tab/>
      </w:r>
      <w:r w:rsidR="00405EE8" w:rsidRPr="009E18F8">
        <w:t xml:space="preserve">Ability to host a welcoming reception of </w:t>
      </w:r>
      <w:r w:rsidR="00F130F9" w:rsidRPr="009E18F8">
        <w:t xml:space="preserve">75 </w:t>
      </w:r>
      <w:r w:rsidR="00405EE8" w:rsidRPr="009E18F8">
        <w:t>people</w:t>
      </w:r>
      <w:r w:rsidR="00AE3AE3">
        <w:t>.</w:t>
      </w:r>
    </w:p>
    <w:p w14:paraId="5A7CED36" w14:textId="3E849C7D" w:rsidR="00405EE8" w:rsidRPr="009E18F8" w:rsidRDefault="005A0904" w:rsidP="00AE3AE3">
      <w:pPr>
        <w:pStyle w:val="Heading2"/>
        <w:numPr>
          <w:ilvl w:val="0"/>
          <w:numId w:val="0"/>
        </w:numPr>
        <w:ind w:left="2070" w:hanging="630"/>
      </w:pPr>
      <w:r>
        <w:t>3.3.2.5</w:t>
      </w:r>
      <w:r>
        <w:tab/>
      </w:r>
      <w:r w:rsidR="00AE3AE3">
        <w:tab/>
      </w:r>
      <w:r w:rsidR="00405EE8" w:rsidRPr="009E18F8">
        <w:t xml:space="preserve">Ability to host </w:t>
      </w:r>
      <w:r w:rsidR="00C21659">
        <w:t>multiple</w:t>
      </w:r>
      <w:r w:rsidR="00405EE8" w:rsidRPr="009E18F8">
        <w:t xml:space="preserve"> concurrent technical </w:t>
      </w:r>
      <w:r w:rsidR="00F130F9" w:rsidRPr="009E18F8">
        <w:t xml:space="preserve">breakout </w:t>
      </w:r>
      <w:r w:rsidR="00405EE8" w:rsidRPr="009E18F8">
        <w:t xml:space="preserve">sessions on </w:t>
      </w:r>
      <w:r w:rsidR="00E96BD7">
        <w:t>f</w:t>
      </w:r>
      <w:r w:rsidR="00C21659">
        <w:t>ive</w:t>
      </w:r>
      <w:r w:rsidR="00405EE8" w:rsidRPr="009E18F8">
        <w:t xml:space="preserve"> consecutive</w:t>
      </w:r>
      <w:r w:rsidR="00F130F9" w:rsidRPr="009E18F8">
        <w:t xml:space="preserve"> conference</w:t>
      </w:r>
      <w:r w:rsidR="00405EE8" w:rsidRPr="009E18F8">
        <w:t xml:space="preserve"> </w:t>
      </w:r>
      <w:r>
        <w:tab/>
      </w:r>
      <w:r w:rsidR="00405EE8" w:rsidRPr="009E18F8">
        <w:t>days</w:t>
      </w:r>
      <w:r w:rsidR="00C21659">
        <w:t>, with multiple floor plan layout diagrams to change based on topics being presented.</w:t>
      </w:r>
    </w:p>
    <w:p w14:paraId="05A5110E" w14:textId="04E02999" w:rsidR="00405EE8" w:rsidRPr="009E18F8" w:rsidRDefault="005A0904" w:rsidP="00AE3AE3">
      <w:pPr>
        <w:pStyle w:val="Heading2"/>
        <w:numPr>
          <w:ilvl w:val="0"/>
          <w:numId w:val="0"/>
        </w:numPr>
        <w:ind w:left="2070" w:hanging="630"/>
      </w:pPr>
      <w:r>
        <w:t>3.3.2.6</w:t>
      </w:r>
      <w:r>
        <w:tab/>
      </w:r>
      <w:r w:rsidR="00AE3AE3">
        <w:tab/>
      </w:r>
      <w:r w:rsidR="00405EE8" w:rsidRPr="009E18F8">
        <w:t>Ability to host space for one registration desk</w:t>
      </w:r>
      <w:r w:rsidR="00AE3AE3">
        <w:t>.</w:t>
      </w:r>
    </w:p>
    <w:p w14:paraId="288BF0CC" w14:textId="5DEC34B2" w:rsidR="00405EE8" w:rsidRPr="009E18F8" w:rsidRDefault="005A0904" w:rsidP="00AE3AE3">
      <w:pPr>
        <w:pStyle w:val="Heading2"/>
        <w:numPr>
          <w:ilvl w:val="0"/>
          <w:numId w:val="0"/>
        </w:numPr>
        <w:ind w:left="2070" w:hanging="630"/>
      </w:pPr>
      <w:r>
        <w:t>3.3.2.7</w:t>
      </w:r>
      <w:r>
        <w:tab/>
      </w:r>
      <w:r w:rsidR="00AE3AE3">
        <w:tab/>
      </w:r>
      <w:r w:rsidR="00405EE8" w:rsidRPr="009E18F8">
        <w:t xml:space="preserve">Capacity and options for parking for </w:t>
      </w:r>
      <w:r w:rsidR="001220E4">
        <w:t>attendees, panelists/presenters</w:t>
      </w:r>
      <w:r w:rsidR="00AE3AE3">
        <w:t>.</w:t>
      </w:r>
    </w:p>
    <w:p w14:paraId="1BA18A1E" w14:textId="29234B05" w:rsidR="00405EE8" w:rsidRPr="009E18F8" w:rsidRDefault="00405EE8" w:rsidP="00AE3AE3">
      <w:pPr>
        <w:pStyle w:val="Heading2"/>
        <w:numPr>
          <w:ilvl w:val="3"/>
          <w:numId w:val="48"/>
        </w:numPr>
        <w:ind w:left="2160"/>
      </w:pPr>
      <w:r w:rsidRPr="009E18F8">
        <w:t xml:space="preserve">Capacity for </w:t>
      </w:r>
      <w:r w:rsidR="00E17093" w:rsidRPr="009E18F8">
        <w:t>loading space for vendor use to unload equipment, if needed</w:t>
      </w:r>
      <w:r w:rsidR="00AE3AE3">
        <w:t>.</w:t>
      </w:r>
    </w:p>
    <w:p w14:paraId="1F3C69BB" w14:textId="7EED017B" w:rsidR="00405EE8" w:rsidRPr="009E18F8" w:rsidRDefault="005A0904" w:rsidP="00AE3AE3">
      <w:pPr>
        <w:pStyle w:val="Heading2"/>
        <w:numPr>
          <w:ilvl w:val="0"/>
          <w:numId w:val="0"/>
        </w:numPr>
        <w:ind w:left="2160" w:hanging="720"/>
      </w:pPr>
      <w:r>
        <w:t>3.3.2.9</w:t>
      </w:r>
      <w:r>
        <w:tab/>
      </w:r>
      <w:r w:rsidR="00405EE8" w:rsidRPr="009E18F8">
        <w:t xml:space="preserve">Ability to ensure proper security for attendees, </w:t>
      </w:r>
      <w:r w:rsidR="00E17093" w:rsidRPr="009E18F8">
        <w:t>speakers/panelists</w:t>
      </w:r>
      <w:r w:rsidR="00405EE8" w:rsidRPr="009E18F8">
        <w:t>, vendor</w:t>
      </w:r>
      <w:r w:rsidR="00E17093" w:rsidRPr="009E18F8">
        <w:t>s</w:t>
      </w:r>
      <w:r w:rsidR="001220E4">
        <w:t>,</w:t>
      </w:r>
      <w:r w:rsidR="00405EE8" w:rsidRPr="009E18F8">
        <w:t xml:space="preserve"> and other personnel, including nightly equipment storage</w:t>
      </w:r>
      <w:r w:rsidR="00AE3AE3">
        <w:t>.</w:t>
      </w:r>
    </w:p>
    <w:p w14:paraId="5245097F" w14:textId="104F9C0B" w:rsidR="00AE3AE3" w:rsidRPr="00AE3AE3" w:rsidRDefault="00405EE8" w:rsidP="00AE3AE3">
      <w:pPr>
        <w:pStyle w:val="Heading2"/>
        <w:numPr>
          <w:ilvl w:val="3"/>
          <w:numId w:val="49"/>
        </w:numPr>
        <w:ind w:left="2160"/>
      </w:pPr>
      <w:bookmarkStart w:id="16" w:name="_Toc500767129"/>
      <w:r w:rsidRPr="009E18F8">
        <w:t xml:space="preserve">Ability </w:t>
      </w:r>
      <w:r w:rsidR="001220E4">
        <w:t>to</w:t>
      </w:r>
      <w:r w:rsidRPr="009E18F8">
        <w:t xml:space="preserve"> cater breakfast, session breaks and other event needs for </w:t>
      </w:r>
      <w:r w:rsidR="00E17093" w:rsidRPr="009E18F8">
        <w:t>75-100</w:t>
      </w:r>
      <w:r w:rsidRPr="009E18F8">
        <w:t xml:space="preserve"> </w:t>
      </w:r>
      <w:bookmarkEnd w:id="16"/>
      <w:r w:rsidRPr="009E18F8">
        <w:t>attendees</w:t>
      </w:r>
      <w:r w:rsidR="00AE3AE3">
        <w:t>.</w:t>
      </w:r>
    </w:p>
    <w:p w14:paraId="7E818F16" w14:textId="4DA918F8" w:rsidR="00405EE8" w:rsidRPr="009E18F8" w:rsidRDefault="00405EE8" w:rsidP="00AE3AE3">
      <w:pPr>
        <w:pStyle w:val="Heading2"/>
        <w:numPr>
          <w:ilvl w:val="2"/>
          <w:numId w:val="49"/>
        </w:numPr>
        <w:ind w:left="1440"/>
      </w:pPr>
      <w:bookmarkStart w:id="17" w:name="_Toc500767130"/>
      <w:r w:rsidRPr="009E18F8">
        <w:t>Application must include</w:t>
      </w:r>
      <w:r w:rsidR="00AE3AE3">
        <w:t xml:space="preserve"> p</w:t>
      </w:r>
      <w:r w:rsidRPr="009E18F8">
        <w:t>roof of experience with professional event coordination</w:t>
      </w:r>
      <w:bookmarkEnd w:id="17"/>
      <w:r w:rsidR="00AE3AE3">
        <w:t>.</w:t>
      </w:r>
    </w:p>
    <w:p w14:paraId="4B5B2B6A" w14:textId="1B79BB83" w:rsidR="00405EE8" w:rsidRPr="009E18F8" w:rsidRDefault="00405EE8" w:rsidP="00AE3AE3">
      <w:pPr>
        <w:pStyle w:val="Heading2"/>
        <w:numPr>
          <w:ilvl w:val="2"/>
          <w:numId w:val="49"/>
        </w:numPr>
        <w:ind w:left="1440"/>
      </w:pPr>
      <w:bookmarkStart w:id="18" w:name="_Toc500767131"/>
      <w:r w:rsidRPr="009E18F8">
        <w:t>Be able to provide audio and visual</w:t>
      </w:r>
      <w:bookmarkEnd w:id="18"/>
      <w:r w:rsidRPr="009E18F8">
        <w:t xml:space="preserve"> support for </w:t>
      </w:r>
      <w:r w:rsidR="0033469B" w:rsidRPr="009E18F8">
        <w:t>technical</w:t>
      </w:r>
      <w:r w:rsidRPr="009E18F8">
        <w:t xml:space="preserve"> sessions, </w:t>
      </w:r>
      <w:r w:rsidR="00E17093" w:rsidRPr="009E18F8">
        <w:t>dinners</w:t>
      </w:r>
      <w:r w:rsidRPr="009E18F8">
        <w:t>, meetings, and other events</w:t>
      </w:r>
      <w:r w:rsidR="00AE3AE3">
        <w:t>.</w:t>
      </w:r>
    </w:p>
    <w:p w14:paraId="039D550F" w14:textId="7E963EFC" w:rsidR="00405EE8" w:rsidRPr="009E18F8" w:rsidRDefault="00405EE8" w:rsidP="00AE3AE3">
      <w:pPr>
        <w:pStyle w:val="Heading2"/>
        <w:numPr>
          <w:ilvl w:val="1"/>
          <w:numId w:val="49"/>
        </w:numPr>
        <w:ind w:left="720" w:hanging="720"/>
      </w:pPr>
      <w:r w:rsidRPr="009E18F8">
        <w:t>Provide a cancellation policy</w:t>
      </w:r>
      <w:r w:rsidR="00AE3AE3">
        <w:t>.</w:t>
      </w:r>
    </w:p>
    <w:p w14:paraId="45D4C1DE" w14:textId="64FB4D32" w:rsidR="00405EE8" w:rsidRPr="009E18F8" w:rsidRDefault="00405EE8" w:rsidP="00AE3AE3">
      <w:pPr>
        <w:pStyle w:val="Heading2"/>
        <w:numPr>
          <w:ilvl w:val="1"/>
          <w:numId w:val="49"/>
        </w:numPr>
        <w:ind w:left="720" w:hanging="720"/>
      </w:pPr>
      <w:r w:rsidRPr="009E18F8">
        <w:t>Provide billing arrangement options</w:t>
      </w:r>
      <w:r w:rsidR="00AE3AE3">
        <w:t>.</w:t>
      </w:r>
    </w:p>
    <w:p w14:paraId="38EE3B4F" w14:textId="6B2FC5D2" w:rsidR="00405EE8" w:rsidRPr="009E18F8" w:rsidRDefault="00405EE8" w:rsidP="00AE3AE3">
      <w:pPr>
        <w:pStyle w:val="Heading2"/>
        <w:numPr>
          <w:ilvl w:val="1"/>
          <w:numId w:val="49"/>
        </w:numPr>
        <w:ind w:left="720" w:hanging="720"/>
      </w:pPr>
      <w:r w:rsidRPr="009E18F8">
        <w:t>Provide the group room rate</w:t>
      </w:r>
      <w:r w:rsidR="00E17093" w:rsidRPr="009E18F8">
        <w:t>s and</w:t>
      </w:r>
      <w:r w:rsidRPr="009E18F8">
        <w:t xml:space="preserve"> reservation cutoff date</w:t>
      </w:r>
      <w:r w:rsidR="00AE3AE3">
        <w:t>.</w:t>
      </w:r>
    </w:p>
    <w:p w14:paraId="2666065D" w14:textId="57EF11FF" w:rsidR="00405EE8" w:rsidRPr="009E18F8" w:rsidRDefault="00405EE8" w:rsidP="00AE3AE3">
      <w:pPr>
        <w:pStyle w:val="Heading2"/>
        <w:numPr>
          <w:ilvl w:val="1"/>
          <w:numId w:val="49"/>
        </w:numPr>
        <w:ind w:left="720" w:hanging="720"/>
      </w:pPr>
      <w:r w:rsidRPr="009E18F8">
        <w:t>The conference is attended primarily by</w:t>
      </w:r>
      <w:r w:rsidR="00E17093" w:rsidRPr="009E18F8">
        <w:t xml:space="preserve"> Nevada state, </w:t>
      </w:r>
      <w:proofErr w:type="gramStart"/>
      <w:r w:rsidR="00E17093" w:rsidRPr="009E18F8">
        <w:t>county</w:t>
      </w:r>
      <w:proofErr w:type="gramEnd"/>
      <w:r w:rsidR="00E17093" w:rsidRPr="009E18F8">
        <w:t xml:space="preserve"> and city employees</w:t>
      </w:r>
      <w:r w:rsidRPr="009E18F8">
        <w:t xml:space="preserve">. Special consideration should be made in this RFP to address room rates in coordination with the federally approved General Services Administration (GSA) rates. </w:t>
      </w:r>
    </w:p>
    <w:p w14:paraId="330EEE42" w14:textId="4CEE87FA" w:rsidR="00405EE8" w:rsidRPr="009E18F8" w:rsidRDefault="00405EE8" w:rsidP="00AE3AE3">
      <w:pPr>
        <w:pStyle w:val="Heading2"/>
        <w:numPr>
          <w:ilvl w:val="1"/>
          <w:numId w:val="49"/>
        </w:numPr>
        <w:ind w:left="720" w:hanging="720"/>
      </w:pPr>
      <w:r w:rsidRPr="009E18F8">
        <w:t xml:space="preserve">Some guests like to arrive early and/or stay after the completion of the conference. Please allow a </w:t>
      </w:r>
      <w:r w:rsidR="00E17093" w:rsidRPr="009E18F8">
        <w:t>1</w:t>
      </w:r>
      <w:r w:rsidRPr="009E18F8">
        <w:t xml:space="preserve">-day before and a </w:t>
      </w:r>
      <w:r w:rsidR="00E17093" w:rsidRPr="009E18F8">
        <w:t>1</w:t>
      </w:r>
      <w:r w:rsidRPr="009E18F8">
        <w:t>-day after stay at the conference room rate.</w:t>
      </w:r>
    </w:p>
    <w:bookmarkEnd w:id="6"/>
    <w:p w14:paraId="1A4BD218" w14:textId="69C7AA20" w:rsidR="00C0347B" w:rsidRDefault="00C0347B" w:rsidP="00C371BD"/>
    <w:p w14:paraId="3BE65121" w14:textId="77777777" w:rsidR="0033469B" w:rsidRDefault="0033469B" w:rsidP="00C371BD"/>
    <w:p w14:paraId="26349413" w14:textId="77777777" w:rsidR="0033469B" w:rsidRDefault="0033469B" w:rsidP="00C371BD"/>
    <w:p w14:paraId="268CBD42" w14:textId="77777777" w:rsidR="0033469B" w:rsidRDefault="0033469B" w:rsidP="00C371BD"/>
    <w:p w14:paraId="151CD4E2" w14:textId="77777777" w:rsidR="0033469B" w:rsidRDefault="0033469B" w:rsidP="00C371BD"/>
    <w:p w14:paraId="1764AA9F" w14:textId="77777777" w:rsidR="00104A2B" w:rsidRPr="00B66FFF" w:rsidRDefault="00104A2B" w:rsidP="00A33A03">
      <w:pPr>
        <w:pStyle w:val="Heading1"/>
      </w:pPr>
      <w:bookmarkStart w:id="19" w:name="_Toc70363822"/>
      <w:bookmarkStart w:id="20" w:name="_Toc70367357"/>
      <w:bookmarkStart w:id="21" w:name="_Toc106965213"/>
      <w:bookmarkStart w:id="22" w:name="_Toc31721213"/>
      <w:bookmarkStart w:id="23" w:name="_Toc64377102"/>
      <w:bookmarkStart w:id="24" w:name="_Toc64991541"/>
      <w:bookmarkStart w:id="25" w:name="_Toc65138426"/>
      <w:bookmarkStart w:id="26" w:name="_Toc66176034"/>
      <w:bookmarkStart w:id="27" w:name="_Toc70363819"/>
      <w:bookmarkStart w:id="28" w:name="_Toc70367354"/>
      <w:bookmarkStart w:id="29" w:name="_Toc70363817"/>
      <w:bookmarkStart w:id="30" w:name="_Toc70367352"/>
      <w:r w:rsidRPr="00B66FFF">
        <w:lastRenderedPageBreak/>
        <w:t>ATTACHMENTS</w:t>
      </w:r>
      <w:bookmarkEnd w:id="19"/>
      <w:bookmarkEnd w:id="20"/>
      <w:bookmarkEnd w:id="2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3B046B24" w14:textId="48F6DDA6" w:rsidR="00104A2B" w:rsidRDefault="00104A2B" w:rsidP="00917638">
      <w:pPr>
        <w:pStyle w:val="Heading3"/>
      </w:pPr>
      <w:r w:rsidRPr="00B66FFF">
        <w:t>Terms and Conditions</w:t>
      </w:r>
      <w:r>
        <w:t xml:space="preserve"> for Services</w:t>
      </w:r>
    </w:p>
    <w:p w14:paraId="386A6042" w14:textId="28163426" w:rsidR="0026212B" w:rsidRDefault="008724A9" w:rsidP="00BC6C13">
      <w:pPr>
        <w:ind w:left="720"/>
      </w:pPr>
      <w:r>
        <w:object w:dxaOrig="1041" w:dyaOrig="674" w14:anchorId="7405C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3.75pt" o:ole="">
            <v:imagedata r:id="rId14" o:title=""/>
          </v:shape>
          <o:OLEObject Type="Embed" ProgID="Acrobat.Document.DC" ShapeID="_x0000_i1025" DrawAspect="Icon" ObjectID="_1771249142" r:id="rId15"/>
        </w:object>
      </w:r>
    </w:p>
    <w:p w14:paraId="64A500C1" w14:textId="77777777" w:rsidR="009F518D" w:rsidRDefault="009F518D" w:rsidP="009F518D"/>
    <w:p w14:paraId="06C9698B" w14:textId="7EAA4CAB" w:rsidR="009F518D" w:rsidRPr="005A0904" w:rsidRDefault="009F518D" w:rsidP="009F518D">
      <w:pPr>
        <w:pStyle w:val="Heading2"/>
      </w:pPr>
      <w:r w:rsidRPr="005A0904">
        <w:t>ATTACHMENTS FOR REVIEW. To be read and not returned (unless redlining).</w:t>
      </w:r>
    </w:p>
    <w:p w14:paraId="13AC9B5C" w14:textId="673EA831" w:rsidR="00104A2B" w:rsidRPr="00B66FFF" w:rsidRDefault="00ED0C32" w:rsidP="00917638">
      <w:pPr>
        <w:pStyle w:val="Heading3"/>
      </w:pPr>
      <w:hyperlink r:id="rId16" w:history="1">
        <w:r w:rsidR="00BE5FEC" w:rsidRPr="00BE5FEC">
          <w:rPr>
            <w:rStyle w:val="Hyperlink"/>
          </w:rPr>
          <w:t>Standard Form Contract</w:t>
        </w:r>
      </w:hyperlink>
    </w:p>
    <w:p w14:paraId="5FD0C142" w14:textId="79E71AA7" w:rsidR="00104A2B" w:rsidRDefault="00ED0C32" w:rsidP="00917638">
      <w:pPr>
        <w:pStyle w:val="Heading3"/>
      </w:pPr>
      <w:hyperlink r:id="rId17" w:history="1">
        <w:r w:rsidR="00104A2B" w:rsidRPr="00AE3AE3">
          <w:rPr>
            <w:rStyle w:val="Hyperlink"/>
          </w:rPr>
          <w:t>Insurance Schedule</w:t>
        </w:r>
      </w:hyperlink>
    </w:p>
    <w:p w14:paraId="1E90C173" w14:textId="1CFC8F43" w:rsidR="00716BA9" w:rsidRDefault="00716BA9" w:rsidP="00C21659">
      <w:pPr>
        <w:pStyle w:val="Heading3"/>
      </w:pPr>
      <w:r>
        <w:t>N</w:t>
      </w:r>
      <w:r w:rsidR="00C21659">
        <w:t>EOTC</w:t>
      </w:r>
      <w:r>
        <w:t xml:space="preserve"> Draft </w:t>
      </w:r>
      <w:r w:rsidR="00C21659">
        <w:t>Agenda &amp; Floor Plan Diagram</w:t>
      </w:r>
      <w:r>
        <w:t xml:space="preserve"> </w:t>
      </w:r>
    </w:p>
    <w:p w14:paraId="03074A1C" w14:textId="71A05E3B" w:rsidR="00716BA9" w:rsidRPr="00B66FFF" w:rsidRDefault="00716BA9" w:rsidP="00716BA9">
      <w:pPr>
        <w:pStyle w:val="Heading3"/>
        <w:numPr>
          <w:ilvl w:val="0"/>
          <w:numId w:val="0"/>
        </w:numPr>
        <w:ind w:left="720"/>
      </w:pPr>
      <w:r>
        <w:t xml:space="preserve"> </w:t>
      </w:r>
      <w:r w:rsidR="00C653D7">
        <w:object w:dxaOrig="1539" w:dyaOrig="997" w14:anchorId="2350E650">
          <v:shape id="_x0000_i1026" type="#_x0000_t75" style="width:77.25pt;height:49.5pt" o:ole="">
            <v:imagedata r:id="rId18" o:title=""/>
          </v:shape>
          <o:OLEObject Type="Embed" ProgID="Acrobat.Document.DC" ShapeID="_x0000_i1026" DrawAspect="Icon" ObjectID="_1771249143" r:id="rId19"/>
        </w:object>
      </w:r>
    </w:p>
    <w:p w14:paraId="56CA6A4C" w14:textId="77777777" w:rsidR="00104A2B" w:rsidRPr="00B66FFF" w:rsidRDefault="00104A2B" w:rsidP="00104A2B"/>
    <w:p w14:paraId="2E5CD913" w14:textId="278E4640" w:rsidR="00104A2B" w:rsidRPr="00E07DDD" w:rsidRDefault="00104A2B" w:rsidP="00B05314">
      <w:pPr>
        <w:pStyle w:val="Heading2"/>
      </w:pPr>
      <w:r w:rsidRPr="00E07DDD">
        <w:t>PROPOSAL ATTACHMENTS. To be completed and returned</w:t>
      </w:r>
      <w:r w:rsidR="00BC6C13">
        <w:t xml:space="preserve"> in proposal</w:t>
      </w:r>
      <w:r w:rsidRPr="00E07DDD">
        <w:t>.</w:t>
      </w:r>
    </w:p>
    <w:p w14:paraId="7C1BD6E0" w14:textId="4D64D8BD" w:rsidR="008724A9" w:rsidRDefault="00ED0C32" w:rsidP="008724A9">
      <w:pPr>
        <w:pStyle w:val="Heading3"/>
      </w:pPr>
      <w:hyperlink r:id="rId20" w:history="1">
        <w:r w:rsidR="008724A9" w:rsidRPr="008724A9">
          <w:rPr>
            <w:rStyle w:val="Hyperlink"/>
          </w:rPr>
          <w:t>NSEC Cost Proposal</w:t>
        </w:r>
      </w:hyperlink>
    </w:p>
    <w:p w14:paraId="423E1807" w14:textId="5374EA0E" w:rsidR="00C37CD2" w:rsidRDefault="00C37CD2" w:rsidP="00307E07">
      <w:pPr>
        <w:pStyle w:val="Heading3"/>
      </w:pPr>
      <w:r>
        <w:t>Attachments for Signature</w:t>
      </w:r>
    </w:p>
    <w:p w14:paraId="3E9307EB" w14:textId="77777777" w:rsidR="0026212B" w:rsidRPr="00B66FFF" w:rsidRDefault="0026212B" w:rsidP="0026212B">
      <w:pPr>
        <w:pStyle w:val="Heading4"/>
      </w:pPr>
      <w:r w:rsidRPr="00B66FFF">
        <w:t>Vendor Information Response</w:t>
      </w:r>
    </w:p>
    <w:p w14:paraId="29A396D1" w14:textId="77777777" w:rsidR="0026212B" w:rsidRPr="00B66FFF" w:rsidRDefault="0026212B" w:rsidP="0026212B">
      <w:pPr>
        <w:pStyle w:val="Heading4"/>
      </w:pPr>
      <w:r w:rsidRPr="00B66FFF">
        <w:t>Vendor Certifications</w:t>
      </w:r>
    </w:p>
    <w:p w14:paraId="03DD9E9B" w14:textId="77777777" w:rsidR="0026212B" w:rsidRPr="00E42AE4" w:rsidRDefault="0026212B" w:rsidP="0026212B">
      <w:pPr>
        <w:pStyle w:val="Heading4"/>
      </w:pPr>
      <w:r w:rsidRPr="00E42AE4">
        <w:t>Certification Regarding Lobbying</w:t>
      </w:r>
    </w:p>
    <w:p w14:paraId="681A4924" w14:textId="77777777" w:rsidR="0026212B" w:rsidRPr="00B66FFF" w:rsidRDefault="0026212B" w:rsidP="0026212B">
      <w:pPr>
        <w:pStyle w:val="Heading4"/>
      </w:pPr>
      <w:r w:rsidRPr="00B66FFF">
        <w:t>Confidentiality and Certification of Indemnification</w:t>
      </w:r>
    </w:p>
    <w:p w14:paraId="4CC7DB10" w14:textId="347CDD3D" w:rsidR="00607BBA" w:rsidRDefault="00C21659" w:rsidP="00BC6C13">
      <w:pPr>
        <w:ind w:left="720"/>
      </w:pPr>
      <w:r>
        <w:object w:dxaOrig="1041" w:dyaOrig="674" w14:anchorId="1BAFD6B0">
          <v:shape id="_x0000_i1027" type="#_x0000_t75" style="width:69pt;height:44.25pt" o:ole="">
            <v:imagedata r:id="rId21" o:title=""/>
          </v:shape>
          <o:OLEObject Type="Embed" ProgID="Acrobat.Document.DC" ShapeID="_x0000_i1027" DrawAspect="Icon" ObjectID="_1771249144" r:id="rId22"/>
        </w:object>
      </w:r>
    </w:p>
    <w:p w14:paraId="28E28203" w14:textId="77777777" w:rsidR="000B6EAB" w:rsidRDefault="000B6EAB" w:rsidP="000B6EAB">
      <w:pPr>
        <w:pStyle w:val="Heading3"/>
        <w:numPr>
          <w:ilvl w:val="2"/>
          <w:numId w:val="29"/>
        </w:numPr>
      </w:pPr>
      <w:r w:rsidRPr="00B66FFF">
        <w:t>Reference Questionnair</w:t>
      </w:r>
      <w:r>
        <w:t>e</w:t>
      </w:r>
    </w:p>
    <w:bookmarkStart w:id="31" w:name="_MON_1717579038"/>
    <w:bookmarkEnd w:id="31"/>
    <w:p w14:paraId="63DC5F94" w14:textId="14A27267" w:rsidR="000B6EAB" w:rsidRPr="00607BBA" w:rsidRDefault="000B6EAB" w:rsidP="000B6EAB">
      <w:pPr>
        <w:ind w:left="720"/>
      </w:pPr>
      <w:r>
        <w:object w:dxaOrig="1538" w:dyaOrig="993" w14:anchorId="184BA415">
          <v:shape id="_x0000_i1028" type="#_x0000_t75" style="width:76.5pt;height:49.5pt" o:ole="">
            <v:imagedata r:id="rId23" o:title=""/>
          </v:shape>
          <o:OLEObject Type="Embed" ProgID="Word.Document.12" ShapeID="_x0000_i1028" DrawAspect="Icon" ObjectID="_1771249145" r:id="rId24">
            <o:FieldCodes>\s</o:FieldCodes>
          </o:OLEObject>
        </w:objec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32" w:name="_Toc106965214"/>
      <w:r w:rsidRPr="00111CB9">
        <w:t>TIMELINE</w:t>
      </w:r>
      <w:bookmarkEnd w:id="22"/>
      <w:bookmarkEnd w:id="23"/>
      <w:bookmarkEnd w:id="24"/>
      <w:bookmarkEnd w:id="25"/>
      <w:bookmarkEnd w:id="26"/>
      <w:bookmarkEnd w:id="27"/>
      <w:bookmarkEnd w:id="28"/>
      <w:bookmarkEnd w:id="32"/>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17C0447E" w:rsidR="000A5780" w:rsidRPr="009B21A9" w:rsidRDefault="000A5780" w:rsidP="009B21A9">
      <w:pPr>
        <w:pStyle w:val="Heading4"/>
      </w:pPr>
      <w:r w:rsidRPr="009B21A9">
        <w:t>Deadline for Questions</w:t>
      </w:r>
      <w:r w:rsidRPr="009B21A9">
        <w:tab/>
        <w:t xml:space="preserve">No later than </w:t>
      </w:r>
      <w:r w:rsidR="00C505C4">
        <w:t>5</w:t>
      </w:r>
      <w:r w:rsidRPr="009B21A9">
        <w:t xml:space="preserve">:00 pm on </w:t>
      </w:r>
      <w:r w:rsidR="008724A9">
        <w:t>0</w:t>
      </w:r>
      <w:r w:rsidR="00AF64E5">
        <w:t>4</w:t>
      </w:r>
      <w:r w:rsidR="008724A9">
        <w:t>/1</w:t>
      </w:r>
      <w:r w:rsidR="00AF64E5">
        <w:t>5</w:t>
      </w:r>
      <w:r w:rsidR="008724A9">
        <w:t>/202</w:t>
      </w:r>
      <w:r w:rsidR="00AF64E5">
        <w:t>4</w:t>
      </w:r>
    </w:p>
    <w:p w14:paraId="3743F8DD" w14:textId="0825BB1E" w:rsidR="000A5780" w:rsidRPr="009B21A9" w:rsidRDefault="000A5780" w:rsidP="009B21A9">
      <w:pPr>
        <w:pStyle w:val="Heading4"/>
      </w:pPr>
      <w:r w:rsidRPr="009B21A9">
        <w:t>Answers Posted</w:t>
      </w:r>
      <w:r w:rsidRPr="009B21A9">
        <w:tab/>
        <w:t xml:space="preserve">On or about </w:t>
      </w:r>
      <w:proofErr w:type="gramStart"/>
      <w:r w:rsidR="008724A9">
        <w:t>0</w:t>
      </w:r>
      <w:r w:rsidR="00AF64E5">
        <w:t>4</w:t>
      </w:r>
      <w:r w:rsidR="008724A9">
        <w:t>/</w:t>
      </w:r>
      <w:r w:rsidR="00AF64E5">
        <w:t>2</w:t>
      </w:r>
      <w:r w:rsidR="00C505C4">
        <w:t>9</w:t>
      </w:r>
      <w:r w:rsidR="008724A9">
        <w:t>/202</w:t>
      </w:r>
      <w:r w:rsidR="00AF64E5">
        <w:t>4</w:t>
      </w:r>
      <w:proofErr w:type="gramEnd"/>
    </w:p>
    <w:p w14:paraId="650DCFB2" w14:textId="2301C0DA" w:rsidR="000A5780" w:rsidRPr="009B21A9" w:rsidRDefault="000A5780" w:rsidP="009B21A9">
      <w:pPr>
        <w:pStyle w:val="Heading4"/>
      </w:pPr>
      <w:r w:rsidRPr="009B21A9">
        <w:t>Deadline Proposal Submission and Opening</w:t>
      </w:r>
      <w:r w:rsidRPr="009B21A9">
        <w:tab/>
        <w:t xml:space="preserve">No later than 2:00 pm on </w:t>
      </w:r>
      <w:proofErr w:type="gramStart"/>
      <w:r w:rsidR="008724A9">
        <w:t>0</w:t>
      </w:r>
      <w:r w:rsidR="00AF64E5">
        <w:t>5</w:t>
      </w:r>
      <w:r w:rsidR="008724A9">
        <w:t>/</w:t>
      </w:r>
      <w:r w:rsidR="00AF64E5">
        <w:t>28</w:t>
      </w:r>
      <w:r w:rsidR="008724A9">
        <w:t>/202</w:t>
      </w:r>
      <w:r w:rsidR="00AF64E5">
        <w:t>4</w:t>
      </w:r>
      <w:proofErr w:type="gramEnd"/>
    </w:p>
    <w:p w14:paraId="5DE5CF15" w14:textId="5A110954" w:rsidR="000A5780" w:rsidRPr="009B21A9" w:rsidRDefault="000A5780" w:rsidP="009B21A9">
      <w:pPr>
        <w:pStyle w:val="Heading4"/>
      </w:pPr>
      <w:r w:rsidRPr="009B21A9">
        <w:t>Evaluation Period (estimated)</w:t>
      </w:r>
      <w:r w:rsidRPr="009B21A9">
        <w:tab/>
      </w:r>
      <w:r w:rsidR="008724A9">
        <w:t>0</w:t>
      </w:r>
      <w:r w:rsidR="00AF64E5">
        <w:t>5</w:t>
      </w:r>
      <w:r w:rsidR="008724A9">
        <w:t>/</w:t>
      </w:r>
      <w:r w:rsidR="00AF64E5">
        <w:t>28</w:t>
      </w:r>
      <w:r w:rsidR="008724A9">
        <w:t>/202</w:t>
      </w:r>
      <w:r w:rsidR="00AF64E5">
        <w:t>4</w:t>
      </w:r>
      <w:r w:rsidRPr="009B21A9">
        <w:t xml:space="preserve"> </w:t>
      </w:r>
      <w:r w:rsidR="008724A9">
        <w:t>–</w:t>
      </w:r>
      <w:r w:rsidRPr="009B21A9">
        <w:t xml:space="preserve"> </w:t>
      </w:r>
      <w:proofErr w:type="gramStart"/>
      <w:r w:rsidR="008724A9">
        <w:t>0</w:t>
      </w:r>
      <w:r w:rsidR="00AF64E5">
        <w:t>6</w:t>
      </w:r>
      <w:r w:rsidR="008724A9">
        <w:t>/</w:t>
      </w:r>
      <w:r w:rsidR="00AF64E5">
        <w:t>1</w:t>
      </w:r>
      <w:r w:rsidR="00471C71">
        <w:t>1</w:t>
      </w:r>
      <w:r w:rsidR="008724A9">
        <w:t>/202</w:t>
      </w:r>
      <w:r w:rsidR="00AF64E5">
        <w:t>4</w:t>
      </w:r>
      <w:proofErr w:type="gramEnd"/>
    </w:p>
    <w:p w14:paraId="5446364A" w14:textId="5AF89CF9" w:rsidR="000A5780" w:rsidRPr="009B21A9" w:rsidRDefault="000A5780" w:rsidP="009B21A9">
      <w:pPr>
        <w:pStyle w:val="Heading4"/>
      </w:pPr>
      <w:r w:rsidRPr="009B21A9">
        <w:t>Vendor Presentations (if applicable) (estimated)</w:t>
      </w:r>
      <w:r w:rsidRPr="009B21A9">
        <w:tab/>
      </w:r>
      <w:r w:rsidR="0039295A">
        <w:t>n/a</w:t>
      </w:r>
    </w:p>
    <w:p w14:paraId="249D90AC" w14:textId="5AA57A26" w:rsidR="000A5780" w:rsidRPr="009B21A9" w:rsidRDefault="000A5780" w:rsidP="009B21A9">
      <w:pPr>
        <w:pStyle w:val="Heading4"/>
      </w:pPr>
      <w:r w:rsidRPr="009B21A9">
        <w:t>Selection of a Vendor (estimated)</w:t>
      </w:r>
      <w:r w:rsidRPr="009B21A9">
        <w:tab/>
        <w:t xml:space="preserve">On or about </w:t>
      </w:r>
      <w:proofErr w:type="gramStart"/>
      <w:r w:rsidR="008724A9">
        <w:t>0</w:t>
      </w:r>
      <w:r w:rsidR="00AF64E5">
        <w:t>7</w:t>
      </w:r>
      <w:r w:rsidR="008724A9">
        <w:t>/</w:t>
      </w:r>
      <w:r w:rsidR="00AF64E5">
        <w:t>0</w:t>
      </w:r>
      <w:r w:rsidR="008724A9">
        <w:t>1/202</w:t>
      </w:r>
      <w:r w:rsidR="00AF64E5">
        <w:t>4</w:t>
      </w:r>
      <w:proofErr w:type="gramEnd"/>
    </w:p>
    <w:p w14:paraId="4BC3DD84" w14:textId="74E97E6D" w:rsidR="000A5780" w:rsidRPr="009B21A9" w:rsidRDefault="000A5780" w:rsidP="009B21A9">
      <w:pPr>
        <w:pStyle w:val="Heading4"/>
      </w:pPr>
      <w:r w:rsidRPr="009B21A9">
        <w:t>BOE Approval (estimated)</w:t>
      </w:r>
      <w:r w:rsidRPr="009B21A9">
        <w:tab/>
      </w:r>
      <w:proofErr w:type="gramStart"/>
      <w:r w:rsidR="008724A9">
        <w:t>0</w:t>
      </w:r>
      <w:r w:rsidR="002D0E77">
        <w:t>8</w:t>
      </w:r>
      <w:r w:rsidR="008724A9">
        <w:t>/</w:t>
      </w:r>
      <w:r w:rsidR="00547519">
        <w:t>13</w:t>
      </w:r>
      <w:r w:rsidR="008724A9">
        <w:t>/202</w:t>
      </w:r>
      <w:r w:rsidR="002D0E77">
        <w:t>4</w:t>
      </w:r>
      <w:proofErr w:type="gramEnd"/>
    </w:p>
    <w:p w14:paraId="3415F249" w14:textId="1248BE95" w:rsidR="000A5780" w:rsidRPr="009B21A9" w:rsidRDefault="000A5780" w:rsidP="009B21A9">
      <w:pPr>
        <w:pStyle w:val="Heading4"/>
      </w:pPr>
      <w:r w:rsidRPr="009B21A9">
        <w:t>Contract start date (estimated)</w:t>
      </w:r>
      <w:r w:rsidRPr="009B21A9">
        <w:tab/>
      </w:r>
      <w:proofErr w:type="gramStart"/>
      <w:r w:rsidR="002D0E77">
        <w:t>08</w:t>
      </w:r>
      <w:r w:rsidR="008724A9">
        <w:t>/</w:t>
      </w:r>
      <w:r w:rsidR="00547519">
        <w:t>13</w:t>
      </w:r>
      <w:r w:rsidR="008724A9">
        <w:t>/202</w:t>
      </w:r>
      <w:r w:rsidR="002D0E77">
        <w:t>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33" w:name="_Toc70363821"/>
      <w:bookmarkStart w:id="34" w:name="_Toc70367356"/>
      <w:bookmarkStart w:id="35" w:name="_Toc106965215"/>
      <w:r w:rsidRPr="0017635B">
        <w:t>EVALUATION</w:t>
      </w:r>
      <w:bookmarkEnd w:id="33"/>
      <w:bookmarkEnd w:id="34"/>
      <w:bookmarkEnd w:id="3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Default="00104A2B" w:rsidP="00917638">
      <w:pPr>
        <w:pStyle w:val="Heading3"/>
      </w:pPr>
      <w:r w:rsidRPr="0017635B">
        <w:lastRenderedPageBreak/>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4602C7DD" w14:textId="55D310E4" w:rsidR="00104A2B" w:rsidRPr="001324B9" w:rsidRDefault="0039295A" w:rsidP="009B21A9">
      <w:pPr>
        <w:pStyle w:val="Heading4"/>
      </w:pPr>
      <w:r>
        <w:t>Demonstrated Competence</w:t>
      </w:r>
      <w:r w:rsidR="00104A2B" w:rsidRPr="001324B9">
        <w:tab/>
      </w:r>
      <w:r w:rsidR="00161BE9">
        <w:t>20</w:t>
      </w:r>
    </w:p>
    <w:p w14:paraId="73BA5567" w14:textId="707BECE8" w:rsidR="00104A2B" w:rsidRPr="001324B9" w:rsidRDefault="0039295A" w:rsidP="009B21A9">
      <w:pPr>
        <w:pStyle w:val="Heading4"/>
      </w:pPr>
      <w:r>
        <w:t>Experience and Performance of Comparable Engagements</w:t>
      </w:r>
      <w:r w:rsidR="00104A2B" w:rsidRPr="001324B9">
        <w:tab/>
      </w:r>
      <w:r w:rsidR="009D1224">
        <w:t>2</w:t>
      </w:r>
      <w:r w:rsidR="00161BE9">
        <w:t>0</w:t>
      </w:r>
    </w:p>
    <w:p w14:paraId="4E6B54BE" w14:textId="74ACBA17" w:rsidR="00104A2B" w:rsidRPr="001324B9" w:rsidRDefault="00161BE9" w:rsidP="009B21A9">
      <w:pPr>
        <w:pStyle w:val="Heading4"/>
      </w:pPr>
      <w:r>
        <w:t>Conformance with the Terms of this RFP</w:t>
      </w:r>
      <w:r w:rsidR="00104A2B" w:rsidRPr="001324B9">
        <w:tab/>
      </w:r>
      <w:r w:rsidR="009D1224">
        <w:t>2</w:t>
      </w:r>
      <w:r>
        <w:t>0</w:t>
      </w:r>
    </w:p>
    <w:p w14:paraId="1563BC72" w14:textId="7A7B4CCA" w:rsidR="00104A2B" w:rsidRPr="001324B9" w:rsidRDefault="00161BE9" w:rsidP="009B21A9">
      <w:pPr>
        <w:pStyle w:val="Heading4"/>
      </w:pPr>
      <w:r>
        <w:t>Expertise and Availability of Key Personnel</w:t>
      </w:r>
      <w:r w:rsidR="00104A2B" w:rsidRPr="001324B9">
        <w:tab/>
      </w:r>
      <w:r>
        <w:t>10</w:t>
      </w:r>
    </w:p>
    <w:p w14:paraId="2E4115A4" w14:textId="48B28B37" w:rsidR="00104A2B" w:rsidRDefault="00104A2B" w:rsidP="009B21A9">
      <w:pPr>
        <w:pStyle w:val="Heading4"/>
      </w:pPr>
      <w:r w:rsidRPr="008724A9">
        <w:t>Cost Factor</w:t>
      </w:r>
      <w:r w:rsidRPr="008724A9">
        <w:tab/>
      </w:r>
      <w:r w:rsidR="009D1224">
        <w:t>3</w:t>
      </w:r>
      <w:r w:rsidRPr="008724A9">
        <w:t>0</w:t>
      </w:r>
    </w:p>
    <w:p w14:paraId="4ABD18B7" w14:textId="77777777" w:rsidR="00BE5FEC" w:rsidRPr="008724A9" w:rsidRDefault="00BE5FEC" w:rsidP="00BE5FEC">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4C737F2C" w:rsidR="00104A2B" w:rsidRPr="00F64FE8" w:rsidRDefault="00104A2B" w:rsidP="00104A2B">
      <w:pPr>
        <w:pStyle w:val="Heading4"/>
      </w:pPr>
      <w:r w:rsidRPr="00F64FE8">
        <w:t>Following evaluation and scoring specified above, the State may require vendors to make a presentation of their proposal to the evaluation committee or other State staff, as applicable.</w:t>
      </w:r>
    </w:p>
    <w:p w14:paraId="71513179" w14:textId="136E3BC8" w:rsidR="00104A2B" w:rsidRPr="00F64FE8" w:rsidRDefault="00104A2B" w:rsidP="00104A2B">
      <w:pPr>
        <w:pStyle w:val="Heading4"/>
      </w:pPr>
      <w:r w:rsidRPr="00F64FE8">
        <w:t xml:space="preserve">The State, at its option, may limit participation in vendor presentations to vendors above a natural break in relative scores from technical and cost </w:t>
      </w:r>
      <w:r>
        <w:t>scores</w:t>
      </w:r>
      <w:r w:rsidRPr="00F64FE8">
        <w:t>.</w:t>
      </w:r>
    </w:p>
    <w:p w14:paraId="52E3EE69" w14:textId="76C2E6C4" w:rsidR="00104A2B" w:rsidRPr="00F64FE8" w:rsidRDefault="00104A2B" w:rsidP="00104A2B">
      <w:pPr>
        <w:pStyle w:val="Heading4"/>
      </w:pPr>
      <w:r w:rsidRPr="00F64FE8">
        <w:t>Following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 xml:space="preserve">To claim this preference a vendor must indicate it on their vendor account and </w:t>
      </w:r>
      <w:proofErr w:type="gramStart"/>
      <w:r>
        <w:t>submitted</w:t>
      </w:r>
      <w:proofErr w:type="gramEnd"/>
      <w:r>
        <w:t xml:space="preserve"> 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36"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 xml:space="preserve">Vendors who meet this criterion must </w:t>
      </w:r>
      <w:proofErr w:type="gramStart"/>
      <w:r>
        <w:t>indicated</w:t>
      </w:r>
      <w:proofErr w:type="gramEnd"/>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36"/>
    <w:p w14:paraId="2356A012" w14:textId="77777777" w:rsidR="00104A2B" w:rsidRPr="00111CB9" w:rsidRDefault="00104A2B" w:rsidP="00104A2B"/>
    <w:p w14:paraId="2BD66B70" w14:textId="4105F5A4" w:rsidR="00C0347B" w:rsidRPr="00B66FFF" w:rsidRDefault="00C0347B" w:rsidP="00A33A03">
      <w:pPr>
        <w:pStyle w:val="Heading1"/>
      </w:pPr>
      <w:bookmarkStart w:id="37" w:name="_Toc106965216"/>
      <w:r w:rsidRPr="00B66FFF">
        <w:t xml:space="preserve">MANDATORY </w:t>
      </w:r>
      <w:r w:rsidR="00CF52F6" w:rsidRPr="00B66FFF">
        <w:t>MINIMUM REQUIREMENTS</w:t>
      </w:r>
      <w:bookmarkEnd w:id="29"/>
      <w:bookmarkEnd w:id="30"/>
      <w:bookmarkEnd w:id="37"/>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w:t>
      </w:r>
      <w:r w:rsidR="00323303">
        <w:lastRenderedPageBreak/>
        <w:t xml:space="preserve">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38" w:name="_Toc70363818"/>
      <w:bookmarkStart w:id="39" w:name="_Toc70367353"/>
      <w:bookmarkStart w:id="40" w:name="_Toc106965217"/>
      <w:r w:rsidRPr="00B66FFF">
        <w:t>CRITICAL ITEMS</w:t>
      </w:r>
      <w:bookmarkEnd w:id="38"/>
      <w:bookmarkEnd w:id="39"/>
      <w:bookmarkEnd w:id="40"/>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6FE043F0" w14:textId="4C0FA2A6" w:rsidR="00B27BFE" w:rsidRDefault="001760B6" w:rsidP="001760B6">
      <w:pPr>
        <w:pStyle w:val="Heading3"/>
      </w:pPr>
      <w:r>
        <w:t>T</w:t>
      </w:r>
      <w:r w:rsidR="00B27BFE">
        <w:t xml:space="preserve">he State will not disclose submitted </w:t>
      </w:r>
      <w:r w:rsidR="0033469B">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41" w:name="_Toc65138429"/>
      <w:bookmarkStart w:id="42" w:name="_Toc66176037"/>
      <w:bookmarkStart w:id="43" w:name="_Toc70363820"/>
      <w:bookmarkStart w:id="44" w:name="_Toc70367355"/>
      <w:bookmarkStart w:id="45" w:name="_Toc106965218"/>
      <w:r w:rsidRPr="00111CB9">
        <w:t>SUBMISSION CHECKLIST</w:t>
      </w:r>
      <w:bookmarkEnd w:id="41"/>
      <w:bookmarkEnd w:id="42"/>
      <w:bookmarkEnd w:id="43"/>
      <w:bookmarkEnd w:id="44"/>
      <w:bookmarkEnd w:id="45"/>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25"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B47F72C" w:rsidR="004D3B3F" w:rsidRPr="00E07DDD" w:rsidRDefault="004D3B3F" w:rsidP="005179C8">
      <w:pPr>
        <w:pStyle w:val="Heading3"/>
      </w:pPr>
      <w:r w:rsidRPr="00E07DDD">
        <w:t xml:space="preserve">Additional attachments may be </w:t>
      </w:r>
      <w:r w:rsidR="0033469B"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w:t>
      </w:r>
      <w:proofErr w:type="spellStart"/>
      <w:r w:rsidR="004D3B3F">
        <w:t>NevadaEPro</w:t>
      </w:r>
      <w:proofErr w:type="spellEnd"/>
      <w:r>
        <w:t>.</w:t>
      </w:r>
    </w:p>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lastRenderedPageBreak/>
        <w:t xml:space="preserve">Trade Secret information, cross referenced to the technical </w:t>
      </w:r>
      <w:proofErr w:type="gramStart"/>
      <w:r>
        <w:t>proposal</w:t>
      </w:r>
      <w:proofErr w:type="gramEnd"/>
    </w:p>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3118CA">
      <w:footerReference w:type="default" r:id="rId26"/>
      <w:pgSz w:w="12240" w:h="15840" w:code="1"/>
      <w:pgMar w:top="1008" w:right="1008" w:bottom="720"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0841C" w14:textId="77777777" w:rsidR="002C2A4B" w:rsidRDefault="002C2A4B" w:rsidP="00C371BD">
      <w:r>
        <w:separator/>
      </w:r>
    </w:p>
    <w:p w14:paraId="03190DA7" w14:textId="77777777" w:rsidR="002C2A4B" w:rsidRDefault="002C2A4B" w:rsidP="00C371BD"/>
    <w:p w14:paraId="732D6D39" w14:textId="77777777" w:rsidR="002C2A4B" w:rsidRDefault="002C2A4B"/>
  </w:endnote>
  <w:endnote w:type="continuationSeparator" w:id="0">
    <w:p w14:paraId="6C66AF90" w14:textId="77777777" w:rsidR="002C2A4B" w:rsidRDefault="002C2A4B" w:rsidP="00C371BD">
      <w:r>
        <w:continuationSeparator/>
      </w:r>
    </w:p>
    <w:p w14:paraId="3A6A1B9A" w14:textId="77777777" w:rsidR="002C2A4B" w:rsidRDefault="002C2A4B" w:rsidP="00C371BD"/>
    <w:p w14:paraId="13B1B931" w14:textId="77777777" w:rsidR="002C2A4B" w:rsidRDefault="002C2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9840" w14:textId="10CFC6A8" w:rsidR="001D7FFA" w:rsidRPr="001324B9" w:rsidRDefault="008F2098">
    <w:pPr>
      <w:rPr>
        <w:i/>
        <w:iCs/>
      </w:rPr>
    </w:pPr>
    <w:r w:rsidRPr="00AE01EE">
      <w:rPr>
        <w:i/>
        <w:iCs/>
      </w:rPr>
      <w:t xml:space="preserve">Revised: </w:t>
    </w:r>
    <w:r w:rsidR="00C77F5D">
      <w:rPr>
        <w:i/>
        <w:iCs/>
      </w:rPr>
      <w:t>June</w:t>
    </w:r>
    <w:r w:rsidRPr="00AE01EE">
      <w:rPr>
        <w:i/>
        <w:iCs/>
      </w:rPr>
      <w:t xml:space="preserve"> 202</w:t>
    </w:r>
    <w:r w:rsidR="00B27302">
      <w:rPr>
        <w:i/>
        <w:iCs/>
      </w:rPr>
      <w:t>2</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0E350B">
      <w:rPr>
        <w:i/>
        <w:iCs/>
      </w:rPr>
      <w:t xml:space="preserve">Agency </w:t>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B68A4" w14:textId="77777777" w:rsidR="002C2A4B" w:rsidRDefault="002C2A4B" w:rsidP="00C371BD">
      <w:r>
        <w:separator/>
      </w:r>
    </w:p>
    <w:p w14:paraId="072A32E0" w14:textId="77777777" w:rsidR="002C2A4B" w:rsidRDefault="002C2A4B" w:rsidP="00C371BD"/>
    <w:p w14:paraId="78EE5FF0" w14:textId="77777777" w:rsidR="002C2A4B" w:rsidRDefault="002C2A4B"/>
  </w:footnote>
  <w:footnote w:type="continuationSeparator" w:id="0">
    <w:p w14:paraId="0ECA37E0" w14:textId="77777777" w:rsidR="002C2A4B" w:rsidRDefault="002C2A4B" w:rsidP="00C371BD">
      <w:r>
        <w:continuationSeparator/>
      </w:r>
    </w:p>
    <w:p w14:paraId="7ECE3D73" w14:textId="77777777" w:rsidR="002C2A4B" w:rsidRDefault="002C2A4B" w:rsidP="00C371BD"/>
    <w:p w14:paraId="49186401" w14:textId="77777777" w:rsidR="002C2A4B" w:rsidRDefault="002C2A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A40467"/>
    <w:multiLevelType w:val="multilevel"/>
    <w:tmpl w:val="1D3863B6"/>
    <w:lvl w:ilvl="0">
      <w:start w:val="3"/>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B34043D"/>
    <w:multiLevelType w:val="hybridMultilevel"/>
    <w:tmpl w:val="B252AABE"/>
    <w:lvl w:ilvl="0" w:tplc="1220B69A">
      <w:start w:val="20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DD03D4"/>
    <w:multiLevelType w:val="multilevel"/>
    <w:tmpl w:val="00CAB9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6" w15:restartNumberingAfterBreak="0">
    <w:nsid w:val="1A444FCB"/>
    <w:multiLevelType w:val="multilevel"/>
    <w:tmpl w:val="AD54EA0A"/>
    <w:numStyleLink w:val="2022RFP"/>
  </w:abstractNum>
  <w:abstractNum w:abstractNumId="7" w15:restartNumberingAfterBreak="0">
    <w:nsid w:val="1B0074B0"/>
    <w:multiLevelType w:val="multilevel"/>
    <w:tmpl w:val="A2C622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4217CB"/>
    <w:multiLevelType w:val="multilevel"/>
    <w:tmpl w:val="02D87B7C"/>
    <w:lvl w:ilvl="0">
      <w:start w:val="3"/>
      <w:numFmt w:val="decimal"/>
      <w:lvlText w:val="%1"/>
      <w:lvlJc w:val="left"/>
      <w:pPr>
        <w:ind w:left="555" w:hanging="555"/>
      </w:pPr>
      <w:rPr>
        <w:rFonts w:hint="default"/>
      </w:rPr>
    </w:lvl>
    <w:lvl w:ilvl="1">
      <w:start w:val="3"/>
      <w:numFmt w:val="decimal"/>
      <w:lvlText w:val="%1.%2"/>
      <w:lvlJc w:val="left"/>
      <w:pPr>
        <w:ind w:left="1275" w:hanging="555"/>
      </w:pPr>
      <w:rPr>
        <w:rFonts w:hint="default"/>
      </w:rPr>
    </w:lvl>
    <w:lvl w:ilvl="2">
      <w:start w:val="2"/>
      <w:numFmt w:val="decimal"/>
      <w:lvlText w:val="%1.%2.%3"/>
      <w:lvlJc w:val="left"/>
      <w:pPr>
        <w:ind w:left="2160" w:hanging="720"/>
      </w:pPr>
      <w:rPr>
        <w:rFonts w:hint="default"/>
      </w:rPr>
    </w:lvl>
    <w:lvl w:ilvl="3">
      <w:start w:val="8"/>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4"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5115967"/>
    <w:multiLevelType w:val="hybridMultilevel"/>
    <w:tmpl w:val="1F3A55CA"/>
    <w:lvl w:ilvl="0" w:tplc="7870BD4E">
      <w:numFmt w:val="bullet"/>
      <w:lvlText w:val="▪"/>
      <w:lvlJc w:val="left"/>
      <w:pPr>
        <w:ind w:left="2392" w:hanging="360"/>
      </w:pPr>
      <w:rPr>
        <w:rFonts w:ascii="Microsoft Sans Serif" w:eastAsia="Microsoft Sans Serif" w:hAnsi="Microsoft Sans Serif" w:cs="Microsoft Sans Serif" w:hint="default"/>
        <w:w w:val="129"/>
        <w:sz w:val="24"/>
        <w:szCs w:val="24"/>
      </w:rPr>
    </w:lvl>
    <w:lvl w:ilvl="1" w:tplc="034A7ED0">
      <w:numFmt w:val="bullet"/>
      <w:lvlText w:val="•"/>
      <w:lvlJc w:val="left"/>
      <w:pPr>
        <w:ind w:left="3200" w:hanging="360"/>
      </w:pPr>
      <w:rPr>
        <w:rFonts w:hint="default"/>
      </w:rPr>
    </w:lvl>
    <w:lvl w:ilvl="2" w:tplc="8F34646E">
      <w:numFmt w:val="bullet"/>
      <w:lvlText w:val="•"/>
      <w:lvlJc w:val="left"/>
      <w:pPr>
        <w:ind w:left="4000" w:hanging="360"/>
      </w:pPr>
      <w:rPr>
        <w:rFonts w:hint="default"/>
      </w:rPr>
    </w:lvl>
    <w:lvl w:ilvl="3" w:tplc="707EF386">
      <w:numFmt w:val="bullet"/>
      <w:lvlText w:val="•"/>
      <w:lvlJc w:val="left"/>
      <w:pPr>
        <w:ind w:left="4800" w:hanging="360"/>
      </w:pPr>
      <w:rPr>
        <w:rFonts w:hint="default"/>
      </w:rPr>
    </w:lvl>
    <w:lvl w:ilvl="4" w:tplc="FCECA19E">
      <w:numFmt w:val="bullet"/>
      <w:lvlText w:val="•"/>
      <w:lvlJc w:val="left"/>
      <w:pPr>
        <w:ind w:left="5600" w:hanging="360"/>
      </w:pPr>
      <w:rPr>
        <w:rFonts w:hint="default"/>
      </w:rPr>
    </w:lvl>
    <w:lvl w:ilvl="5" w:tplc="B83ED798">
      <w:numFmt w:val="bullet"/>
      <w:lvlText w:val="•"/>
      <w:lvlJc w:val="left"/>
      <w:pPr>
        <w:ind w:left="6400" w:hanging="360"/>
      </w:pPr>
      <w:rPr>
        <w:rFonts w:hint="default"/>
      </w:rPr>
    </w:lvl>
    <w:lvl w:ilvl="6" w:tplc="59C66818">
      <w:numFmt w:val="bullet"/>
      <w:lvlText w:val="•"/>
      <w:lvlJc w:val="left"/>
      <w:pPr>
        <w:ind w:left="7200" w:hanging="360"/>
      </w:pPr>
      <w:rPr>
        <w:rFonts w:hint="default"/>
      </w:rPr>
    </w:lvl>
    <w:lvl w:ilvl="7" w:tplc="C66E031E">
      <w:numFmt w:val="bullet"/>
      <w:lvlText w:val="•"/>
      <w:lvlJc w:val="left"/>
      <w:pPr>
        <w:ind w:left="8000" w:hanging="360"/>
      </w:pPr>
      <w:rPr>
        <w:rFonts w:hint="default"/>
      </w:rPr>
    </w:lvl>
    <w:lvl w:ilvl="8" w:tplc="08EC8354">
      <w:numFmt w:val="bullet"/>
      <w:lvlText w:val="•"/>
      <w:lvlJc w:val="left"/>
      <w:pPr>
        <w:ind w:left="8800" w:hanging="360"/>
      </w:pPr>
      <w:rPr>
        <w:rFonts w:hint="default"/>
      </w:rPr>
    </w:lvl>
  </w:abstractNum>
  <w:abstractNum w:abstractNumId="18"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1" w15:restartNumberingAfterBreak="0">
    <w:nsid w:val="4C5A6632"/>
    <w:multiLevelType w:val="singleLevel"/>
    <w:tmpl w:val="A36C0D36"/>
    <w:lvl w:ilvl="0">
      <w:start w:val="1"/>
      <w:numFmt w:val="lowerLetter"/>
      <w:lvlText w:val="%1."/>
      <w:lvlJc w:val="left"/>
      <w:pPr>
        <w:tabs>
          <w:tab w:val="num" w:pos="1260"/>
        </w:tabs>
        <w:ind w:left="1260" w:hanging="360"/>
      </w:pPr>
      <w:rPr>
        <w:rFonts w:hint="default"/>
      </w:rPr>
    </w:lvl>
  </w:abstractNum>
  <w:abstractNum w:abstractNumId="22"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3AD60D9"/>
    <w:multiLevelType w:val="multilevel"/>
    <w:tmpl w:val="5582C944"/>
    <w:lvl w:ilvl="0">
      <w:start w:val="1"/>
      <w:numFmt w:val="decimal"/>
      <w:lvlText w:val="%1."/>
      <w:lvlJc w:val="left"/>
      <w:pPr>
        <w:ind w:left="360" w:hanging="360"/>
      </w:pPr>
      <w:rPr>
        <w:rFonts w:hint="default"/>
      </w:rPr>
    </w:lvl>
    <w:lvl w:ilvl="1">
      <w:start w:val="1"/>
      <w:numFmt w:val="decimal"/>
      <w:lvlText w:val="%1.%2."/>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854" w:hanging="504"/>
      </w:pPr>
    </w:lvl>
    <w:lvl w:ilvl="3">
      <w:start w:val="1"/>
      <w:numFmt w:val="decimal"/>
      <w:lvlText w:val="%1.%2.%3.%4."/>
      <w:lvlJc w:val="left"/>
      <w:pPr>
        <w:ind w:left="307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083CE3"/>
    <w:multiLevelType w:val="multilevel"/>
    <w:tmpl w:val="473A1324"/>
    <w:lvl w:ilvl="0">
      <w:start w:val="3"/>
      <w:numFmt w:val="decimal"/>
      <w:lvlText w:val="%1"/>
      <w:lvlJc w:val="left"/>
      <w:pPr>
        <w:ind w:left="660" w:hanging="660"/>
      </w:pPr>
      <w:rPr>
        <w:rFonts w:hint="default"/>
      </w:rPr>
    </w:lvl>
    <w:lvl w:ilvl="1">
      <w:start w:val="3"/>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0"/>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F8B241D"/>
    <w:multiLevelType w:val="multilevel"/>
    <w:tmpl w:val="380EF6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F74EF8"/>
    <w:multiLevelType w:val="multilevel"/>
    <w:tmpl w:val="7EFE70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73D92F6A"/>
    <w:multiLevelType w:val="multilevel"/>
    <w:tmpl w:val="416411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94360399">
    <w:abstractNumId w:val="35"/>
  </w:num>
  <w:num w:numId="2" w16cid:durableId="1972713760">
    <w:abstractNumId w:val="1"/>
  </w:num>
  <w:num w:numId="3" w16cid:durableId="1439523791">
    <w:abstractNumId w:val="20"/>
  </w:num>
  <w:num w:numId="4" w16cid:durableId="1093163847">
    <w:abstractNumId w:val="0"/>
  </w:num>
  <w:num w:numId="5" w16cid:durableId="1904952360">
    <w:abstractNumId w:val="26"/>
  </w:num>
  <w:num w:numId="6" w16cid:durableId="2146460855">
    <w:abstractNumId w:val="29"/>
  </w:num>
  <w:num w:numId="7" w16cid:durableId="1121652958">
    <w:abstractNumId w:val="32"/>
  </w:num>
  <w:num w:numId="8" w16cid:durableId="1331639280">
    <w:abstractNumId w:val="27"/>
  </w:num>
  <w:num w:numId="9" w16cid:durableId="1294796804">
    <w:abstractNumId w:val="15"/>
  </w:num>
  <w:num w:numId="10" w16cid:durableId="14698629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71590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6544078">
    <w:abstractNumId w:val="8"/>
  </w:num>
  <w:num w:numId="13" w16cid:durableId="498887230">
    <w:abstractNumId w:val="30"/>
  </w:num>
  <w:num w:numId="14" w16cid:durableId="1801341223">
    <w:abstractNumId w:val="10"/>
  </w:num>
  <w:num w:numId="15" w16cid:durableId="170491679">
    <w:abstractNumId w:val="36"/>
  </w:num>
  <w:num w:numId="16" w16cid:durableId="900558805">
    <w:abstractNumId w:val="18"/>
  </w:num>
  <w:num w:numId="17" w16cid:durableId="4330352">
    <w:abstractNumId w:val="14"/>
  </w:num>
  <w:num w:numId="18" w16cid:durableId="1617565856">
    <w:abstractNumId w:val="9"/>
  </w:num>
  <w:num w:numId="19" w16cid:durableId="963582696">
    <w:abstractNumId w:val="5"/>
  </w:num>
  <w:num w:numId="20" w16cid:durableId="1199777411">
    <w:abstractNumId w:val="19"/>
  </w:num>
  <w:num w:numId="21" w16cid:durableId="930358427">
    <w:abstractNumId w:val="13"/>
  </w:num>
  <w:num w:numId="22" w16cid:durableId="1147279553">
    <w:abstractNumId w:val="13"/>
  </w:num>
  <w:num w:numId="23" w16cid:durableId="162203048">
    <w:abstractNumId w:val="11"/>
  </w:num>
  <w:num w:numId="24" w16cid:durableId="1883444440">
    <w:abstractNumId w:val="16"/>
  </w:num>
  <w:num w:numId="25" w16cid:durableId="802385055">
    <w:abstractNumId w:val="34"/>
  </w:num>
  <w:num w:numId="26" w16cid:durableId="10212758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9243853">
    <w:abstractNumId w:val="22"/>
  </w:num>
  <w:num w:numId="28" w16cid:durableId="1458446869">
    <w:abstractNumId w:val="28"/>
  </w:num>
  <w:num w:numId="29" w16cid:durableId="1038356462">
    <w:abstractNumId w:val="6"/>
  </w:num>
  <w:num w:numId="30" w16cid:durableId="2136021337">
    <w:abstractNumId w:val="6"/>
  </w:num>
  <w:num w:numId="31" w16cid:durableId="429816823">
    <w:abstractNumId w:val="6"/>
  </w:num>
  <w:num w:numId="32" w16cid:durableId="1468207021">
    <w:abstractNumId w:val="6"/>
  </w:num>
  <w:num w:numId="33" w16cid:durableId="1926919563">
    <w:abstractNumId w:val="6"/>
  </w:num>
  <w:num w:numId="34" w16cid:durableId="49424953">
    <w:abstractNumId w:val="6"/>
  </w:num>
  <w:num w:numId="35" w16cid:durableId="1592229265">
    <w:abstractNumId w:val="6"/>
  </w:num>
  <w:num w:numId="36" w16cid:durableId="780688655">
    <w:abstractNumId w:val="6"/>
  </w:num>
  <w:num w:numId="37" w16cid:durableId="1821115946">
    <w:abstractNumId w:val="6"/>
  </w:num>
  <w:num w:numId="38" w16cid:durableId="1417358240">
    <w:abstractNumId w:val="21"/>
  </w:num>
  <w:num w:numId="39" w16cid:durableId="119304492">
    <w:abstractNumId w:val="23"/>
  </w:num>
  <w:num w:numId="40" w16cid:durableId="305555390">
    <w:abstractNumId w:val="31"/>
  </w:num>
  <w:num w:numId="41" w16cid:durableId="1697123876">
    <w:abstractNumId w:val="25"/>
  </w:num>
  <w:num w:numId="42" w16cid:durableId="1122650188">
    <w:abstractNumId w:val="33"/>
  </w:num>
  <w:num w:numId="43" w16cid:durableId="812604133">
    <w:abstractNumId w:val="4"/>
  </w:num>
  <w:num w:numId="44" w16cid:durableId="217667496">
    <w:abstractNumId w:val="7"/>
  </w:num>
  <w:num w:numId="45" w16cid:durableId="1516383148">
    <w:abstractNumId w:val="2"/>
  </w:num>
  <w:num w:numId="46" w16cid:durableId="1390883231">
    <w:abstractNumId w:val="17"/>
  </w:num>
  <w:num w:numId="47" w16cid:durableId="1699117267">
    <w:abstractNumId w:val="3"/>
  </w:num>
  <w:num w:numId="48" w16cid:durableId="1471512010">
    <w:abstractNumId w:val="12"/>
  </w:num>
  <w:num w:numId="49" w16cid:durableId="1277176686">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3289"/>
    <w:rsid w:val="000371D0"/>
    <w:rsid w:val="0004287A"/>
    <w:rsid w:val="00044217"/>
    <w:rsid w:val="0004689E"/>
    <w:rsid w:val="0004767C"/>
    <w:rsid w:val="00050C86"/>
    <w:rsid w:val="00051D94"/>
    <w:rsid w:val="00056DA3"/>
    <w:rsid w:val="00060594"/>
    <w:rsid w:val="0007346E"/>
    <w:rsid w:val="0007400C"/>
    <w:rsid w:val="000A2004"/>
    <w:rsid w:val="000A5780"/>
    <w:rsid w:val="000A5C45"/>
    <w:rsid w:val="000A5FE4"/>
    <w:rsid w:val="000A6C18"/>
    <w:rsid w:val="000B0713"/>
    <w:rsid w:val="000B24D6"/>
    <w:rsid w:val="000B5C54"/>
    <w:rsid w:val="000B6EAB"/>
    <w:rsid w:val="000C20FD"/>
    <w:rsid w:val="000C5876"/>
    <w:rsid w:val="000C6FAA"/>
    <w:rsid w:val="000C7F0B"/>
    <w:rsid w:val="000D2251"/>
    <w:rsid w:val="000D2FF1"/>
    <w:rsid w:val="000E1B09"/>
    <w:rsid w:val="000E3465"/>
    <w:rsid w:val="000E350B"/>
    <w:rsid w:val="000E3DFD"/>
    <w:rsid w:val="000F013F"/>
    <w:rsid w:val="000F1484"/>
    <w:rsid w:val="0010495B"/>
    <w:rsid w:val="00104A2B"/>
    <w:rsid w:val="001126C4"/>
    <w:rsid w:val="001220E4"/>
    <w:rsid w:val="001265EB"/>
    <w:rsid w:val="001324B9"/>
    <w:rsid w:val="00147EE8"/>
    <w:rsid w:val="00152455"/>
    <w:rsid w:val="001530A7"/>
    <w:rsid w:val="001539A4"/>
    <w:rsid w:val="00153BCB"/>
    <w:rsid w:val="001543A1"/>
    <w:rsid w:val="00160372"/>
    <w:rsid w:val="00161BE9"/>
    <w:rsid w:val="001658B9"/>
    <w:rsid w:val="00174A46"/>
    <w:rsid w:val="001760B6"/>
    <w:rsid w:val="00180E3F"/>
    <w:rsid w:val="001855A7"/>
    <w:rsid w:val="00191A57"/>
    <w:rsid w:val="00196B4F"/>
    <w:rsid w:val="001A4BA4"/>
    <w:rsid w:val="001B19D7"/>
    <w:rsid w:val="001C067D"/>
    <w:rsid w:val="001C2AB5"/>
    <w:rsid w:val="001C4F1A"/>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264AD"/>
    <w:rsid w:val="00233863"/>
    <w:rsid w:val="00233D7E"/>
    <w:rsid w:val="0023744C"/>
    <w:rsid w:val="00240347"/>
    <w:rsid w:val="00240E2B"/>
    <w:rsid w:val="00244AC0"/>
    <w:rsid w:val="002458DB"/>
    <w:rsid w:val="00246CBF"/>
    <w:rsid w:val="002566A1"/>
    <w:rsid w:val="0026212B"/>
    <w:rsid w:val="00262766"/>
    <w:rsid w:val="00262D92"/>
    <w:rsid w:val="00264A21"/>
    <w:rsid w:val="0027159D"/>
    <w:rsid w:val="002727A2"/>
    <w:rsid w:val="00281323"/>
    <w:rsid w:val="0028370B"/>
    <w:rsid w:val="002934F0"/>
    <w:rsid w:val="0029420B"/>
    <w:rsid w:val="00294C68"/>
    <w:rsid w:val="002972DC"/>
    <w:rsid w:val="002A20BC"/>
    <w:rsid w:val="002A40DC"/>
    <w:rsid w:val="002B64E4"/>
    <w:rsid w:val="002B726B"/>
    <w:rsid w:val="002B7BB9"/>
    <w:rsid w:val="002C2A4B"/>
    <w:rsid w:val="002C3CE4"/>
    <w:rsid w:val="002C66DA"/>
    <w:rsid w:val="002D0E77"/>
    <w:rsid w:val="002D1A68"/>
    <w:rsid w:val="002E15D7"/>
    <w:rsid w:val="002F1115"/>
    <w:rsid w:val="002F14B8"/>
    <w:rsid w:val="002F17DD"/>
    <w:rsid w:val="002F7107"/>
    <w:rsid w:val="003032FE"/>
    <w:rsid w:val="003036E0"/>
    <w:rsid w:val="00305BC0"/>
    <w:rsid w:val="00305F44"/>
    <w:rsid w:val="00307E07"/>
    <w:rsid w:val="003118CA"/>
    <w:rsid w:val="003140AC"/>
    <w:rsid w:val="0031674C"/>
    <w:rsid w:val="003168D7"/>
    <w:rsid w:val="00323303"/>
    <w:rsid w:val="00323AD1"/>
    <w:rsid w:val="003263AA"/>
    <w:rsid w:val="00334032"/>
    <w:rsid w:val="0033469B"/>
    <w:rsid w:val="00337079"/>
    <w:rsid w:val="00343444"/>
    <w:rsid w:val="003453F4"/>
    <w:rsid w:val="00354CB6"/>
    <w:rsid w:val="0035709A"/>
    <w:rsid w:val="003622B2"/>
    <w:rsid w:val="00365812"/>
    <w:rsid w:val="0037204D"/>
    <w:rsid w:val="00372CF6"/>
    <w:rsid w:val="00376AC2"/>
    <w:rsid w:val="00377C68"/>
    <w:rsid w:val="00380ED7"/>
    <w:rsid w:val="003837AC"/>
    <w:rsid w:val="003839CC"/>
    <w:rsid w:val="0039295A"/>
    <w:rsid w:val="00396143"/>
    <w:rsid w:val="003A32F7"/>
    <w:rsid w:val="003A37B2"/>
    <w:rsid w:val="003A3F27"/>
    <w:rsid w:val="003A4702"/>
    <w:rsid w:val="003A4F47"/>
    <w:rsid w:val="003A716F"/>
    <w:rsid w:val="003B1ECB"/>
    <w:rsid w:val="003B3BA2"/>
    <w:rsid w:val="003B3F79"/>
    <w:rsid w:val="003B6B5A"/>
    <w:rsid w:val="003B6DF8"/>
    <w:rsid w:val="003C074C"/>
    <w:rsid w:val="003C23D5"/>
    <w:rsid w:val="003C2F19"/>
    <w:rsid w:val="003C6489"/>
    <w:rsid w:val="003C72AE"/>
    <w:rsid w:val="003C78A5"/>
    <w:rsid w:val="003C7C4F"/>
    <w:rsid w:val="003D1E0E"/>
    <w:rsid w:val="003D2C7F"/>
    <w:rsid w:val="003D5F13"/>
    <w:rsid w:val="003E0EAD"/>
    <w:rsid w:val="003E4695"/>
    <w:rsid w:val="003F53D8"/>
    <w:rsid w:val="003F5E44"/>
    <w:rsid w:val="00405EE8"/>
    <w:rsid w:val="00411933"/>
    <w:rsid w:val="004154FC"/>
    <w:rsid w:val="00416BEE"/>
    <w:rsid w:val="004174EF"/>
    <w:rsid w:val="00425646"/>
    <w:rsid w:val="004260D0"/>
    <w:rsid w:val="00430FAF"/>
    <w:rsid w:val="00437ADD"/>
    <w:rsid w:val="00442A39"/>
    <w:rsid w:val="00444D96"/>
    <w:rsid w:val="00447B89"/>
    <w:rsid w:val="00450C45"/>
    <w:rsid w:val="00452DAB"/>
    <w:rsid w:val="00464CE1"/>
    <w:rsid w:val="00470B98"/>
    <w:rsid w:val="00471C71"/>
    <w:rsid w:val="00473394"/>
    <w:rsid w:val="00473C55"/>
    <w:rsid w:val="00480878"/>
    <w:rsid w:val="00485BEA"/>
    <w:rsid w:val="0048612E"/>
    <w:rsid w:val="00491F30"/>
    <w:rsid w:val="004B51CC"/>
    <w:rsid w:val="004C2217"/>
    <w:rsid w:val="004C4C63"/>
    <w:rsid w:val="004D1870"/>
    <w:rsid w:val="004D1F62"/>
    <w:rsid w:val="004D3B3F"/>
    <w:rsid w:val="004D7D81"/>
    <w:rsid w:val="004E04B0"/>
    <w:rsid w:val="004E097E"/>
    <w:rsid w:val="004E0F3B"/>
    <w:rsid w:val="004E25D0"/>
    <w:rsid w:val="004F2D52"/>
    <w:rsid w:val="004F45EE"/>
    <w:rsid w:val="00501C93"/>
    <w:rsid w:val="00502439"/>
    <w:rsid w:val="00505AE0"/>
    <w:rsid w:val="00512951"/>
    <w:rsid w:val="00513FA5"/>
    <w:rsid w:val="005179C8"/>
    <w:rsid w:val="005224A8"/>
    <w:rsid w:val="00524655"/>
    <w:rsid w:val="005374CB"/>
    <w:rsid w:val="00547519"/>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A0904"/>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37FD3"/>
    <w:rsid w:val="00640E23"/>
    <w:rsid w:val="006410FC"/>
    <w:rsid w:val="00652786"/>
    <w:rsid w:val="00655241"/>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368F"/>
    <w:rsid w:val="006F64EA"/>
    <w:rsid w:val="006F6504"/>
    <w:rsid w:val="00701D87"/>
    <w:rsid w:val="007126C0"/>
    <w:rsid w:val="007133E8"/>
    <w:rsid w:val="00716BA9"/>
    <w:rsid w:val="007200BA"/>
    <w:rsid w:val="00720184"/>
    <w:rsid w:val="00721149"/>
    <w:rsid w:val="00725332"/>
    <w:rsid w:val="007261FD"/>
    <w:rsid w:val="007270C7"/>
    <w:rsid w:val="00730597"/>
    <w:rsid w:val="007326E5"/>
    <w:rsid w:val="0073350E"/>
    <w:rsid w:val="00746EDF"/>
    <w:rsid w:val="0075236F"/>
    <w:rsid w:val="00756043"/>
    <w:rsid w:val="007574FF"/>
    <w:rsid w:val="007600DB"/>
    <w:rsid w:val="0076218F"/>
    <w:rsid w:val="00763FFB"/>
    <w:rsid w:val="00766A22"/>
    <w:rsid w:val="007764B3"/>
    <w:rsid w:val="0078011E"/>
    <w:rsid w:val="00781A9C"/>
    <w:rsid w:val="00785D00"/>
    <w:rsid w:val="00786390"/>
    <w:rsid w:val="00791414"/>
    <w:rsid w:val="00791F2A"/>
    <w:rsid w:val="007A6029"/>
    <w:rsid w:val="007A619F"/>
    <w:rsid w:val="007A7D18"/>
    <w:rsid w:val="007B465E"/>
    <w:rsid w:val="007C1322"/>
    <w:rsid w:val="007C531F"/>
    <w:rsid w:val="007C7D8F"/>
    <w:rsid w:val="007D182A"/>
    <w:rsid w:val="007D1F43"/>
    <w:rsid w:val="007D58C4"/>
    <w:rsid w:val="007D5D6A"/>
    <w:rsid w:val="007E7797"/>
    <w:rsid w:val="007F0E8B"/>
    <w:rsid w:val="007F278A"/>
    <w:rsid w:val="007F56E5"/>
    <w:rsid w:val="007F5906"/>
    <w:rsid w:val="008007AC"/>
    <w:rsid w:val="00804E18"/>
    <w:rsid w:val="008122E9"/>
    <w:rsid w:val="00816810"/>
    <w:rsid w:val="00816B51"/>
    <w:rsid w:val="0082128C"/>
    <w:rsid w:val="0082268C"/>
    <w:rsid w:val="008350C8"/>
    <w:rsid w:val="008357FE"/>
    <w:rsid w:val="008366C6"/>
    <w:rsid w:val="00837050"/>
    <w:rsid w:val="00840A72"/>
    <w:rsid w:val="00844086"/>
    <w:rsid w:val="0085550D"/>
    <w:rsid w:val="0085760D"/>
    <w:rsid w:val="0086378C"/>
    <w:rsid w:val="00864B43"/>
    <w:rsid w:val="008724A9"/>
    <w:rsid w:val="00873F92"/>
    <w:rsid w:val="00875B0F"/>
    <w:rsid w:val="00876B0B"/>
    <w:rsid w:val="00876C65"/>
    <w:rsid w:val="00890020"/>
    <w:rsid w:val="008A02CB"/>
    <w:rsid w:val="008A4309"/>
    <w:rsid w:val="008B2AAF"/>
    <w:rsid w:val="008B3202"/>
    <w:rsid w:val="008B4C30"/>
    <w:rsid w:val="008B77CB"/>
    <w:rsid w:val="008B7EA8"/>
    <w:rsid w:val="008C60A4"/>
    <w:rsid w:val="008C7154"/>
    <w:rsid w:val="008D4B2D"/>
    <w:rsid w:val="008E2147"/>
    <w:rsid w:val="008E44AD"/>
    <w:rsid w:val="008E6ECA"/>
    <w:rsid w:val="008F2098"/>
    <w:rsid w:val="008F5CF1"/>
    <w:rsid w:val="009033CE"/>
    <w:rsid w:val="009039B9"/>
    <w:rsid w:val="00916527"/>
    <w:rsid w:val="00916845"/>
    <w:rsid w:val="00917638"/>
    <w:rsid w:val="00924DBD"/>
    <w:rsid w:val="00931C7B"/>
    <w:rsid w:val="00932D12"/>
    <w:rsid w:val="00944BBF"/>
    <w:rsid w:val="0095261E"/>
    <w:rsid w:val="00961CD9"/>
    <w:rsid w:val="00966987"/>
    <w:rsid w:val="00970BC2"/>
    <w:rsid w:val="00973CBD"/>
    <w:rsid w:val="009745E2"/>
    <w:rsid w:val="00975C32"/>
    <w:rsid w:val="00976775"/>
    <w:rsid w:val="00981A59"/>
    <w:rsid w:val="009977C9"/>
    <w:rsid w:val="00997A44"/>
    <w:rsid w:val="009A6FB4"/>
    <w:rsid w:val="009A7578"/>
    <w:rsid w:val="009B21A9"/>
    <w:rsid w:val="009B6674"/>
    <w:rsid w:val="009D0A66"/>
    <w:rsid w:val="009D1224"/>
    <w:rsid w:val="009D4973"/>
    <w:rsid w:val="009D60F1"/>
    <w:rsid w:val="009E18F8"/>
    <w:rsid w:val="009E1A18"/>
    <w:rsid w:val="009E5F49"/>
    <w:rsid w:val="009F104F"/>
    <w:rsid w:val="009F518D"/>
    <w:rsid w:val="009F75B7"/>
    <w:rsid w:val="00A02A14"/>
    <w:rsid w:val="00A0307B"/>
    <w:rsid w:val="00A04C35"/>
    <w:rsid w:val="00A04E12"/>
    <w:rsid w:val="00A06F83"/>
    <w:rsid w:val="00A159A8"/>
    <w:rsid w:val="00A209F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1BAB"/>
    <w:rsid w:val="00AB4168"/>
    <w:rsid w:val="00AB7A0B"/>
    <w:rsid w:val="00AC3167"/>
    <w:rsid w:val="00AC390B"/>
    <w:rsid w:val="00AE01EE"/>
    <w:rsid w:val="00AE0ED5"/>
    <w:rsid w:val="00AE3AE3"/>
    <w:rsid w:val="00AE3F7D"/>
    <w:rsid w:val="00AE607B"/>
    <w:rsid w:val="00AF64E5"/>
    <w:rsid w:val="00B00C2E"/>
    <w:rsid w:val="00B01158"/>
    <w:rsid w:val="00B02D12"/>
    <w:rsid w:val="00B05314"/>
    <w:rsid w:val="00B07447"/>
    <w:rsid w:val="00B07887"/>
    <w:rsid w:val="00B105BB"/>
    <w:rsid w:val="00B250FF"/>
    <w:rsid w:val="00B27302"/>
    <w:rsid w:val="00B27BFE"/>
    <w:rsid w:val="00B330D9"/>
    <w:rsid w:val="00B37D22"/>
    <w:rsid w:val="00B40831"/>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4439"/>
    <w:rsid w:val="00B85507"/>
    <w:rsid w:val="00B93024"/>
    <w:rsid w:val="00B95104"/>
    <w:rsid w:val="00B9581A"/>
    <w:rsid w:val="00BB2E5E"/>
    <w:rsid w:val="00BB56AE"/>
    <w:rsid w:val="00BB6AA2"/>
    <w:rsid w:val="00BB7679"/>
    <w:rsid w:val="00BC0CAF"/>
    <w:rsid w:val="00BC6C13"/>
    <w:rsid w:val="00BC78F5"/>
    <w:rsid w:val="00BC7EBF"/>
    <w:rsid w:val="00BD05A2"/>
    <w:rsid w:val="00BD06DA"/>
    <w:rsid w:val="00BE1A21"/>
    <w:rsid w:val="00BE3620"/>
    <w:rsid w:val="00BE398E"/>
    <w:rsid w:val="00BE549D"/>
    <w:rsid w:val="00BE5FEC"/>
    <w:rsid w:val="00BE6787"/>
    <w:rsid w:val="00BF0104"/>
    <w:rsid w:val="00BF3CF7"/>
    <w:rsid w:val="00BF461A"/>
    <w:rsid w:val="00C0347B"/>
    <w:rsid w:val="00C058D2"/>
    <w:rsid w:val="00C14A64"/>
    <w:rsid w:val="00C21659"/>
    <w:rsid w:val="00C25667"/>
    <w:rsid w:val="00C279AD"/>
    <w:rsid w:val="00C30B25"/>
    <w:rsid w:val="00C371BD"/>
    <w:rsid w:val="00C37CD2"/>
    <w:rsid w:val="00C4165E"/>
    <w:rsid w:val="00C505C4"/>
    <w:rsid w:val="00C531F1"/>
    <w:rsid w:val="00C56046"/>
    <w:rsid w:val="00C65313"/>
    <w:rsid w:val="00C653D7"/>
    <w:rsid w:val="00C77F5D"/>
    <w:rsid w:val="00C80730"/>
    <w:rsid w:val="00C80787"/>
    <w:rsid w:val="00C812C1"/>
    <w:rsid w:val="00C8235B"/>
    <w:rsid w:val="00C83CBC"/>
    <w:rsid w:val="00C96F08"/>
    <w:rsid w:val="00CA0951"/>
    <w:rsid w:val="00CA42A7"/>
    <w:rsid w:val="00CA71ED"/>
    <w:rsid w:val="00CB0D80"/>
    <w:rsid w:val="00CB54A6"/>
    <w:rsid w:val="00CC1DD0"/>
    <w:rsid w:val="00CC6879"/>
    <w:rsid w:val="00CD7AE2"/>
    <w:rsid w:val="00CE097B"/>
    <w:rsid w:val="00CE3D28"/>
    <w:rsid w:val="00CE4363"/>
    <w:rsid w:val="00CF1A6F"/>
    <w:rsid w:val="00CF2811"/>
    <w:rsid w:val="00CF2C83"/>
    <w:rsid w:val="00CF52F6"/>
    <w:rsid w:val="00CF7739"/>
    <w:rsid w:val="00D0022A"/>
    <w:rsid w:val="00D031F5"/>
    <w:rsid w:val="00D106C8"/>
    <w:rsid w:val="00D11770"/>
    <w:rsid w:val="00D12E1A"/>
    <w:rsid w:val="00D17464"/>
    <w:rsid w:val="00D33809"/>
    <w:rsid w:val="00D35C57"/>
    <w:rsid w:val="00D36A2D"/>
    <w:rsid w:val="00D47D3A"/>
    <w:rsid w:val="00D505E2"/>
    <w:rsid w:val="00D524CE"/>
    <w:rsid w:val="00D70FB7"/>
    <w:rsid w:val="00D7233A"/>
    <w:rsid w:val="00D844AF"/>
    <w:rsid w:val="00D851AD"/>
    <w:rsid w:val="00D85839"/>
    <w:rsid w:val="00D91DEB"/>
    <w:rsid w:val="00D92F7A"/>
    <w:rsid w:val="00D96731"/>
    <w:rsid w:val="00DA481B"/>
    <w:rsid w:val="00DB0D6E"/>
    <w:rsid w:val="00DB4AB8"/>
    <w:rsid w:val="00DB7A51"/>
    <w:rsid w:val="00DC396F"/>
    <w:rsid w:val="00DC4995"/>
    <w:rsid w:val="00DC4ADD"/>
    <w:rsid w:val="00DC4F8D"/>
    <w:rsid w:val="00DE3501"/>
    <w:rsid w:val="00DE4A38"/>
    <w:rsid w:val="00DF045B"/>
    <w:rsid w:val="00DF5653"/>
    <w:rsid w:val="00DF68BF"/>
    <w:rsid w:val="00DF709E"/>
    <w:rsid w:val="00DF7118"/>
    <w:rsid w:val="00E038C3"/>
    <w:rsid w:val="00E07DDD"/>
    <w:rsid w:val="00E17093"/>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77EA1"/>
    <w:rsid w:val="00E80AFC"/>
    <w:rsid w:val="00E86787"/>
    <w:rsid w:val="00E869AA"/>
    <w:rsid w:val="00E87820"/>
    <w:rsid w:val="00E904A3"/>
    <w:rsid w:val="00E91F29"/>
    <w:rsid w:val="00E954B0"/>
    <w:rsid w:val="00E96682"/>
    <w:rsid w:val="00E96BD7"/>
    <w:rsid w:val="00EA11E4"/>
    <w:rsid w:val="00EA27BE"/>
    <w:rsid w:val="00EA281D"/>
    <w:rsid w:val="00EA3D30"/>
    <w:rsid w:val="00EA542F"/>
    <w:rsid w:val="00EB046E"/>
    <w:rsid w:val="00EB313D"/>
    <w:rsid w:val="00EC0CBA"/>
    <w:rsid w:val="00EC50EE"/>
    <w:rsid w:val="00EC5E9E"/>
    <w:rsid w:val="00ED0C32"/>
    <w:rsid w:val="00ED4EBE"/>
    <w:rsid w:val="00ED75C8"/>
    <w:rsid w:val="00EE07F8"/>
    <w:rsid w:val="00EE1015"/>
    <w:rsid w:val="00EE1B0A"/>
    <w:rsid w:val="00EF33DC"/>
    <w:rsid w:val="00EF48C7"/>
    <w:rsid w:val="00EF5CFD"/>
    <w:rsid w:val="00F00A2B"/>
    <w:rsid w:val="00F0413F"/>
    <w:rsid w:val="00F069E8"/>
    <w:rsid w:val="00F123EC"/>
    <w:rsid w:val="00F12579"/>
    <w:rsid w:val="00F130F9"/>
    <w:rsid w:val="00F13D05"/>
    <w:rsid w:val="00F22275"/>
    <w:rsid w:val="00F34DCC"/>
    <w:rsid w:val="00F419BC"/>
    <w:rsid w:val="00F4221B"/>
    <w:rsid w:val="00F46372"/>
    <w:rsid w:val="00F50F64"/>
    <w:rsid w:val="00F56532"/>
    <w:rsid w:val="00F57327"/>
    <w:rsid w:val="00F574C2"/>
    <w:rsid w:val="00F6215A"/>
    <w:rsid w:val="00F678DD"/>
    <w:rsid w:val="00F70C24"/>
    <w:rsid w:val="00F734D3"/>
    <w:rsid w:val="00F74E88"/>
    <w:rsid w:val="00F752F4"/>
    <w:rsid w:val="00F809BE"/>
    <w:rsid w:val="00F84966"/>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C6C13"/>
    <w:rPr>
      <w:color w:val="605E5C"/>
      <w:shd w:val="clear" w:color="auto" w:fill="E1DFDD"/>
    </w:rPr>
  </w:style>
  <w:style w:type="character" w:styleId="CommentReference">
    <w:name w:val="annotation reference"/>
    <w:basedOn w:val="DefaultParagraphFont"/>
    <w:semiHidden/>
    <w:unhideWhenUsed/>
    <w:rsid w:val="001C4F1A"/>
    <w:rPr>
      <w:sz w:val="16"/>
      <w:szCs w:val="16"/>
    </w:rPr>
  </w:style>
  <w:style w:type="paragraph" w:styleId="CommentText">
    <w:name w:val="annotation text"/>
    <w:basedOn w:val="Normal"/>
    <w:link w:val="CommentTextChar"/>
    <w:unhideWhenUsed/>
    <w:rsid w:val="001C4F1A"/>
  </w:style>
  <w:style w:type="character" w:customStyle="1" w:styleId="CommentTextChar">
    <w:name w:val="Comment Text Char"/>
    <w:basedOn w:val="DefaultParagraphFont"/>
    <w:link w:val="CommentText"/>
    <w:rsid w:val="001C4F1A"/>
    <w:rPr>
      <w:sz w:val="20"/>
      <w:szCs w:val="20"/>
    </w:rPr>
  </w:style>
  <w:style w:type="paragraph" w:styleId="CommentSubject">
    <w:name w:val="annotation subject"/>
    <w:basedOn w:val="CommentText"/>
    <w:next w:val="CommentText"/>
    <w:link w:val="CommentSubjectChar"/>
    <w:uiPriority w:val="99"/>
    <w:semiHidden/>
    <w:unhideWhenUsed/>
    <w:rsid w:val="001C4F1A"/>
    <w:rPr>
      <w:b/>
      <w:bCs/>
    </w:rPr>
  </w:style>
  <w:style w:type="character" w:customStyle="1" w:styleId="CommentSubjectChar">
    <w:name w:val="Comment Subject Char"/>
    <w:basedOn w:val="CommentTextChar"/>
    <w:link w:val="CommentSubject"/>
    <w:uiPriority w:val="99"/>
    <w:semiHidden/>
    <w:rsid w:val="001C4F1A"/>
    <w:rPr>
      <w:b/>
      <w:bCs/>
      <w:sz w:val="20"/>
      <w:szCs w:val="20"/>
    </w:rPr>
  </w:style>
  <w:style w:type="paragraph" w:styleId="NormalWeb">
    <w:name w:val="Normal (Web)"/>
    <w:basedOn w:val="Normal"/>
    <w:uiPriority w:val="99"/>
    <w:unhideWhenUsed/>
    <w:rsid w:val="0082128C"/>
    <w:pPr>
      <w:widowControl/>
      <w:spacing w:before="100" w:beforeAutospacing="1" w:after="100" w:afterAutospacing="1"/>
      <w:contextualSpacing w:val="0"/>
      <w:jc w:val="left"/>
    </w:pPr>
    <w:rPr>
      <w:rFonts w:eastAsia="Times New Roman"/>
      <w:sz w:val="24"/>
      <w:szCs w:val="24"/>
    </w:rPr>
  </w:style>
  <w:style w:type="paragraph" w:styleId="ListParagraph">
    <w:name w:val="List Paragraph"/>
    <w:basedOn w:val="Normal"/>
    <w:uiPriority w:val="1"/>
    <w:qFormat/>
    <w:rsid w:val="00405EE8"/>
    <w:pPr>
      <w:widowControl/>
      <w:ind w:left="720"/>
      <w:contextualSpacing w:val="0"/>
    </w:pPr>
    <w:rPr>
      <w:rFonts w:eastAsia="Times New Roman"/>
      <w:sz w:val="24"/>
      <w:szCs w:val="24"/>
    </w:rPr>
  </w:style>
  <w:style w:type="character" w:styleId="FollowedHyperlink">
    <w:name w:val="FollowedHyperlink"/>
    <w:basedOn w:val="DefaultParagraphFont"/>
    <w:uiPriority w:val="99"/>
    <w:semiHidden/>
    <w:unhideWhenUsed/>
    <w:rsid w:val="00EA3D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yperlink" Target="mailto:mcamacho@sos.nv.gov" TargetMode="External"/><Relationship Id="rId17" Type="http://schemas.openxmlformats.org/officeDocument/2006/relationships/hyperlink" Target="file:///C:\Users\dspikula\AppData\Local\Microsoft\Windows\INetCache\Content.Outlook\1LYQ3AHZ\ATTACHMENT%20BB.docx" TargetMode="External"/><Relationship Id="rId25" Type="http://schemas.openxmlformats.org/officeDocument/2006/relationships/hyperlink" Target="https://nevadaepro.com/" TargetMode="External"/><Relationship Id="rId2" Type="http://schemas.openxmlformats.org/officeDocument/2006/relationships/customXml" Target="../customXml/item2.xml"/><Relationship Id="rId16" Type="http://schemas.openxmlformats.org/officeDocument/2006/relationships/hyperlink" Target="file:///C:\Users\dspikula\AppData\Local\Microsoft\Windows\INetCache\Content.Outlook\1LYQ3AHZ\Files,%20Forms,%20Attachments\Standard%20Form%20Contract.docx" TargetMode="External"/><Relationship Id="rId20" Type="http://schemas.openxmlformats.org/officeDocument/2006/relationships/hyperlink" Target="file:///C:\Users\dspikula\AppData\Local\Microsoft\Windows\INetCache\Content.Outlook\1LYQ3AHZ\NSEC%20Cost%20Proposal.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package" Target="embeddings/Microsoft_Word_Document.docx"/><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oleObject" Target="embeddings/oleObject3.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648F8DE7702D43AD06455E84743745" ma:contentTypeVersion="13" ma:contentTypeDescription="Create a new document." ma:contentTypeScope="" ma:versionID="928c95cb1baf1314bf5874d6f15e0b06">
  <xsd:schema xmlns:xsd="http://www.w3.org/2001/XMLSchema" xmlns:xs="http://www.w3.org/2001/XMLSchema" xmlns:p="http://schemas.microsoft.com/office/2006/metadata/properties" xmlns:ns3="c38870d5-e3ef-4898-9c59-51e02e4f3349" xmlns:ns4="aef20ce9-be59-48f2-8283-254674a12c71" targetNamespace="http://schemas.microsoft.com/office/2006/metadata/properties" ma:root="true" ma:fieldsID="a31e27e66dda2d058dfc399d5f94b945" ns3:_="" ns4:_="">
    <xsd:import namespace="c38870d5-e3ef-4898-9c59-51e02e4f3349"/>
    <xsd:import namespace="aef20ce9-be59-48f2-8283-254674a12c7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870d5-e3ef-4898-9c59-51e02e4f334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f20ce9-be59-48f2-8283-254674a12c7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38870d5-e3ef-4898-9c59-51e02e4f3349" xsi:nil="true"/>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710071A7-A446-4F15-A5A3-77BA4A5E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870d5-e3ef-4898-9c59-51e02e4f3349"/>
    <ds:schemaRef ds:uri="aef20ce9-be59-48f2-8283-254674a1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schemas.openxmlformats.org/package/2006/metadata/core-properties"/>
    <ds:schemaRef ds:uri="c38870d5-e3ef-4898-9c59-51e02e4f3349"/>
    <ds:schemaRef ds:uri="http://schemas.microsoft.com/office/infopath/2007/PartnerControls"/>
    <ds:schemaRef ds:uri="aef20ce9-be59-48f2-8283-254674a12c71"/>
    <ds:schemaRef ds:uri="http://purl.org/dc/te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TotalTime>
  <Pages>8</Pages>
  <Words>3455</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Miguel Camacho</cp:lastModifiedBy>
  <cp:revision>2</cp:revision>
  <cp:lastPrinted>2023-06-30T19:28:00Z</cp:lastPrinted>
  <dcterms:created xsi:type="dcterms:W3CDTF">2024-03-07T00:53:00Z</dcterms:created>
  <dcterms:modified xsi:type="dcterms:W3CDTF">2024-03-07T00:53:00Z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0x0101001D648F8DE7702D43AD06455E84743745</vt:lpwstr>
  </property>
</Properties>
</file>