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EED" w:rsidRPr="008E36E9" w:rsidRDefault="00A30EED" w:rsidP="00A30EED">
      <w:pPr>
        <w:widowControl w:val="0"/>
        <w:tabs>
          <w:tab w:val="left" w:pos="5310"/>
        </w:tabs>
        <w:spacing w:after="60"/>
        <w:jc w:val="both"/>
        <w:rPr>
          <w:rFonts w:ascii="Arial" w:hAnsi="Arial"/>
          <w:b/>
          <w:u w:val="single"/>
        </w:rPr>
      </w:pPr>
      <w:r w:rsidRPr="008E36E9">
        <w:rPr>
          <w:rFonts w:ascii="Arial" w:hAnsi="Arial"/>
          <w:b/>
          <w:u w:val="single"/>
        </w:rPr>
        <w:t>INSURANCE REQUIREMENTS:</w:t>
      </w:r>
    </w:p>
    <w:p w:rsidR="00A30EED" w:rsidRPr="008E36E9" w:rsidRDefault="00A30EED" w:rsidP="00A30EED">
      <w:pPr>
        <w:widowControl w:val="0"/>
        <w:tabs>
          <w:tab w:val="left" w:pos="5310"/>
        </w:tabs>
        <w:jc w:val="both"/>
        <w:rPr>
          <w:rFonts w:ascii="Arial" w:hAnsi="Arial"/>
        </w:rPr>
      </w:pPr>
      <w:r w:rsidRPr="008E36E9">
        <w:rPr>
          <w:rFonts w:ascii="Arial" w:hAnsi="Arial"/>
        </w:rPr>
        <w:t>Financial Consultant and subcontractors, if any, shall procure and maintain until all of their obligations have been discharged,</w:t>
      </w:r>
      <w:r w:rsidRPr="008E36E9">
        <w:rPr>
          <w:rFonts w:ascii="CG Times" w:hAnsi="CG Times"/>
        </w:rPr>
        <w:t xml:space="preserve"> </w:t>
      </w:r>
      <w:r w:rsidRPr="008E36E9">
        <w:rPr>
          <w:rFonts w:ascii="Arial" w:hAnsi="Arial"/>
        </w:rPr>
        <w:t xml:space="preserve">including any warranty periods under this Agreement are satisfied, insurance against claims for injury to persons or damage to property which may arise from or in connection with the performance of the work hereunder by the Financial Consultant, his agents, representatives, employees or subcontractors.  </w:t>
      </w:r>
    </w:p>
    <w:p w:rsidR="00A30EED" w:rsidRPr="008E36E9" w:rsidRDefault="00A30EED" w:rsidP="00A30EED">
      <w:pPr>
        <w:widowControl w:val="0"/>
        <w:tabs>
          <w:tab w:val="left" w:pos="5310"/>
        </w:tabs>
        <w:jc w:val="both"/>
        <w:rPr>
          <w:rFonts w:ascii="Arial" w:hAnsi="Arial"/>
        </w:rPr>
      </w:pPr>
    </w:p>
    <w:p w:rsidR="00A30EED" w:rsidRPr="008E36E9" w:rsidRDefault="00A30EED" w:rsidP="00A30EED">
      <w:pPr>
        <w:widowControl w:val="0"/>
        <w:tabs>
          <w:tab w:val="left" w:pos="5310"/>
        </w:tabs>
        <w:jc w:val="both"/>
        <w:rPr>
          <w:rFonts w:ascii="Arial" w:hAnsi="Arial"/>
        </w:rPr>
      </w:pPr>
      <w:r w:rsidRPr="008E36E9">
        <w:rPr>
          <w:rFonts w:ascii="Arial" w:hAnsi="Arial"/>
        </w:rPr>
        <w:t xml:space="preserve">The insurance requirements herein are minimum requirements for this Agreement and in no way limit the indemnity covenants contained in this Agreement.  The State in no way warrants that the minimum limits contained herein are sufficient to protect the Financial Consultant from liabilities that might arise out of the performance of the work under this Agreement by the Financial Consultant, his agents, representatives, employees or subcontractors and Financial Consultant is free to purchase additional insurance as may be determined necessary. </w:t>
      </w:r>
    </w:p>
    <w:p w:rsidR="00A30EED" w:rsidRPr="008E36E9" w:rsidRDefault="00A30EED" w:rsidP="00A30EED">
      <w:pPr>
        <w:widowControl w:val="0"/>
        <w:tabs>
          <w:tab w:val="left" w:pos="5310"/>
        </w:tabs>
        <w:spacing w:line="191" w:lineRule="auto"/>
        <w:jc w:val="both"/>
        <w:rPr>
          <w:rFonts w:ascii="CG Times" w:hAnsi="CG Times"/>
        </w:rPr>
      </w:pPr>
    </w:p>
    <w:p w:rsidR="00A30EED" w:rsidRPr="008E36E9" w:rsidRDefault="00A30EED" w:rsidP="00A30EED">
      <w:pPr>
        <w:widowControl w:val="0"/>
        <w:tabs>
          <w:tab w:val="left" w:pos="5310"/>
        </w:tabs>
        <w:spacing w:line="191" w:lineRule="auto"/>
        <w:jc w:val="both"/>
        <w:rPr>
          <w:rFonts w:ascii="CG Times" w:hAnsi="CG Times"/>
        </w:rPr>
      </w:pPr>
    </w:p>
    <w:p w:rsidR="00A30EED" w:rsidRPr="008E36E9" w:rsidRDefault="00A30EED" w:rsidP="00A30EED">
      <w:pPr>
        <w:widowControl w:val="0"/>
        <w:tabs>
          <w:tab w:val="left" w:pos="-1440"/>
          <w:tab w:val="left" w:pos="5310"/>
        </w:tabs>
        <w:ind w:left="540" w:hanging="540"/>
        <w:jc w:val="both"/>
        <w:rPr>
          <w:rFonts w:ascii="Arial" w:hAnsi="Arial"/>
        </w:rPr>
      </w:pPr>
      <w:r w:rsidRPr="008E36E9">
        <w:rPr>
          <w:rFonts w:ascii="Arial" w:hAnsi="Arial"/>
        </w:rPr>
        <w:t>A.</w:t>
      </w:r>
      <w:r w:rsidRPr="008E36E9">
        <w:rPr>
          <w:rFonts w:ascii="Arial" w:hAnsi="Arial"/>
        </w:rPr>
        <w:tab/>
      </w:r>
      <w:r w:rsidRPr="008E36E9">
        <w:rPr>
          <w:rFonts w:ascii="Arial" w:hAnsi="Arial"/>
          <w:b/>
          <w:u w:val="single"/>
        </w:rPr>
        <w:t>MINIMUM SCOPE AND LIMITS OF INSURANCE:</w:t>
      </w:r>
      <w:r w:rsidRPr="008E36E9">
        <w:rPr>
          <w:rFonts w:ascii="Arial" w:hAnsi="Arial"/>
          <w:b/>
        </w:rPr>
        <w:t xml:space="preserve">  </w:t>
      </w:r>
      <w:r w:rsidRPr="008E36E9">
        <w:rPr>
          <w:rFonts w:ascii="Arial" w:hAnsi="Arial"/>
        </w:rPr>
        <w:t>Financial Consultant shall provide coverage with limits of liability not less than those stated below.  An excess liability policy or umbrella liability policy may be used to meet the minimum liability requirements provided that the coverage is written on a “following form” basis.</w:t>
      </w:r>
    </w:p>
    <w:p w:rsidR="00A30EED" w:rsidRPr="008E36E9" w:rsidRDefault="00A30EED" w:rsidP="00A30EED">
      <w:pPr>
        <w:tabs>
          <w:tab w:val="left" w:pos="450"/>
          <w:tab w:val="left" w:pos="810"/>
          <w:tab w:val="left" w:pos="5760"/>
          <w:tab w:val="left" w:pos="7200"/>
          <w:tab w:val="left" w:pos="9180"/>
        </w:tabs>
        <w:rPr>
          <w:rFonts w:ascii="Arial" w:hAnsi="Arial"/>
        </w:rPr>
      </w:pPr>
    </w:p>
    <w:p w:rsidR="00A30EED" w:rsidRPr="008E36E9" w:rsidRDefault="00A30EED" w:rsidP="00A30EED">
      <w:pPr>
        <w:tabs>
          <w:tab w:val="left" w:pos="540"/>
          <w:tab w:val="left" w:pos="900"/>
          <w:tab w:val="left" w:pos="5760"/>
          <w:tab w:val="left" w:pos="7200"/>
          <w:tab w:val="left" w:pos="9180"/>
        </w:tabs>
        <w:ind w:right="1080"/>
        <w:rPr>
          <w:rFonts w:ascii="Arial" w:hAnsi="Arial"/>
          <w:b/>
        </w:rPr>
      </w:pPr>
      <w:r w:rsidRPr="008E36E9">
        <w:rPr>
          <w:rFonts w:ascii="Arial" w:hAnsi="Arial"/>
        </w:rPr>
        <w:tab/>
        <w:t>1.</w:t>
      </w:r>
      <w:r w:rsidRPr="008E36E9">
        <w:rPr>
          <w:rFonts w:ascii="Arial" w:hAnsi="Arial"/>
        </w:rPr>
        <w:tab/>
      </w:r>
      <w:r w:rsidRPr="008E36E9">
        <w:rPr>
          <w:rFonts w:ascii="Arial" w:hAnsi="Arial"/>
          <w:b/>
        </w:rPr>
        <w:t>Commercial General Liability – Occurrence Form</w:t>
      </w:r>
    </w:p>
    <w:p w:rsidR="00A30EED" w:rsidRPr="008E36E9" w:rsidRDefault="00A30EED" w:rsidP="00A30EED">
      <w:pPr>
        <w:tabs>
          <w:tab w:val="left" w:pos="1368"/>
          <w:tab w:val="left" w:pos="9576"/>
        </w:tabs>
        <w:ind w:left="918" w:right="-90"/>
        <w:jc w:val="both"/>
        <w:rPr>
          <w:rFonts w:ascii="Arial" w:hAnsi="Arial"/>
          <w:b/>
        </w:rPr>
      </w:pPr>
      <w:r w:rsidRPr="008E36E9">
        <w:rPr>
          <w:rFonts w:ascii="Arial" w:hAnsi="Arial"/>
        </w:rPr>
        <w:t>Policy shall include bodily injury, property damage and broad form contractual liability coverage.</w:t>
      </w:r>
    </w:p>
    <w:p w:rsidR="00A30EED" w:rsidRPr="008E36E9" w:rsidRDefault="00A30EED" w:rsidP="00A30EED">
      <w:pPr>
        <w:numPr>
          <w:ilvl w:val="0"/>
          <w:numId w:val="1"/>
        </w:numPr>
        <w:tabs>
          <w:tab w:val="left" w:pos="1728"/>
          <w:tab w:val="left" w:pos="7218"/>
          <w:tab w:val="left" w:pos="9576"/>
        </w:tabs>
        <w:ind w:left="1278" w:right="960"/>
        <w:rPr>
          <w:rFonts w:ascii="Arial" w:hAnsi="Arial"/>
        </w:rPr>
      </w:pPr>
      <w:r w:rsidRPr="008E36E9">
        <w:rPr>
          <w:rFonts w:ascii="Arial" w:hAnsi="Arial"/>
        </w:rPr>
        <w:t>General Aggregate</w:t>
      </w:r>
      <w:r w:rsidRPr="008E36E9">
        <w:rPr>
          <w:rFonts w:ascii="Arial" w:hAnsi="Arial"/>
          <w:i/>
        </w:rPr>
        <w:tab/>
      </w:r>
      <w:r w:rsidRPr="008E36E9">
        <w:rPr>
          <w:rFonts w:ascii="Arial" w:hAnsi="Arial"/>
        </w:rPr>
        <w:t>$2,000,000</w:t>
      </w:r>
    </w:p>
    <w:p w:rsidR="00A30EED" w:rsidRPr="008E36E9" w:rsidRDefault="00A30EED" w:rsidP="00A30EED">
      <w:pPr>
        <w:numPr>
          <w:ilvl w:val="0"/>
          <w:numId w:val="1"/>
        </w:numPr>
        <w:tabs>
          <w:tab w:val="left" w:pos="1728"/>
          <w:tab w:val="left" w:pos="7218"/>
          <w:tab w:val="left" w:pos="9576"/>
        </w:tabs>
        <w:ind w:left="1278" w:right="960"/>
        <w:rPr>
          <w:rFonts w:ascii="Arial" w:hAnsi="Arial"/>
        </w:rPr>
      </w:pPr>
      <w:r w:rsidRPr="008E36E9">
        <w:rPr>
          <w:rFonts w:ascii="Arial" w:hAnsi="Arial"/>
        </w:rPr>
        <w:t>Products – Completed Operations Aggregate</w:t>
      </w:r>
      <w:r w:rsidRPr="008E36E9">
        <w:rPr>
          <w:rFonts w:ascii="Arial" w:hAnsi="Arial"/>
        </w:rPr>
        <w:tab/>
        <w:t>$1,000,000</w:t>
      </w:r>
    </w:p>
    <w:p w:rsidR="00A30EED" w:rsidRPr="008E36E9" w:rsidRDefault="00A30EED" w:rsidP="00A30EED">
      <w:pPr>
        <w:numPr>
          <w:ilvl w:val="0"/>
          <w:numId w:val="1"/>
        </w:numPr>
        <w:tabs>
          <w:tab w:val="left" w:pos="1728"/>
          <w:tab w:val="left" w:pos="7218"/>
          <w:tab w:val="left" w:pos="9576"/>
        </w:tabs>
        <w:ind w:left="1278" w:right="860"/>
        <w:rPr>
          <w:rFonts w:ascii="Arial" w:hAnsi="Arial"/>
        </w:rPr>
      </w:pPr>
      <w:r w:rsidRPr="008E36E9">
        <w:rPr>
          <w:rFonts w:ascii="Arial" w:hAnsi="Arial"/>
        </w:rPr>
        <w:t>Personal and Advertising Injury</w:t>
      </w:r>
      <w:r w:rsidRPr="008E36E9">
        <w:rPr>
          <w:rFonts w:ascii="Arial" w:hAnsi="Arial"/>
        </w:rPr>
        <w:tab/>
        <w:t>$1,000,000</w:t>
      </w:r>
    </w:p>
    <w:p w:rsidR="00A30EED" w:rsidRPr="008E36E9" w:rsidRDefault="00A30EED" w:rsidP="00A30EED">
      <w:pPr>
        <w:numPr>
          <w:ilvl w:val="0"/>
          <w:numId w:val="1"/>
        </w:numPr>
        <w:tabs>
          <w:tab w:val="left" w:pos="1728"/>
          <w:tab w:val="left" w:pos="7218"/>
          <w:tab w:val="left" w:pos="9576"/>
        </w:tabs>
        <w:spacing w:after="120"/>
        <w:ind w:left="1282" w:right="860"/>
        <w:rPr>
          <w:rFonts w:ascii="Arial" w:hAnsi="Arial"/>
        </w:rPr>
      </w:pPr>
      <w:r w:rsidRPr="008E36E9">
        <w:rPr>
          <w:rFonts w:ascii="Arial" w:hAnsi="Arial"/>
        </w:rPr>
        <w:t>Each Occurrence</w:t>
      </w:r>
      <w:r w:rsidRPr="008E36E9">
        <w:rPr>
          <w:rFonts w:ascii="Arial" w:hAnsi="Arial"/>
        </w:rPr>
        <w:tab/>
        <w:t>$1,000,000</w:t>
      </w:r>
    </w:p>
    <w:p w:rsidR="00A30EED" w:rsidRPr="008E36E9" w:rsidRDefault="00A30EED" w:rsidP="00A30EED">
      <w:pPr>
        <w:numPr>
          <w:ilvl w:val="0"/>
          <w:numId w:val="4"/>
        </w:numPr>
        <w:tabs>
          <w:tab w:val="clear" w:pos="1260"/>
          <w:tab w:val="num" w:pos="1440"/>
          <w:tab w:val="left" w:pos="9576"/>
        </w:tabs>
        <w:spacing w:after="80"/>
        <w:ind w:left="1440" w:hanging="540"/>
        <w:jc w:val="both"/>
        <w:rPr>
          <w:rFonts w:ascii="Arial" w:hAnsi="Arial"/>
        </w:rPr>
      </w:pPr>
      <w:r w:rsidRPr="008E36E9">
        <w:rPr>
          <w:rFonts w:ascii="Arial" w:hAnsi="Arial"/>
        </w:rPr>
        <w:t xml:space="preserve">The policy shall be endorsed to include the following additional insured language: "The State of </w:t>
      </w:r>
      <w:smartTag w:uri="urn:schemas-microsoft-com:office:smarttags" w:element="place">
        <w:smartTag w:uri="urn:schemas-microsoft-com:office:smarttags" w:element="State">
          <w:r w:rsidRPr="008E36E9">
            <w:rPr>
              <w:rFonts w:ascii="Arial" w:hAnsi="Arial"/>
            </w:rPr>
            <w:t>Nevada</w:t>
          </w:r>
        </w:smartTag>
      </w:smartTag>
      <w:r w:rsidRPr="008E36E9">
        <w:rPr>
          <w:rFonts w:ascii="Arial" w:hAnsi="Arial"/>
        </w:rPr>
        <w:t xml:space="preserve"> shall be named as an additional insured with respect to liability arising out of the activities performed by, or on behalf of the Financial Consultant".</w:t>
      </w:r>
    </w:p>
    <w:p w:rsidR="00A30EED" w:rsidRPr="008E36E9" w:rsidRDefault="00A30EED" w:rsidP="00A30EED">
      <w:pPr>
        <w:tabs>
          <w:tab w:val="left" w:pos="450"/>
          <w:tab w:val="left" w:pos="810"/>
          <w:tab w:val="left" w:pos="5760"/>
          <w:tab w:val="left" w:pos="7200"/>
          <w:tab w:val="left" w:pos="9180"/>
        </w:tabs>
        <w:ind w:left="810"/>
        <w:rPr>
          <w:rFonts w:ascii="Arial" w:hAnsi="Arial"/>
        </w:rPr>
      </w:pPr>
    </w:p>
    <w:p w:rsidR="00A30EED" w:rsidRDefault="00A30EED" w:rsidP="00A30EED">
      <w:pPr>
        <w:tabs>
          <w:tab w:val="left" w:pos="1368"/>
          <w:tab w:val="left" w:pos="9576"/>
        </w:tabs>
        <w:ind w:left="918" w:right="1080" w:hanging="378"/>
        <w:rPr>
          <w:rFonts w:ascii="Arial" w:hAnsi="Arial"/>
        </w:rPr>
      </w:pPr>
    </w:p>
    <w:p w:rsidR="00A30EED" w:rsidRPr="008E36E9" w:rsidRDefault="00A30EED" w:rsidP="00A30EED">
      <w:pPr>
        <w:tabs>
          <w:tab w:val="left" w:pos="1368"/>
          <w:tab w:val="left" w:pos="9576"/>
        </w:tabs>
        <w:ind w:left="918" w:right="1080" w:hanging="378"/>
        <w:rPr>
          <w:rFonts w:ascii="Arial" w:hAnsi="Arial"/>
          <w:b/>
        </w:rPr>
      </w:pPr>
      <w:r w:rsidRPr="008E36E9">
        <w:rPr>
          <w:rFonts w:ascii="Arial" w:hAnsi="Arial"/>
        </w:rPr>
        <w:t>2.</w:t>
      </w:r>
      <w:r w:rsidRPr="008E36E9">
        <w:rPr>
          <w:rFonts w:ascii="Arial" w:hAnsi="Arial"/>
        </w:rPr>
        <w:tab/>
      </w:r>
      <w:r w:rsidRPr="008E36E9">
        <w:rPr>
          <w:rFonts w:ascii="Arial" w:hAnsi="Arial"/>
          <w:b/>
        </w:rPr>
        <w:t>Worker's Compensation and Employers' Liability</w:t>
      </w:r>
    </w:p>
    <w:p w:rsidR="00A30EED" w:rsidRPr="008E36E9" w:rsidRDefault="00A30EED" w:rsidP="00A30EED">
      <w:pPr>
        <w:tabs>
          <w:tab w:val="left" w:pos="1440"/>
          <w:tab w:val="left" w:pos="1908"/>
          <w:tab w:val="left" w:pos="7218"/>
          <w:tab w:val="left" w:pos="9576"/>
        </w:tabs>
        <w:ind w:right="1080"/>
        <w:rPr>
          <w:rFonts w:ascii="Arial" w:hAnsi="Arial"/>
        </w:rPr>
      </w:pPr>
      <w:r w:rsidRPr="008E36E9">
        <w:rPr>
          <w:rFonts w:ascii="Arial" w:hAnsi="Arial"/>
          <w:b/>
        </w:rPr>
        <w:tab/>
      </w:r>
      <w:r w:rsidRPr="008E36E9">
        <w:rPr>
          <w:rFonts w:ascii="Arial" w:hAnsi="Arial"/>
        </w:rPr>
        <w:t>Workers' Compensation</w:t>
      </w:r>
      <w:r w:rsidRPr="008E36E9">
        <w:rPr>
          <w:rFonts w:ascii="Arial" w:hAnsi="Arial"/>
        </w:rPr>
        <w:tab/>
        <w:t>Statutory</w:t>
      </w:r>
    </w:p>
    <w:p w:rsidR="00A30EED" w:rsidRPr="008E36E9" w:rsidRDefault="00A30EED" w:rsidP="00A30EED">
      <w:pPr>
        <w:tabs>
          <w:tab w:val="left" w:pos="1440"/>
          <w:tab w:val="left" w:pos="1908"/>
          <w:tab w:val="left" w:pos="7218"/>
          <w:tab w:val="left" w:pos="9576"/>
        </w:tabs>
        <w:ind w:left="1440" w:right="1080" w:hanging="1440"/>
        <w:rPr>
          <w:rFonts w:ascii="Arial" w:hAnsi="Arial"/>
        </w:rPr>
      </w:pPr>
      <w:r w:rsidRPr="008E36E9">
        <w:rPr>
          <w:rFonts w:ascii="Arial" w:hAnsi="Arial"/>
        </w:rPr>
        <w:tab/>
        <w:t>Employers' Liability</w:t>
      </w:r>
      <w:r w:rsidRPr="008E36E9">
        <w:rPr>
          <w:rFonts w:ascii="Arial" w:hAnsi="Arial"/>
        </w:rPr>
        <w:tab/>
      </w:r>
    </w:p>
    <w:p w:rsidR="00A30EED" w:rsidRPr="008E36E9" w:rsidRDefault="00A30EED" w:rsidP="00A30EED">
      <w:pPr>
        <w:tabs>
          <w:tab w:val="left" w:pos="2160"/>
          <w:tab w:val="left" w:pos="7218"/>
          <w:tab w:val="left" w:pos="9576"/>
        </w:tabs>
        <w:ind w:left="918" w:right="1080"/>
        <w:rPr>
          <w:rFonts w:ascii="Arial" w:hAnsi="Arial"/>
        </w:rPr>
      </w:pPr>
      <w:r w:rsidRPr="008E36E9">
        <w:rPr>
          <w:rFonts w:ascii="Arial" w:hAnsi="Arial"/>
        </w:rPr>
        <w:tab/>
        <w:t>Each Accident</w:t>
      </w:r>
      <w:r w:rsidRPr="008E36E9">
        <w:rPr>
          <w:rFonts w:ascii="Arial" w:hAnsi="Arial"/>
        </w:rPr>
        <w:tab/>
        <w:t>$100,000</w:t>
      </w:r>
    </w:p>
    <w:p w:rsidR="00A30EED" w:rsidRPr="008E36E9" w:rsidRDefault="00A30EED" w:rsidP="00A30EED">
      <w:pPr>
        <w:tabs>
          <w:tab w:val="left" w:pos="2160"/>
          <w:tab w:val="left" w:pos="7218"/>
          <w:tab w:val="left" w:pos="9576"/>
        </w:tabs>
        <w:ind w:left="918" w:right="1080"/>
        <w:rPr>
          <w:rFonts w:ascii="Arial" w:hAnsi="Arial"/>
        </w:rPr>
      </w:pPr>
      <w:r w:rsidRPr="008E36E9">
        <w:rPr>
          <w:rFonts w:ascii="Arial" w:hAnsi="Arial"/>
        </w:rPr>
        <w:tab/>
        <w:t>Disease – Each Employee</w:t>
      </w:r>
      <w:r w:rsidRPr="008E36E9">
        <w:rPr>
          <w:rFonts w:ascii="Arial" w:hAnsi="Arial"/>
        </w:rPr>
        <w:tab/>
        <w:t>$100,000</w:t>
      </w:r>
    </w:p>
    <w:p w:rsidR="00A30EED" w:rsidRPr="008E36E9" w:rsidRDefault="00A30EED" w:rsidP="00A30EED">
      <w:pPr>
        <w:tabs>
          <w:tab w:val="left" w:pos="2160"/>
          <w:tab w:val="left" w:pos="7218"/>
          <w:tab w:val="left" w:pos="9576"/>
        </w:tabs>
        <w:spacing w:after="120"/>
        <w:ind w:left="900" w:right="1080"/>
        <w:rPr>
          <w:rFonts w:ascii="Arial" w:hAnsi="Arial"/>
        </w:rPr>
      </w:pPr>
      <w:r w:rsidRPr="008E36E9">
        <w:rPr>
          <w:rFonts w:ascii="Arial" w:hAnsi="Arial"/>
        </w:rPr>
        <w:tab/>
        <w:t>Disease – Policy Limit</w:t>
      </w:r>
      <w:r w:rsidRPr="008E36E9">
        <w:rPr>
          <w:rFonts w:ascii="Arial" w:hAnsi="Arial"/>
        </w:rPr>
        <w:tab/>
        <w:t>$500,000</w:t>
      </w:r>
    </w:p>
    <w:p w:rsidR="00A30EED" w:rsidRPr="008E36E9" w:rsidRDefault="00A30EED" w:rsidP="00A30EED">
      <w:pPr>
        <w:tabs>
          <w:tab w:val="left" w:pos="1440"/>
          <w:tab w:val="left" w:pos="9558"/>
        </w:tabs>
        <w:spacing w:after="120"/>
        <w:ind w:left="1454" w:hanging="547"/>
        <w:jc w:val="both"/>
        <w:rPr>
          <w:rFonts w:ascii="Arial" w:hAnsi="Arial"/>
        </w:rPr>
      </w:pPr>
      <w:r w:rsidRPr="008E36E9">
        <w:rPr>
          <w:rFonts w:ascii="Arial" w:hAnsi="Arial"/>
        </w:rPr>
        <w:t>a.</w:t>
      </w:r>
      <w:r w:rsidRPr="008E36E9">
        <w:rPr>
          <w:rFonts w:ascii="Arial" w:hAnsi="Arial"/>
        </w:rPr>
        <w:tab/>
        <w:t xml:space="preserve">Policy shall contain a waiver of subrogation against the State of </w:t>
      </w:r>
      <w:smartTag w:uri="urn:schemas-microsoft-com:office:smarttags" w:element="place">
        <w:smartTag w:uri="urn:schemas-microsoft-com:office:smarttags" w:element="State">
          <w:r w:rsidRPr="008E36E9">
            <w:rPr>
              <w:rFonts w:ascii="Arial" w:hAnsi="Arial"/>
            </w:rPr>
            <w:t>Nevada</w:t>
          </w:r>
        </w:smartTag>
      </w:smartTag>
      <w:r w:rsidRPr="008E36E9">
        <w:rPr>
          <w:rFonts w:ascii="Arial" w:hAnsi="Arial"/>
        </w:rPr>
        <w:t>.</w:t>
      </w:r>
    </w:p>
    <w:p w:rsidR="00A30EED" w:rsidRPr="008E36E9" w:rsidRDefault="00A30EED" w:rsidP="00A30EED">
      <w:pPr>
        <w:tabs>
          <w:tab w:val="left" w:pos="540"/>
          <w:tab w:val="left" w:pos="1440"/>
          <w:tab w:val="left" w:pos="1800"/>
        </w:tabs>
        <w:ind w:left="1440" w:hanging="540"/>
        <w:jc w:val="both"/>
        <w:rPr>
          <w:rFonts w:ascii="Arial" w:hAnsi="Arial"/>
        </w:rPr>
      </w:pPr>
      <w:r w:rsidRPr="008E36E9">
        <w:rPr>
          <w:rFonts w:ascii="Arial" w:hAnsi="Arial"/>
        </w:rPr>
        <w:t>b.</w:t>
      </w:r>
      <w:r w:rsidRPr="008E36E9">
        <w:rPr>
          <w:rFonts w:ascii="Arial" w:hAnsi="Arial"/>
        </w:rPr>
        <w:tab/>
        <w:t xml:space="preserve">This requirement shall not apply when a contractor or subcontractor is exempt under N.R.S., </w:t>
      </w:r>
      <w:r w:rsidRPr="008E36E9">
        <w:rPr>
          <w:rFonts w:ascii="Arial" w:hAnsi="Arial"/>
          <w:b/>
        </w:rPr>
        <w:t xml:space="preserve">AND </w:t>
      </w:r>
      <w:r w:rsidRPr="008E36E9">
        <w:rPr>
          <w:rFonts w:ascii="Arial" w:hAnsi="Arial"/>
        </w:rPr>
        <w:t>when such contractor or subcontractor executes the appropriate sole proprietor waiver form.</w:t>
      </w:r>
    </w:p>
    <w:p w:rsidR="00A30EED" w:rsidRPr="008E36E9" w:rsidRDefault="00A30EED" w:rsidP="00A30EED">
      <w:pPr>
        <w:tabs>
          <w:tab w:val="left" w:pos="540"/>
          <w:tab w:val="left" w:pos="1440"/>
          <w:tab w:val="left" w:pos="1800"/>
        </w:tabs>
        <w:ind w:left="1440" w:hanging="518"/>
        <w:jc w:val="both"/>
        <w:rPr>
          <w:rFonts w:ascii="Arial" w:hAnsi="Arial"/>
          <w:b/>
        </w:rPr>
      </w:pPr>
    </w:p>
    <w:p w:rsidR="00A30EED" w:rsidRPr="008E36E9" w:rsidRDefault="00A30EED" w:rsidP="00A30EED">
      <w:pPr>
        <w:numPr>
          <w:ilvl w:val="0"/>
          <w:numId w:val="7"/>
        </w:numPr>
        <w:tabs>
          <w:tab w:val="left" w:pos="9576"/>
        </w:tabs>
        <w:jc w:val="both"/>
        <w:rPr>
          <w:rFonts w:ascii="Arial" w:hAnsi="Arial"/>
          <w:b/>
        </w:rPr>
      </w:pPr>
      <w:r w:rsidRPr="008E36E9">
        <w:rPr>
          <w:rFonts w:ascii="Arial" w:hAnsi="Arial"/>
          <w:b/>
        </w:rPr>
        <w:t>Professional Liability (Errors and Omissions Liability)</w:t>
      </w:r>
    </w:p>
    <w:p w:rsidR="00A30EED" w:rsidRPr="008E36E9" w:rsidRDefault="00A30EED" w:rsidP="00A30EED">
      <w:pPr>
        <w:tabs>
          <w:tab w:val="left" w:pos="900"/>
          <w:tab w:val="left" w:pos="9576"/>
        </w:tabs>
        <w:spacing w:after="80"/>
        <w:ind w:left="900" w:hanging="300"/>
        <w:jc w:val="both"/>
        <w:rPr>
          <w:rFonts w:ascii="Arial" w:hAnsi="Arial"/>
          <w:b/>
        </w:rPr>
      </w:pPr>
      <w:r w:rsidRPr="008E36E9">
        <w:rPr>
          <w:rFonts w:ascii="Arial" w:hAnsi="Arial" w:cs="Arial"/>
        </w:rPr>
        <w:tab/>
        <w:t>The policy shall cover professional misconduct or lack of ordinary skill for those positions defined in the Scope of Services of this contract.</w:t>
      </w:r>
    </w:p>
    <w:p w:rsidR="00A30EED" w:rsidRPr="008E36E9" w:rsidRDefault="00A30EED" w:rsidP="00A30EED">
      <w:pPr>
        <w:tabs>
          <w:tab w:val="left" w:pos="900"/>
          <w:tab w:val="left" w:pos="9576"/>
        </w:tabs>
        <w:ind w:right="1080" w:firstLine="540"/>
        <w:rPr>
          <w:rFonts w:ascii="Arial" w:hAnsi="Arial"/>
          <w:b/>
        </w:rPr>
      </w:pPr>
    </w:p>
    <w:p w:rsidR="00A30EED" w:rsidRPr="008E36E9" w:rsidRDefault="00A30EED" w:rsidP="00A30EED">
      <w:pPr>
        <w:tabs>
          <w:tab w:val="left" w:pos="2520"/>
          <w:tab w:val="left" w:pos="7218"/>
          <w:tab w:val="left" w:pos="9576"/>
        </w:tabs>
        <w:ind w:left="918" w:right="180"/>
        <w:rPr>
          <w:rFonts w:ascii="Arial" w:hAnsi="Arial"/>
        </w:rPr>
      </w:pPr>
      <w:r w:rsidRPr="008E36E9">
        <w:rPr>
          <w:rFonts w:ascii="Arial" w:hAnsi="Arial"/>
          <w:b/>
        </w:rPr>
        <w:tab/>
      </w:r>
      <w:r w:rsidRPr="008E36E9">
        <w:rPr>
          <w:rFonts w:ascii="Arial" w:hAnsi="Arial"/>
        </w:rPr>
        <w:t>Each Claim</w:t>
      </w:r>
      <w:r w:rsidRPr="008E36E9">
        <w:rPr>
          <w:rFonts w:ascii="Arial" w:hAnsi="Arial"/>
          <w:b/>
        </w:rPr>
        <w:tab/>
      </w:r>
      <w:r w:rsidRPr="008E36E9">
        <w:rPr>
          <w:rFonts w:ascii="Arial" w:hAnsi="Arial"/>
        </w:rPr>
        <w:t>$10,000,000</w:t>
      </w:r>
    </w:p>
    <w:p w:rsidR="00A30EED" w:rsidRPr="008E36E9" w:rsidRDefault="00A30EED" w:rsidP="00A30EED">
      <w:pPr>
        <w:tabs>
          <w:tab w:val="left" w:pos="2520"/>
          <w:tab w:val="left" w:pos="7218"/>
          <w:tab w:val="left" w:pos="9576"/>
        </w:tabs>
        <w:spacing w:after="80"/>
        <w:ind w:left="922" w:right="860"/>
        <w:rPr>
          <w:rFonts w:ascii="Arial" w:hAnsi="Arial"/>
        </w:rPr>
      </w:pPr>
      <w:r w:rsidRPr="008E36E9">
        <w:rPr>
          <w:rFonts w:ascii="Arial" w:hAnsi="Arial"/>
        </w:rPr>
        <w:tab/>
        <w:t>Annual Aggregate</w:t>
      </w:r>
      <w:r w:rsidRPr="008E36E9">
        <w:rPr>
          <w:rFonts w:ascii="Arial" w:hAnsi="Arial"/>
        </w:rPr>
        <w:tab/>
        <w:t>$10,000,000</w:t>
      </w:r>
    </w:p>
    <w:p w:rsidR="00A30EED" w:rsidRPr="008E36E9" w:rsidRDefault="00A30EED" w:rsidP="00A30EED">
      <w:pPr>
        <w:numPr>
          <w:ilvl w:val="0"/>
          <w:numId w:val="5"/>
        </w:numPr>
        <w:tabs>
          <w:tab w:val="clear" w:pos="1260"/>
          <w:tab w:val="num" w:pos="1440"/>
          <w:tab w:val="left" w:pos="2718"/>
          <w:tab w:val="left" w:pos="7218"/>
          <w:tab w:val="left" w:pos="9576"/>
        </w:tabs>
        <w:spacing w:after="80"/>
        <w:ind w:left="1440" w:hanging="540"/>
        <w:jc w:val="both"/>
        <w:rPr>
          <w:rFonts w:ascii="Arial" w:hAnsi="Arial"/>
        </w:rPr>
      </w:pPr>
      <w:r w:rsidRPr="008E36E9">
        <w:rPr>
          <w:rFonts w:ascii="Arial" w:hAnsi="Arial"/>
        </w:rPr>
        <w:t>In the event that the professional liability insurance required by this Agreement is written on a claims-made basis, Financial Consultant warrants that any retroactive date under the policy shall precede the effective date of this Agreement; and that either continuous coverage will be maintained or an extended discovery period will be exercised for a period of two (2) years from the time work under this Agreement is completed.</w:t>
      </w:r>
    </w:p>
    <w:p w:rsidR="00A30EED" w:rsidRPr="008E36E9" w:rsidRDefault="00A30EED" w:rsidP="00A30EED">
      <w:pPr>
        <w:widowControl w:val="0"/>
        <w:jc w:val="both"/>
        <w:rPr>
          <w:rFonts w:ascii="Arial" w:hAnsi="Arial"/>
          <w:color w:val="000000"/>
          <w:sz w:val="22"/>
        </w:rPr>
      </w:pPr>
    </w:p>
    <w:p w:rsidR="00A30EED" w:rsidRPr="008E36E9" w:rsidRDefault="00A30EED" w:rsidP="00A30EED">
      <w:pPr>
        <w:numPr>
          <w:ilvl w:val="0"/>
          <w:numId w:val="6"/>
        </w:numPr>
        <w:tabs>
          <w:tab w:val="left" w:pos="540"/>
          <w:tab w:val="left" w:pos="5760"/>
          <w:tab w:val="left" w:pos="7200"/>
          <w:tab w:val="left" w:pos="9180"/>
        </w:tabs>
        <w:ind w:right="1080"/>
        <w:rPr>
          <w:rFonts w:ascii="Arial" w:hAnsi="Arial"/>
          <w:b/>
        </w:rPr>
      </w:pPr>
      <w:r w:rsidRPr="008E36E9">
        <w:rPr>
          <w:rFonts w:ascii="Arial" w:hAnsi="Arial"/>
          <w:b/>
        </w:rPr>
        <w:t xml:space="preserve">Financial Institution Bond or Security Dealers Blanket Bond </w:t>
      </w:r>
      <w:r w:rsidRPr="008E36E9">
        <w:rPr>
          <w:rFonts w:ascii="Arial" w:hAnsi="Arial"/>
        </w:rPr>
        <w:t>(</w:t>
      </w:r>
      <w:r w:rsidRPr="008E36E9">
        <w:rPr>
          <w:rFonts w:ascii="Arial" w:hAnsi="Arial"/>
          <w:color w:val="000000"/>
        </w:rPr>
        <w:t>The bond is required only if the contractor has access to State funds.)</w:t>
      </w:r>
    </w:p>
    <w:p w:rsidR="00A30EED" w:rsidRDefault="00A30EED" w:rsidP="00A30EED">
      <w:pPr>
        <w:tabs>
          <w:tab w:val="left" w:pos="540"/>
          <w:tab w:val="left" w:pos="900"/>
          <w:tab w:val="left" w:pos="5760"/>
          <w:tab w:val="left" w:pos="7200"/>
          <w:tab w:val="left" w:pos="9180"/>
        </w:tabs>
        <w:ind w:left="900" w:right="-40"/>
        <w:jc w:val="both"/>
        <w:rPr>
          <w:rFonts w:ascii="Arial" w:hAnsi="Arial"/>
        </w:rPr>
      </w:pPr>
    </w:p>
    <w:p w:rsidR="00A30EED" w:rsidRDefault="00A30EED" w:rsidP="00A30EED">
      <w:pPr>
        <w:tabs>
          <w:tab w:val="left" w:pos="540"/>
          <w:tab w:val="left" w:pos="900"/>
          <w:tab w:val="left" w:pos="5760"/>
          <w:tab w:val="left" w:pos="7218"/>
          <w:tab w:val="left" w:pos="9180"/>
        </w:tabs>
        <w:ind w:left="900" w:right="-40"/>
        <w:jc w:val="both"/>
        <w:rPr>
          <w:rFonts w:ascii="Arial" w:hAnsi="Arial"/>
        </w:rPr>
      </w:pPr>
      <w:r w:rsidRPr="008E36E9">
        <w:rPr>
          <w:rFonts w:ascii="Arial" w:hAnsi="Arial"/>
        </w:rPr>
        <w:t>If the Scope of Services involve receiving, depositing, transferring or investing State funds, one of the above bonds is required.</w:t>
      </w:r>
      <w:r>
        <w:rPr>
          <w:rFonts w:ascii="Arial" w:hAnsi="Arial"/>
        </w:rPr>
        <w:t xml:space="preserve">    </w:t>
      </w:r>
    </w:p>
    <w:p w:rsidR="00A30EED" w:rsidRDefault="00A30EED" w:rsidP="00A30EED">
      <w:pPr>
        <w:tabs>
          <w:tab w:val="left" w:pos="540"/>
          <w:tab w:val="left" w:pos="900"/>
          <w:tab w:val="left" w:pos="5760"/>
          <w:tab w:val="left" w:pos="7218"/>
          <w:tab w:val="left" w:pos="9180"/>
        </w:tabs>
        <w:ind w:left="900" w:right="-40"/>
        <w:jc w:val="both"/>
        <w:rPr>
          <w:rFonts w:ascii="Arial" w:hAnsi="Arial"/>
        </w:rPr>
      </w:pPr>
    </w:p>
    <w:p w:rsidR="00A30EED" w:rsidRPr="00233A4C" w:rsidRDefault="00A30EED" w:rsidP="00A30EED">
      <w:pPr>
        <w:tabs>
          <w:tab w:val="left" w:pos="540"/>
          <w:tab w:val="left" w:pos="900"/>
          <w:tab w:val="left" w:pos="3510"/>
          <w:tab w:val="left" w:pos="5760"/>
          <w:tab w:val="left" w:pos="7218"/>
          <w:tab w:val="left" w:pos="9180"/>
        </w:tabs>
        <w:ind w:left="900" w:right="-40"/>
        <w:jc w:val="both"/>
        <w:rPr>
          <w:rFonts w:ascii="Arial" w:hAnsi="Arial"/>
          <w:b/>
        </w:rPr>
      </w:pPr>
      <w:r w:rsidRPr="00233A4C">
        <w:rPr>
          <w:rFonts w:ascii="Arial" w:hAnsi="Arial"/>
          <w:b/>
        </w:rPr>
        <w:t>Bond Limit</w:t>
      </w:r>
      <w:r w:rsidRPr="00233A4C">
        <w:rPr>
          <w:rFonts w:ascii="Arial" w:hAnsi="Arial"/>
          <w:b/>
        </w:rPr>
        <w:tab/>
        <w:t>$</w:t>
      </w:r>
      <w:r>
        <w:rPr>
          <w:rFonts w:ascii="Arial" w:hAnsi="Arial"/>
          <w:b/>
        </w:rPr>
        <w:t>10,000,000</w:t>
      </w:r>
    </w:p>
    <w:p w:rsidR="00A30EED" w:rsidRPr="008E36E9" w:rsidRDefault="00A30EED" w:rsidP="00A30EED">
      <w:pPr>
        <w:tabs>
          <w:tab w:val="left" w:pos="540"/>
          <w:tab w:val="left" w:pos="900"/>
          <w:tab w:val="left" w:pos="5760"/>
          <w:tab w:val="left" w:pos="7218"/>
          <w:tab w:val="left" w:pos="9180"/>
        </w:tabs>
        <w:ind w:right="-40"/>
        <w:jc w:val="both"/>
        <w:rPr>
          <w:rFonts w:ascii="Arial" w:hAnsi="Arial"/>
        </w:rPr>
      </w:pPr>
    </w:p>
    <w:p w:rsidR="00A30EED" w:rsidRPr="008E36E9" w:rsidRDefault="00A30EED" w:rsidP="00A30EED">
      <w:pPr>
        <w:tabs>
          <w:tab w:val="left" w:pos="900"/>
          <w:tab w:val="left" w:pos="1440"/>
          <w:tab w:val="left" w:pos="5760"/>
          <w:tab w:val="left" w:pos="7200"/>
          <w:tab w:val="left" w:pos="9180"/>
        </w:tabs>
        <w:spacing w:after="80"/>
        <w:ind w:left="1440" w:hanging="540"/>
        <w:jc w:val="both"/>
        <w:rPr>
          <w:rFonts w:ascii="Arial" w:hAnsi="Arial"/>
        </w:rPr>
      </w:pPr>
      <w:r w:rsidRPr="008E36E9">
        <w:rPr>
          <w:rFonts w:ascii="Arial" w:hAnsi="Arial"/>
        </w:rPr>
        <w:t>a.</w:t>
      </w:r>
      <w:r w:rsidRPr="008E36E9">
        <w:rPr>
          <w:rFonts w:ascii="Arial" w:hAnsi="Arial"/>
        </w:rPr>
        <w:tab/>
        <w:t>The bond shall be issued with limits based on the amount of the States investment portfolio with the contractor.</w:t>
      </w:r>
    </w:p>
    <w:p w:rsidR="00A30EED" w:rsidRPr="008E36E9" w:rsidRDefault="00A30EED" w:rsidP="00A30EED">
      <w:pPr>
        <w:tabs>
          <w:tab w:val="left" w:pos="900"/>
          <w:tab w:val="left" w:pos="1440"/>
          <w:tab w:val="left" w:pos="5760"/>
          <w:tab w:val="left" w:pos="7200"/>
          <w:tab w:val="left" w:pos="9180"/>
        </w:tabs>
        <w:spacing w:after="80"/>
        <w:ind w:left="1500" w:hanging="960"/>
        <w:jc w:val="both"/>
        <w:rPr>
          <w:rFonts w:ascii="Arial" w:hAnsi="Arial"/>
        </w:rPr>
      </w:pPr>
      <w:r w:rsidRPr="008E36E9">
        <w:rPr>
          <w:rFonts w:ascii="Arial" w:hAnsi="Arial"/>
        </w:rPr>
        <w:tab/>
        <w:t>b.</w:t>
      </w:r>
      <w:r w:rsidRPr="008E36E9">
        <w:rPr>
          <w:rFonts w:ascii="Arial" w:hAnsi="Arial"/>
        </w:rPr>
        <w:tab/>
        <w:t>The bond shall include coverage for all directors, officers, agents and employees of the Contractor.</w:t>
      </w:r>
    </w:p>
    <w:p w:rsidR="00A30EED" w:rsidRPr="008E36E9" w:rsidRDefault="00A30EED" w:rsidP="00A30EED">
      <w:pPr>
        <w:tabs>
          <w:tab w:val="left" w:pos="450"/>
          <w:tab w:val="left" w:pos="900"/>
          <w:tab w:val="left" w:pos="1440"/>
          <w:tab w:val="left" w:pos="5760"/>
          <w:tab w:val="left" w:pos="7200"/>
          <w:tab w:val="left" w:pos="9180"/>
        </w:tabs>
        <w:spacing w:after="80"/>
        <w:ind w:left="1440" w:hanging="540"/>
        <w:jc w:val="both"/>
        <w:rPr>
          <w:rFonts w:ascii="Arial" w:hAnsi="Arial"/>
        </w:rPr>
      </w:pPr>
      <w:r w:rsidRPr="008E36E9">
        <w:rPr>
          <w:rFonts w:ascii="Arial" w:hAnsi="Arial"/>
        </w:rPr>
        <w:t>c.</w:t>
      </w:r>
      <w:r w:rsidRPr="008E36E9">
        <w:rPr>
          <w:rFonts w:ascii="Arial" w:hAnsi="Arial"/>
        </w:rPr>
        <w:tab/>
        <w:t xml:space="preserve">The bond shall </w:t>
      </w:r>
      <w:r w:rsidRPr="008E36E9">
        <w:rPr>
          <w:rFonts w:ascii="Arial" w:hAnsi="Arial"/>
          <w:b/>
        </w:rPr>
        <w:t xml:space="preserve">include coverage for third party fidelity and name </w:t>
      </w:r>
      <w:r>
        <w:rPr>
          <w:rFonts w:ascii="Arial" w:hAnsi="Arial"/>
          <w:b/>
        </w:rPr>
        <w:t>S</w:t>
      </w:r>
      <w:r w:rsidRPr="008E36E9">
        <w:rPr>
          <w:rFonts w:ascii="Arial" w:hAnsi="Arial"/>
          <w:b/>
        </w:rPr>
        <w:t>tate</w:t>
      </w:r>
      <w:r>
        <w:rPr>
          <w:rFonts w:ascii="Arial" w:hAnsi="Arial"/>
          <w:b/>
        </w:rPr>
        <w:t xml:space="preserve"> of </w:t>
      </w:r>
      <w:smartTag w:uri="urn:schemas-microsoft-com:office:smarttags" w:element="State">
        <w:smartTag w:uri="urn:schemas-microsoft-com:office:smarttags" w:element="place">
          <w:r>
            <w:rPr>
              <w:rFonts w:ascii="Arial" w:hAnsi="Arial"/>
              <w:b/>
            </w:rPr>
            <w:t>Nevada</w:t>
          </w:r>
        </w:smartTag>
      </w:smartTag>
      <w:r w:rsidRPr="008E36E9">
        <w:rPr>
          <w:rFonts w:ascii="Arial" w:hAnsi="Arial"/>
          <w:b/>
        </w:rPr>
        <w:t xml:space="preserve"> as loss payee.</w:t>
      </w:r>
    </w:p>
    <w:p w:rsidR="00A30EED" w:rsidRPr="008E36E9" w:rsidRDefault="00A30EED" w:rsidP="00A30EED">
      <w:pPr>
        <w:tabs>
          <w:tab w:val="left" w:pos="450"/>
          <w:tab w:val="left" w:pos="900"/>
          <w:tab w:val="left" w:pos="1440"/>
          <w:tab w:val="left" w:pos="5760"/>
          <w:tab w:val="left" w:pos="7200"/>
          <w:tab w:val="left" w:pos="9180"/>
        </w:tabs>
        <w:spacing w:after="80"/>
        <w:ind w:left="900"/>
        <w:jc w:val="both"/>
        <w:rPr>
          <w:rFonts w:ascii="Arial" w:hAnsi="Arial"/>
        </w:rPr>
      </w:pPr>
      <w:r w:rsidRPr="008E36E9">
        <w:rPr>
          <w:rFonts w:ascii="Arial" w:hAnsi="Arial"/>
        </w:rPr>
        <w:t>d.</w:t>
      </w:r>
      <w:r w:rsidRPr="008E36E9">
        <w:rPr>
          <w:rFonts w:ascii="Arial" w:hAnsi="Arial"/>
        </w:rPr>
        <w:tab/>
        <w:t xml:space="preserve">The bond shall </w:t>
      </w:r>
      <w:r w:rsidRPr="008E36E9">
        <w:rPr>
          <w:rFonts w:ascii="Arial" w:hAnsi="Arial"/>
          <w:b/>
        </w:rPr>
        <w:t>include coverage for extended theft and mysterious disappearance.</w:t>
      </w:r>
    </w:p>
    <w:p w:rsidR="00A30EED" w:rsidRPr="008E36E9" w:rsidRDefault="00A30EED" w:rsidP="00A30EED">
      <w:pPr>
        <w:tabs>
          <w:tab w:val="left" w:pos="450"/>
          <w:tab w:val="left" w:pos="1500"/>
          <w:tab w:val="left" w:pos="5760"/>
          <w:tab w:val="left" w:pos="7200"/>
          <w:tab w:val="left" w:pos="9180"/>
        </w:tabs>
        <w:spacing w:after="80"/>
        <w:ind w:left="1500" w:hanging="600"/>
        <w:jc w:val="both"/>
        <w:rPr>
          <w:rFonts w:ascii="Arial" w:hAnsi="Arial"/>
        </w:rPr>
      </w:pPr>
      <w:r w:rsidRPr="008E36E9">
        <w:rPr>
          <w:rFonts w:ascii="Arial" w:hAnsi="Arial"/>
        </w:rPr>
        <w:t>e.</w:t>
      </w:r>
      <w:r w:rsidRPr="008E36E9">
        <w:rPr>
          <w:rFonts w:ascii="Arial" w:hAnsi="Arial"/>
        </w:rPr>
        <w:tab/>
        <w:t>If the scope of services pertains to any employee benefit plans, the bond</w:t>
      </w:r>
      <w:r w:rsidRPr="008E36E9">
        <w:rPr>
          <w:rFonts w:ascii="Arial" w:hAnsi="Arial"/>
          <w:b/>
        </w:rPr>
        <w:t xml:space="preserve"> shall include a </w:t>
      </w:r>
      <w:proofErr w:type="gramStart"/>
      <w:r w:rsidRPr="008E36E9">
        <w:rPr>
          <w:rFonts w:ascii="Arial" w:hAnsi="Arial"/>
          <w:b/>
        </w:rPr>
        <w:t>third party</w:t>
      </w:r>
      <w:proofErr w:type="gramEnd"/>
      <w:r w:rsidRPr="008E36E9">
        <w:rPr>
          <w:rFonts w:ascii="Arial" w:hAnsi="Arial"/>
          <w:b/>
        </w:rPr>
        <w:t xml:space="preserve"> ERISA endorsement.</w:t>
      </w:r>
    </w:p>
    <w:p w:rsidR="00A30EED" w:rsidRPr="008E36E9" w:rsidRDefault="00A30EED" w:rsidP="00A30EED">
      <w:pPr>
        <w:tabs>
          <w:tab w:val="left" w:pos="1440"/>
          <w:tab w:val="left" w:pos="9576"/>
        </w:tabs>
        <w:ind w:left="900"/>
        <w:jc w:val="both"/>
        <w:rPr>
          <w:rFonts w:ascii="Arial" w:hAnsi="Arial"/>
          <w:b/>
        </w:rPr>
      </w:pPr>
      <w:r w:rsidRPr="008E36E9">
        <w:rPr>
          <w:rFonts w:ascii="Arial" w:hAnsi="Arial"/>
        </w:rPr>
        <w:t>f.</w:t>
      </w:r>
      <w:r w:rsidRPr="008E36E9">
        <w:rPr>
          <w:rFonts w:ascii="Arial" w:hAnsi="Arial"/>
        </w:rPr>
        <w:tab/>
        <w:t xml:space="preserve">The bond </w:t>
      </w:r>
      <w:r w:rsidRPr="008E36E9">
        <w:rPr>
          <w:rFonts w:ascii="Arial" w:hAnsi="Arial"/>
          <w:b/>
        </w:rPr>
        <w:t>shall not</w:t>
      </w:r>
      <w:r w:rsidRPr="008E36E9">
        <w:rPr>
          <w:rFonts w:ascii="Arial" w:hAnsi="Arial"/>
        </w:rPr>
        <w:t xml:space="preserve"> </w:t>
      </w:r>
      <w:r w:rsidRPr="008E36E9">
        <w:rPr>
          <w:rFonts w:ascii="Arial" w:hAnsi="Arial"/>
          <w:b/>
        </w:rPr>
        <w:t>contain</w:t>
      </w:r>
      <w:r w:rsidRPr="008E36E9">
        <w:rPr>
          <w:rFonts w:ascii="Arial" w:hAnsi="Arial"/>
        </w:rPr>
        <w:t xml:space="preserve"> </w:t>
      </w:r>
      <w:r w:rsidRPr="008E36E9">
        <w:rPr>
          <w:rFonts w:ascii="Arial" w:hAnsi="Arial"/>
          <w:b/>
        </w:rPr>
        <w:t>a condition</w:t>
      </w:r>
      <w:r w:rsidRPr="008E36E9">
        <w:rPr>
          <w:rFonts w:ascii="Arial" w:hAnsi="Arial"/>
        </w:rPr>
        <w:t xml:space="preserve"> </w:t>
      </w:r>
      <w:r w:rsidRPr="008E36E9">
        <w:rPr>
          <w:rFonts w:ascii="Arial" w:hAnsi="Arial"/>
          <w:b/>
        </w:rPr>
        <w:t>requiring an arrest and conviction.</w:t>
      </w:r>
    </w:p>
    <w:p w:rsidR="00A30EED" w:rsidRDefault="00A30EED" w:rsidP="00A30EED"/>
    <w:p w:rsidR="00A30EED" w:rsidRPr="008E36E9" w:rsidRDefault="00A30EED" w:rsidP="00A30EED"/>
    <w:p w:rsidR="00A30EED" w:rsidRPr="008E36E9" w:rsidRDefault="00A30EED" w:rsidP="00A30EED">
      <w:pPr>
        <w:tabs>
          <w:tab w:val="left" w:pos="540"/>
          <w:tab w:val="left" w:pos="1080"/>
        </w:tabs>
        <w:spacing w:after="120"/>
        <w:ind w:left="540" w:hanging="540"/>
        <w:jc w:val="both"/>
        <w:rPr>
          <w:rFonts w:ascii="Arial" w:hAnsi="Arial"/>
          <w:b/>
        </w:rPr>
      </w:pPr>
      <w:r w:rsidRPr="008E36E9">
        <w:rPr>
          <w:rFonts w:ascii="Arial" w:hAnsi="Arial"/>
        </w:rPr>
        <w:t>B.</w:t>
      </w:r>
      <w:r w:rsidRPr="008E36E9">
        <w:rPr>
          <w:rFonts w:ascii="Arial" w:hAnsi="Arial"/>
        </w:rPr>
        <w:tab/>
      </w:r>
      <w:r w:rsidRPr="008E36E9">
        <w:rPr>
          <w:rFonts w:ascii="Arial" w:hAnsi="Arial"/>
          <w:b/>
          <w:u w:val="single"/>
        </w:rPr>
        <w:t>ADDITIONAL INSURANCE REQUIREMENTS:</w:t>
      </w:r>
      <w:r w:rsidRPr="008E36E9">
        <w:rPr>
          <w:rFonts w:ascii="Arial" w:hAnsi="Arial"/>
          <w:b/>
        </w:rPr>
        <w:t xml:space="preserve">  </w:t>
      </w:r>
      <w:r w:rsidRPr="008E36E9">
        <w:rPr>
          <w:rFonts w:ascii="Arial" w:hAnsi="Arial"/>
        </w:rPr>
        <w:t>The policies shall include, or be endorsed to include, the following provisions:</w:t>
      </w:r>
    </w:p>
    <w:p w:rsidR="00A30EED" w:rsidRPr="008E36E9" w:rsidRDefault="00A30EED" w:rsidP="00A30EED">
      <w:pPr>
        <w:tabs>
          <w:tab w:val="left" w:pos="450"/>
          <w:tab w:val="left" w:pos="900"/>
          <w:tab w:val="left" w:pos="1440"/>
        </w:tabs>
        <w:spacing w:after="80"/>
        <w:ind w:left="900" w:hanging="360"/>
        <w:jc w:val="both"/>
        <w:rPr>
          <w:rFonts w:ascii="Arial" w:hAnsi="Arial"/>
        </w:rPr>
      </w:pPr>
      <w:r w:rsidRPr="008E36E9">
        <w:rPr>
          <w:rFonts w:ascii="Arial" w:hAnsi="Arial"/>
        </w:rPr>
        <w:t>1.</w:t>
      </w:r>
      <w:r w:rsidRPr="008E36E9">
        <w:rPr>
          <w:rFonts w:ascii="Arial" w:hAnsi="Arial"/>
        </w:rPr>
        <w:tab/>
        <w:t xml:space="preserve">On insurance policies where the State of </w:t>
      </w:r>
      <w:smartTag w:uri="urn:schemas-microsoft-com:office:smarttags" w:element="State">
        <w:r w:rsidRPr="008E36E9">
          <w:rPr>
            <w:rFonts w:ascii="Arial" w:hAnsi="Arial"/>
          </w:rPr>
          <w:t>Nevada</w:t>
        </w:r>
      </w:smartTag>
      <w:r w:rsidRPr="008E36E9">
        <w:rPr>
          <w:rFonts w:ascii="Arial" w:hAnsi="Arial"/>
        </w:rPr>
        <w:t xml:space="preserve"> is named as an additional insured, the State of </w:t>
      </w:r>
      <w:smartTag w:uri="urn:schemas-microsoft-com:office:smarttags" w:element="place">
        <w:smartTag w:uri="urn:schemas-microsoft-com:office:smarttags" w:element="State">
          <w:r w:rsidRPr="008E36E9">
            <w:rPr>
              <w:rFonts w:ascii="Arial" w:hAnsi="Arial"/>
            </w:rPr>
            <w:t>Nevada</w:t>
          </w:r>
        </w:smartTag>
      </w:smartTag>
      <w:r w:rsidRPr="008E36E9">
        <w:rPr>
          <w:rFonts w:ascii="Arial" w:hAnsi="Arial"/>
        </w:rPr>
        <w:t xml:space="preserve"> shall be an additional insured to the full limits of liability purchased by the Financial Consultant even if those limits of liability are in excess of those required by this Agreement.</w:t>
      </w:r>
    </w:p>
    <w:p w:rsidR="00A30EED" w:rsidRDefault="00A30EED" w:rsidP="00A30EED">
      <w:pPr>
        <w:tabs>
          <w:tab w:val="left" w:pos="540"/>
          <w:tab w:val="left" w:pos="900"/>
        </w:tabs>
        <w:spacing w:after="80"/>
        <w:ind w:left="900" w:hanging="360"/>
        <w:jc w:val="both"/>
        <w:rPr>
          <w:rFonts w:ascii="Arial" w:hAnsi="Arial"/>
        </w:rPr>
      </w:pPr>
      <w:r w:rsidRPr="008E36E9">
        <w:rPr>
          <w:rFonts w:ascii="Arial" w:hAnsi="Arial"/>
        </w:rPr>
        <w:t>2.</w:t>
      </w:r>
      <w:r w:rsidRPr="008E36E9">
        <w:rPr>
          <w:rFonts w:ascii="Arial" w:hAnsi="Arial"/>
        </w:rPr>
        <w:tab/>
        <w:t>The Financial Consultant's insurance coverage shall be primary insurance and non-contributory with respect to all other available sources.</w:t>
      </w:r>
    </w:p>
    <w:p w:rsidR="00A30EED" w:rsidRPr="008E36E9" w:rsidRDefault="00A30EED" w:rsidP="00A30EED">
      <w:pPr>
        <w:tabs>
          <w:tab w:val="left" w:pos="540"/>
          <w:tab w:val="left" w:pos="900"/>
        </w:tabs>
        <w:spacing w:after="80"/>
        <w:ind w:left="540"/>
        <w:jc w:val="both"/>
        <w:rPr>
          <w:rFonts w:ascii="Arial" w:hAnsi="Arial"/>
        </w:rPr>
      </w:pPr>
    </w:p>
    <w:p w:rsidR="00A30EED" w:rsidRPr="00BA3E53" w:rsidRDefault="00A30EED" w:rsidP="00A30EED">
      <w:pPr>
        <w:ind w:left="540" w:hanging="540"/>
        <w:jc w:val="both"/>
        <w:rPr>
          <w:rFonts w:ascii="Arial" w:hAnsi="Arial" w:cs="Arial"/>
          <w:iCs/>
        </w:rPr>
      </w:pPr>
      <w:r w:rsidRPr="008E36E9">
        <w:rPr>
          <w:rFonts w:ascii="Arial" w:hAnsi="Arial"/>
        </w:rPr>
        <w:t>C.</w:t>
      </w:r>
      <w:r w:rsidRPr="008E36E9">
        <w:rPr>
          <w:rFonts w:ascii="Arial" w:hAnsi="Arial"/>
        </w:rPr>
        <w:tab/>
      </w:r>
      <w:r w:rsidRPr="008E36E9">
        <w:rPr>
          <w:rFonts w:ascii="Arial" w:hAnsi="Arial"/>
          <w:b/>
          <w:u w:val="single"/>
        </w:rPr>
        <w:t>NOTICE OF CANCELLATION:</w:t>
      </w:r>
      <w:r w:rsidRPr="008E36E9">
        <w:rPr>
          <w:rFonts w:ascii="Arial" w:hAnsi="Arial"/>
          <w:b/>
        </w:rPr>
        <w:t xml:space="preserve">  </w:t>
      </w:r>
      <w:r>
        <w:rPr>
          <w:rFonts w:ascii="Arial" w:hAnsi="Arial" w:cs="Arial"/>
        </w:rPr>
        <w:t xml:space="preserve">Contractor shall for each insurance policy required by the insurance provisions of this Contract shall not be suspended, voided or canceled except after providing thirty (30) days prior written notice been given to the State, except when cancellation is for non-payment of premium, then ten (10) days prior notice may be given.  Such notice shall be sent directly to </w:t>
      </w:r>
      <w:r>
        <w:rPr>
          <w:rFonts w:ascii="Arial" w:hAnsi="Arial" w:cs="Arial"/>
          <w:b/>
          <w:bCs/>
        </w:rPr>
        <w:t>(State of Nevada Representative's Name &amp; Address)</w:t>
      </w:r>
      <w:r>
        <w:rPr>
          <w:rFonts w:ascii="Arial" w:hAnsi="Arial" w:cs="Arial"/>
        </w:rPr>
        <w:t xml:space="preserve">.  </w:t>
      </w:r>
      <w:r w:rsidRPr="00FC6D64">
        <w:rPr>
          <w:rFonts w:ascii="Arial" w:hAnsi="Arial" w:cs="Arial"/>
          <w:iCs/>
        </w:rPr>
        <w:t>Should contractor fail to provide State timely notice, contractor will be considered in breach and subject to cure provisions set forth within this contract.</w:t>
      </w:r>
    </w:p>
    <w:p w:rsidR="00A30EED" w:rsidRPr="008E36E9" w:rsidRDefault="00A30EED" w:rsidP="00A30EED">
      <w:pPr>
        <w:tabs>
          <w:tab w:val="left" w:pos="900"/>
          <w:tab w:val="left" w:pos="1350"/>
          <w:tab w:val="left" w:pos="1800"/>
        </w:tabs>
        <w:ind w:left="540" w:hanging="540"/>
        <w:jc w:val="both"/>
        <w:rPr>
          <w:rFonts w:ascii="Arial" w:hAnsi="Arial"/>
        </w:rPr>
      </w:pPr>
    </w:p>
    <w:p w:rsidR="00A30EED" w:rsidRPr="008E36E9" w:rsidRDefault="00A30EED" w:rsidP="00A30EED">
      <w:pPr>
        <w:tabs>
          <w:tab w:val="left" w:pos="540"/>
          <w:tab w:val="left" w:pos="1350"/>
          <w:tab w:val="left" w:pos="1800"/>
        </w:tabs>
        <w:ind w:left="540" w:hanging="540"/>
        <w:jc w:val="both"/>
        <w:rPr>
          <w:rFonts w:ascii="Arial" w:hAnsi="Arial"/>
        </w:rPr>
      </w:pPr>
      <w:r w:rsidRPr="008E36E9">
        <w:rPr>
          <w:rFonts w:ascii="Arial" w:hAnsi="Arial"/>
        </w:rPr>
        <w:t>D.</w:t>
      </w:r>
      <w:r w:rsidRPr="008E36E9">
        <w:rPr>
          <w:rFonts w:ascii="Arial" w:hAnsi="Arial"/>
        </w:rPr>
        <w:tab/>
      </w:r>
      <w:r w:rsidRPr="008E36E9">
        <w:rPr>
          <w:rFonts w:ascii="Arial" w:hAnsi="Arial"/>
          <w:b/>
          <w:u w:val="single"/>
        </w:rPr>
        <w:t>ACCEPTABILITY OF INSURERS:</w:t>
      </w:r>
      <w:r w:rsidRPr="008E36E9">
        <w:rPr>
          <w:rFonts w:ascii="Arial" w:hAnsi="Arial"/>
          <w:b/>
        </w:rPr>
        <w:t xml:space="preserve">  </w:t>
      </w:r>
      <w:r w:rsidRPr="008E36E9">
        <w:rPr>
          <w:rFonts w:ascii="Arial" w:hAnsi="Arial"/>
        </w:rPr>
        <w:t xml:space="preserve">Insurance is to be placed with insurers duly licensed or authorized to do business in the state of </w:t>
      </w:r>
      <w:smartTag w:uri="urn:schemas-microsoft-com:office:smarttags" w:element="State">
        <w:smartTag w:uri="urn:schemas-microsoft-com:office:smarttags" w:element="place">
          <w:r w:rsidRPr="00B54F97">
            <w:rPr>
              <w:rFonts w:ascii="Arial" w:hAnsi="Arial"/>
            </w:rPr>
            <w:t>Nevada</w:t>
          </w:r>
        </w:smartTag>
      </w:smartTag>
      <w:r w:rsidRPr="00B54F97">
        <w:rPr>
          <w:rFonts w:ascii="Arial" w:hAnsi="Arial"/>
        </w:rPr>
        <w:t xml:space="preserve"> and with an “A.M. Best” rating of not less than A-VII.  The State in no way warrants that the above-required minimum</w:t>
      </w:r>
      <w:r w:rsidRPr="008E36E9">
        <w:rPr>
          <w:rFonts w:ascii="Arial" w:hAnsi="Arial"/>
        </w:rPr>
        <w:t xml:space="preserve"> insurer rating is </w:t>
      </w:r>
      <w:proofErr w:type="gramStart"/>
      <w:r w:rsidRPr="008E36E9">
        <w:rPr>
          <w:rFonts w:ascii="Arial" w:hAnsi="Arial"/>
        </w:rPr>
        <w:t>sufficient</w:t>
      </w:r>
      <w:proofErr w:type="gramEnd"/>
      <w:r w:rsidRPr="008E36E9">
        <w:rPr>
          <w:rFonts w:ascii="Arial" w:hAnsi="Arial"/>
        </w:rPr>
        <w:t xml:space="preserve"> to protect the Contractor from potential insurer insolvency.</w:t>
      </w:r>
    </w:p>
    <w:p w:rsidR="00A30EED" w:rsidRPr="008E36E9" w:rsidRDefault="00A30EED" w:rsidP="00A30EED">
      <w:pPr>
        <w:tabs>
          <w:tab w:val="left" w:pos="450"/>
          <w:tab w:val="left" w:pos="900"/>
          <w:tab w:val="left" w:pos="1350"/>
          <w:tab w:val="left" w:pos="1800"/>
        </w:tabs>
        <w:ind w:left="900" w:hanging="900"/>
        <w:jc w:val="both"/>
        <w:rPr>
          <w:rFonts w:ascii="Arial" w:hAnsi="Arial"/>
        </w:rPr>
      </w:pPr>
    </w:p>
    <w:p w:rsidR="00A30EED" w:rsidRPr="008E36E9" w:rsidRDefault="00A30EED" w:rsidP="00A30EED">
      <w:pPr>
        <w:tabs>
          <w:tab w:val="left" w:pos="540"/>
          <w:tab w:val="left" w:pos="900"/>
          <w:tab w:val="left" w:pos="1350"/>
          <w:tab w:val="left" w:pos="1800"/>
        </w:tabs>
        <w:ind w:left="540" w:hanging="552"/>
        <w:jc w:val="both"/>
        <w:rPr>
          <w:rFonts w:ascii="Arial" w:hAnsi="Arial"/>
        </w:rPr>
      </w:pPr>
      <w:r w:rsidRPr="008E36E9">
        <w:rPr>
          <w:rFonts w:ascii="Arial" w:hAnsi="Arial"/>
        </w:rPr>
        <w:t>E.</w:t>
      </w:r>
      <w:r w:rsidRPr="008E36E9">
        <w:rPr>
          <w:rFonts w:ascii="Arial" w:hAnsi="Arial"/>
          <w:b/>
        </w:rPr>
        <w:tab/>
      </w:r>
      <w:r w:rsidRPr="008E36E9">
        <w:rPr>
          <w:rFonts w:ascii="Arial" w:hAnsi="Arial"/>
          <w:b/>
          <w:u w:val="single"/>
        </w:rPr>
        <w:t>VERIFICATION OF COVERAGE:</w:t>
      </w:r>
      <w:r w:rsidRPr="008E36E9">
        <w:rPr>
          <w:rFonts w:ascii="Arial" w:hAnsi="Arial"/>
          <w:b/>
        </w:rPr>
        <w:t xml:space="preserve">  </w:t>
      </w:r>
      <w:r w:rsidRPr="008E36E9">
        <w:rPr>
          <w:rFonts w:ascii="Arial" w:hAnsi="Arial"/>
        </w:rPr>
        <w:t>Financial Consultant shall furnish the State with certificates of insurance (ACORD form or equivalent approved by the State) as required by this Agreement.  The certificates for each insurance policy are to be signed by a person authorized by that insurer to bind coverage on its behalf</w:t>
      </w:r>
      <w:r w:rsidRPr="008E36E9">
        <w:rPr>
          <w:rFonts w:ascii="Arial" w:hAnsi="Arial"/>
          <w:i/>
        </w:rPr>
        <w:t>.</w:t>
      </w:r>
    </w:p>
    <w:p w:rsidR="00A30EED" w:rsidRPr="008E36E9" w:rsidRDefault="00A30EED" w:rsidP="00A30EED">
      <w:pPr>
        <w:tabs>
          <w:tab w:val="left" w:pos="450"/>
          <w:tab w:val="left" w:pos="900"/>
          <w:tab w:val="left" w:pos="1350"/>
          <w:tab w:val="left" w:pos="1800"/>
        </w:tabs>
        <w:ind w:left="900" w:hanging="900"/>
        <w:jc w:val="both"/>
        <w:rPr>
          <w:rFonts w:ascii="Arial" w:hAnsi="Arial"/>
        </w:rPr>
      </w:pPr>
    </w:p>
    <w:p w:rsidR="00A30EED" w:rsidRPr="008E36E9" w:rsidRDefault="00A30EED" w:rsidP="00A30EED">
      <w:pPr>
        <w:tabs>
          <w:tab w:val="left" w:pos="540"/>
          <w:tab w:val="left" w:pos="1440"/>
          <w:tab w:val="left" w:pos="1800"/>
        </w:tabs>
        <w:ind w:left="540" w:hanging="540"/>
        <w:jc w:val="both"/>
        <w:rPr>
          <w:rFonts w:ascii="Arial" w:hAnsi="Arial"/>
        </w:rPr>
      </w:pPr>
      <w:r w:rsidRPr="008E36E9">
        <w:rPr>
          <w:rFonts w:ascii="Arial" w:hAnsi="Arial"/>
        </w:rPr>
        <w:tab/>
        <w:t>All certificates and endorsements are to be received and approved by the State before work commences.  Each insurance policy required by this Agreement must be in effect at or prior to commencement of work under this Agreement and remain in effect for the duration of the project.  Failure to maintain the insurance policies as required by this Agreement or to provide evidence of renewal is a material breach of contract.</w:t>
      </w:r>
    </w:p>
    <w:p w:rsidR="00A30EED" w:rsidRPr="008E36E9" w:rsidRDefault="00A30EED" w:rsidP="00A30EED">
      <w:pPr>
        <w:tabs>
          <w:tab w:val="left" w:pos="450"/>
          <w:tab w:val="left" w:pos="900"/>
          <w:tab w:val="left" w:pos="1350"/>
          <w:tab w:val="left" w:pos="1800"/>
        </w:tabs>
        <w:ind w:left="900" w:hanging="900"/>
        <w:jc w:val="both"/>
        <w:rPr>
          <w:rFonts w:ascii="Arial" w:hAnsi="Arial"/>
        </w:rPr>
      </w:pPr>
    </w:p>
    <w:p w:rsidR="00A30EED" w:rsidRPr="008E36E9" w:rsidRDefault="00A30EED" w:rsidP="00A30EED">
      <w:pPr>
        <w:tabs>
          <w:tab w:val="left" w:pos="540"/>
          <w:tab w:val="left" w:pos="1440"/>
          <w:tab w:val="left" w:pos="1800"/>
        </w:tabs>
        <w:ind w:left="540" w:hanging="540"/>
        <w:jc w:val="both"/>
        <w:rPr>
          <w:rFonts w:ascii="Arial" w:hAnsi="Arial"/>
          <w:b/>
        </w:rPr>
      </w:pPr>
      <w:r w:rsidRPr="008E36E9">
        <w:rPr>
          <w:rFonts w:ascii="Arial" w:hAnsi="Arial"/>
        </w:rPr>
        <w:tab/>
        <w:t xml:space="preserve">All certificates and any required endorsement shall be sent directly to </w:t>
      </w:r>
      <w:r w:rsidRPr="008E36E9">
        <w:rPr>
          <w:rFonts w:ascii="Arial" w:hAnsi="Arial"/>
          <w:b/>
        </w:rPr>
        <w:t>(State Department Representative's Name and Address)</w:t>
      </w:r>
      <w:r w:rsidRPr="008E36E9">
        <w:rPr>
          <w:rFonts w:ascii="Arial" w:hAnsi="Arial"/>
        </w:rPr>
        <w:t>.  The State project/contract number and project description shall be noted on the certificate of insurance.  The State reserves the right to require complete, certified copies of all insurance policies required by this Agreement at any time</w:t>
      </w:r>
      <w:r w:rsidRPr="008E36E9">
        <w:rPr>
          <w:rFonts w:ascii="Arial" w:hAnsi="Arial"/>
          <w:b/>
        </w:rPr>
        <w:t>.  DO NOT SEND CERTIFICATES OF INSURANCE TO THE STATES RISK MANAGEMENT DIVISION.</w:t>
      </w:r>
    </w:p>
    <w:p w:rsidR="00A30EED" w:rsidRPr="008E36E9" w:rsidRDefault="00A30EED" w:rsidP="00A30EED">
      <w:pPr>
        <w:tabs>
          <w:tab w:val="left" w:pos="450"/>
          <w:tab w:val="left" w:pos="900"/>
          <w:tab w:val="left" w:pos="1350"/>
          <w:tab w:val="left" w:pos="1800"/>
        </w:tabs>
        <w:ind w:left="900" w:hanging="900"/>
        <w:jc w:val="both"/>
        <w:rPr>
          <w:rFonts w:ascii="Arial" w:hAnsi="Arial"/>
        </w:rPr>
      </w:pPr>
    </w:p>
    <w:p w:rsidR="00A30EED" w:rsidRPr="008E36E9" w:rsidRDefault="00A30EED" w:rsidP="00A30EED">
      <w:pPr>
        <w:tabs>
          <w:tab w:val="left" w:pos="700"/>
          <w:tab w:val="left" w:pos="1440"/>
          <w:tab w:val="left" w:pos="1800"/>
        </w:tabs>
        <w:ind w:left="500" w:hanging="500"/>
        <w:jc w:val="both"/>
      </w:pPr>
      <w:r w:rsidRPr="008E36E9">
        <w:rPr>
          <w:rFonts w:ascii="Arial" w:hAnsi="Arial"/>
        </w:rPr>
        <w:t>F.</w:t>
      </w:r>
      <w:r w:rsidRPr="008E36E9">
        <w:rPr>
          <w:rFonts w:ascii="Arial" w:hAnsi="Arial"/>
        </w:rPr>
        <w:tab/>
      </w:r>
      <w:r w:rsidRPr="008E36E9">
        <w:rPr>
          <w:rFonts w:ascii="Arial" w:hAnsi="Arial"/>
          <w:b/>
          <w:u w:val="single"/>
        </w:rPr>
        <w:t>APPROVAL:</w:t>
      </w:r>
      <w:r w:rsidRPr="008E36E9">
        <w:rPr>
          <w:rFonts w:ascii="Arial" w:hAnsi="Arial"/>
          <w:b/>
        </w:rPr>
        <w:t xml:space="preserve">  </w:t>
      </w:r>
      <w:r w:rsidRPr="008E36E9">
        <w:rPr>
          <w:rFonts w:ascii="Arial" w:hAnsi="Arial"/>
        </w:rPr>
        <w:t xml:space="preserve">Any modification or variation from the insurance requirements in this Agreement shall be made by the Attorney General’s Office or the Risk Manager, whose decision shall be final.  Such action will not require a formal contract </w:t>
      </w:r>
      <w:proofErr w:type="gramStart"/>
      <w:r w:rsidRPr="008E36E9">
        <w:rPr>
          <w:rFonts w:ascii="Arial" w:hAnsi="Arial"/>
        </w:rPr>
        <w:t>amendment, but</w:t>
      </w:r>
      <w:proofErr w:type="gramEnd"/>
      <w:r w:rsidRPr="008E36E9">
        <w:rPr>
          <w:rFonts w:ascii="Arial" w:hAnsi="Arial"/>
        </w:rPr>
        <w:t xml:space="preserve"> may be made by administrative action.</w:t>
      </w:r>
    </w:p>
    <w:p w:rsidR="00A30EED" w:rsidRPr="008E36E9" w:rsidRDefault="00A30EED" w:rsidP="00A30EED">
      <w:pPr>
        <w:tabs>
          <w:tab w:val="left" w:pos="700"/>
          <w:tab w:val="left" w:pos="1440"/>
          <w:tab w:val="left" w:pos="1800"/>
        </w:tabs>
        <w:ind w:left="500" w:hanging="500"/>
        <w:jc w:val="both"/>
      </w:pPr>
    </w:p>
    <w:sectPr w:rsidR="00A30EED" w:rsidRPr="008E3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A22ED"/>
    <w:multiLevelType w:val="hybridMultilevel"/>
    <w:tmpl w:val="87266768"/>
    <w:lvl w:ilvl="0" w:tplc="C7362018">
      <w:start w:val="3"/>
      <w:numFmt w:val="decimal"/>
      <w:lvlText w:val="%1."/>
      <w:lvlJc w:val="left"/>
      <w:pPr>
        <w:tabs>
          <w:tab w:val="num" w:pos="907"/>
        </w:tabs>
        <w:ind w:left="907" w:hanging="360"/>
      </w:pPr>
      <w:rPr>
        <w:rFonts w:hint="default"/>
        <w:b w:val="0"/>
      </w:rPr>
    </w:lvl>
    <w:lvl w:ilvl="1" w:tplc="04090019" w:tentative="1">
      <w:start w:val="1"/>
      <w:numFmt w:val="lowerLetter"/>
      <w:lvlText w:val="%2."/>
      <w:lvlJc w:val="left"/>
      <w:pPr>
        <w:tabs>
          <w:tab w:val="num" w:pos="1627"/>
        </w:tabs>
        <w:ind w:left="1627" w:hanging="360"/>
      </w:p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 w15:restartNumberingAfterBreak="0">
    <w:nsid w:val="2B516D2C"/>
    <w:multiLevelType w:val="singleLevel"/>
    <w:tmpl w:val="F732EFA8"/>
    <w:lvl w:ilvl="0">
      <w:start w:val="1"/>
      <w:numFmt w:val="decimal"/>
      <w:lvlText w:val="%1."/>
      <w:lvlJc w:val="left"/>
      <w:pPr>
        <w:tabs>
          <w:tab w:val="num" w:pos="900"/>
        </w:tabs>
        <w:ind w:left="900" w:hanging="360"/>
      </w:pPr>
      <w:rPr>
        <w:rFonts w:hint="default"/>
      </w:rPr>
    </w:lvl>
  </w:abstractNum>
  <w:abstractNum w:abstractNumId="2" w15:restartNumberingAfterBreak="0">
    <w:nsid w:val="2C8816AE"/>
    <w:multiLevelType w:val="singleLevel"/>
    <w:tmpl w:val="A36C0D36"/>
    <w:lvl w:ilvl="0">
      <w:start w:val="1"/>
      <w:numFmt w:val="lowerLetter"/>
      <w:lvlText w:val="%1."/>
      <w:lvlJc w:val="left"/>
      <w:pPr>
        <w:tabs>
          <w:tab w:val="num" w:pos="1260"/>
        </w:tabs>
        <w:ind w:left="1260" w:hanging="360"/>
      </w:pPr>
      <w:rPr>
        <w:rFonts w:hint="default"/>
      </w:rPr>
    </w:lvl>
  </w:abstractNum>
  <w:abstractNum w:abstractNumId="3" w15:restartNumberingAfterBreak="0">
    <w:nsid w:val="2D6A66FF"/>
    <w:multiLevelType w:val="singleLevel"/>
    <w:tmpl w:val="04090001"/>
    <w:lvl w:ilvl="0">
      <w:start w:val="1"/>
      <w:numFmt w:val="bullet"/>
      <w:lvlText w:val=""/>
      <w:lvlJc w:val="left"/>
      <w:pPr>
        <w:tabs>
          <w:tab w:val="num" w:pos="1260"/>
        </w:tabs>
        <w:ind w:left="1260" w:hanging="360"/>
      </w:pPr>
      <w:rPr>
        <w:rFonts w:ascii="Symbol" w:hAnsi="Symbol" w:hint="default"/>
      </w:rPr>
    </w:lvl>
  </w:abstractNum>
  <w:abstractNum w:abstractNumId="4" w15:restartNumberingAfterBreak="0">
    <w:nsid w:val="423B01E9"/>
    <w:multiLevelType w:val="hybridMultilevel"/>
    <w:tmpl w:val="9BA200F8"/>
    <w:lvl w:ilvl="0" w:tplc="DD3E368A">
      <w:start w:val="4"/>
      <w:numFmt w:val="decimal"/>
      <w:lvlText w:val="%1."/>
      <w:lvlJc w:val="left"/>
      <w:pPr>
        <w:tabs>
          <w:tab w:val="num" w:pos="900"/>
        </w:tabs>
        <w:ind w:left="900" w:hanging="360"/>
      </w:pPr>
      <w:rPr>
        <w:rFonts w:hint="default"/>
        <w:b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5" w15:restartNumberingAfterBreak="0">
    <w:nsid w:val="4C5A6632"/>
    <w:multiLevelType w:val="singleLevel"/>
    <w:tmpl w:val="A36C0D36"/>
    <w:lvl w:ilvl="0">
      <w:start w:val="1"/>
      <w:numFmt w:val="lowerLetter"/>
      <w:lvlText w:val="%1."/>
      <w:lvlJc w:val="left"/>
      <w:pPr>
        <w:tabs>
          <w:tab w:val="num" w:pos="1260"/>
        </w:tabs>
        <w:ind w:left="1260" w:hanging="360"/>
      </w:pPr>
      <w:rPr>
        <w:rFonts w:hint="default"/>
      </w:rPr>
    </w:lvl>
  </w:abstractNum>
  <w:abstractNum w:abstractNumId="6" w15:restartNumberingAfterBreak="0">
    <w:nsid w:val="63336AC5"/>
    <w:multiLevelType w:val="singleLevel"/>
    <w:tmpl w:val="A36C0D36"/>
    <w:lvl w:ilvl="0">
      <w:start w:val="1"/>
      <w:numFmt w:val="lowerLetter"/>
      <w:lvlText w:val="%1."/>
      <w:lvlJc w:val="left"/>
      <w:pPr>
        <w:tabs>
          <w:tab w:val="num" w:pos="1260"/>
        </w:tabs>
        <w:ind w:left="1260" w:hanging="360"/>
      </w:pPr>
      <w:rPr>
        <w:rFonts w:hint="default"/>
        <w:b w:val="0"/>
      </w:rPr>
    </w:lvl>
  </w:abstractNum>
  <w:num w:numId="1">
    <w:abstractNumId w:val="3"/>
  </w:num>
  <w:num w:numId="2">
    <w:abstractNumId w:val="1"/>
  </w:num>
  <w:num w:numId="3">
    <w:abstractNumId w:val="6"/>
  </w:num>
  <w:num w:numId="4">
    <w:abstractNumId w:val="5"/>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B3A"/>
    <w:rsid w:val="00100C5C"/>
    <w:rsid w:val="00404BD3"/>
    <w:rsid w:val="004620F8"/>
    <w:rsid w:val="007A5E69"/>
    <w:rsid w:val="00A30EED"/>
    <w:rsid w:val="00B56B3A"/>
    <w:rsid w:val="00D01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5:chartTrackingRefBased/>
  <w15:docId w15:val="{6587B8B5-2727-43F0-866F-7B341A4CE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6B3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tyleArial14ptBoldBottomThick-thinsmallgapAuto22">
    <w:name w:val="Heading + Style Arial 14 pt Bold Bottom: (Thick-thin small gap Auto  2.2..."/>
    <w:basedOn w:val="Header"/>
    <w:rsid w:val="00A30EED"/>
    <w:pPr>
      <w:pBdr>
        <w:bottom w:val="thickThinSmallGap" w:sz="18" w:space="1" w:color="auto"/>
      </w:pBdr>
      <w:tabs>
        <w:tab w:val="clear" w:pos="4680"/>
        <w:tab w:val="clear" w:pos="9360"/>
        <w:tab w:val="center" w:pos="4320"/>
        <w:tab w:val="right" w:pos="8640"/>
      </w:tabs>
    </w:pPr>
    <w:rPr>
      <w:rFonts w:ascii="Arial" w:hAnsi="Arial"/>
      <w:b/>
      <w:bCs/>
      <w:sz w:val="28"/>
    </w:rPr>
  </w:style>
  <w:style w:type="paragraph" w:styleId="Header">
    <w:name w:val="header"/>
    <w:basedOn w:val="Normal"/>
    <w:link w:val="HeaderChar"/>
    <w:uiPriority w:val="99"/>
    <w:semiHidden/>
    <w:unhideWhenUsed/>
    <w:rsid w:val="00A30EED"/>
    <w:pPr>
      <w:tabs>
        <w:tab w:val="center" w:pos="4680"/>
        <w:tab w:val="right" w:pos="9360"/>
      </w:tabs>
    </w:pPr>
  </w:style>
  <w:style w:type="character" w:customStyle="1" w:styleId="HeaderChar">
    <w:name w:val="Header Char"/>
    <w:basedOn w:val="DefaultParagraphFont"/>
    <w:link w:val="Header"/>
    <w:uiPriority w:val="99"/>
    <w:semiHidden/>
    <w:rsid w:val="00A30EED"/>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404B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4BD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R. Hagan</dc:creator>
  <cp:keywords/>
  <dc:description/>
  <cp:lastModifiedBy>Teri L. Becker</cp:lastModifiedBy>
  <cp:revision>1</cp:revision>
  <dcterms:created xsi:type="dcterms:W3CDTF">2020-01-07T21:44:00Z</dcterms:created>
  <dcterms:modified xsi:type="dcterms:W3CDTF">2020-01-07T21:44:00Z</dcterms:modified>
</cp:coreProperties>
</file>