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369"/>
        <w:gridCol w:w="3481"/>
        <w:gridCol w:w="3086"/>
      </w:tblGrid>
      <w:tr w:rsidR="00090603" w:rsidRPr="00340BCC" w14:paraId="29E773A8" w14:textId="77777777" w:rsidTr="00591FDE">
        <w:tc>
          <w:tcPr>
            <w:tcW w:w="3438" w:type="dxa"/>
          </w:tcPr>
          <w:p w14:paraId="0D089751" w14:textId="730D54D8" w:rsidR="00090603" w:rsidRPr="00340BCC" w:rsidRDefault="00090603" w:rsidP="002F7316">
            <w:pPr>
              <w:pStyle w:val="Header"/>
              <w:tabs>
                <w:tab w:val="center" w:pos="5040"/>
                <w:tab w:val="center" w:pos="9900"/>
              </w:tabs>
              <w:rPr>
                <w:rFonts w:ascii="CG Times" w:hAnsi="CG Times"/>
                <w:sz w:val="16"/>
              </w:rPr>
            </w:pPr>
          </w:p>
        </w:tc>
        <w:tc>
          <w:tcPr>
            <w:tcW w:w="3510" w:type="dxa"/>
            <w:vMerge w:val="restart"/>
          </w:tcPr>
          <w:p w14:paraId="1DA1C60F" w14:textId="6E38B370" w:rsidR="00090603" w:rsidRDefault="00090603" w:rsidP="002F7316">
            <w:pPr>
              <w:tabs>
                <w:tab w:val="center" w:pos="5040"/>
                <w:tab w:val="center" w:pos="9450"/>
              </w:tabs>
              <w:jc w:val="center"/>
              <w:rPr>
                <w:rFonts w:ascii="CG Times" w:hAnsi="CG Times"/>
                <w:sz w:val="16"/>
              </w:rPr>
            </w:pPr>
            <w:r w:rsidRPr="00340BCC">
              <w:rPr>
                <w:rFonts w:ascii="CG Times" w:hAnsi="CG Times"/>
                <w:sz w:val="16"/>
              </w:rPr>
              <w:object w:dxaOrig="1783" w:dyaOrig="2242" w14:anchorId="4980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76.5pt" o:ole="">
                  <v:imagedata r:id="rId8" o:title="" cropbottom="26758f"/>
                </v:shape>
                <o:OLEObject Type="Embed" ProgID="Word.Picture.8" ShapeID="_x0000_i1025" DrawAspect="Content" ObjectID="_1769511450" r:id="rId9"/>
              </w:object>
            </w:r>
          </w:p>
          <w:p w14:paraId="7C6888D0" w14:textId="51558394" w:rsidR="004946CA" w:rsidRDefault="004946CA" w:rsidP="002F7316">
            <w:pPr>
              <w:tabs>
                <w:tab w:val="center" w:pos="5040"/>
                <w:tab w:val="center" w:pos="9450"/>
              </w:tabs>
              <w:jc w:val="center"/>
              <w:rPr>
                <w:rFonts w:ascii="CG Times" w:hAnsi="CG Times"/>
                <w:sz w:val="16"/>
              </w:rPr>
            </w:pPr>
          </w:p>
          <w:p w14:paraId="58A5B3E2" w14:textId="51A0A5FA" w:rsidR="004946CA" w:rsidRPr="004946CA" w:rsidRDefault="004946CA" w:rsidP="002F7316">
            <w:pPr>
              <w:tabs>
                <w:tab w:val="center" w:pos="5040"/>
                <w:tab w:val="center" w:pos="9450"/>
              </w:tabs>
              <w:jc w:val="center"/>
              <w:rPr>
                <w:rFonts w:ascii="CG Times" w:hAnsi="CG Times"/>
                <w:sz w:val="20"/>
              </w:rPr>
            </w:pPr>
            <w:r w:rsidRPr="004946CA">
              <w:rPr>
                <w:rFonts w:ascii="CG Times" w:hAnsi="CG Times"/>
                <w:sz w:val="20"/>
              </w:rPr>
              <w:t>State of Nevada</w:t>
            </w:r>
          </w:p>
          <w:p w14:paraId="718DF3D4" w14:textId="5AF7CC0B" w:rsidR="004946CA" w:rsidRPr="004946CA" w:rsidRDefault="004946CA" w:rsidP="002F7316">
            <w:pPr>
              <w:tabs>
                <w:tab w:val="center" w:pos="5040"/>
                <w:tab w:val="center" w:pos="9450"/>
              </w:tabs>
              <w:jc w:val="center"/>
              <w:rPr>
                <w:rFonts w:ascii="CG Times" w:hAnsi="CG Times"/>
                <w:sz w:val="20"/>
              </w:rPr>
            </w:pPr>
            <w:r w:rsidRPr="004946CA">
              <w:rPr>
                <w:rFonts w:ascii="CG Times" w:hAnsi="CG Times"/>
                <w:sz w:val="20"/>
              </w:rPr>
              <w:t>Department of Administration</w:t>
            </w:r>
          </w:p>
          <w:p w14:paraId="17621337" w14:textId="0115E05F" w:rsidR="004946CA" w:rsidRPr="004946CA" w:rsidRDefault="004946CA" w:rsidP="002F7316">
            <w:pPr>
              <w:tabs>
                <w:tab w:val="center" w:pos="5040"/>
                <w:tab w:val="center" w:pos="9450"/>
              </w:tabs>
              <w:jc w:val="center"/>
              <w:rPr>
                <w:rFonts w:ascii="CG Times" w:hAnsi="CG Times"/>
                <w:sz w:val="20"/>
              </w:rPr>
            </w:pPr>
            <w:r w:rsidRPr="004946CA">
              <w:rPr>
                <w:rFonts w:ascii="CG Times" w:hAnsi="CG Times"/>
                <w:sz w:val="20"/>
              </w:rPr>
              <w:t>Purchasing Division</w:t>
            </w:r>
          </w:p>
          <w:p w14:paraId="1F70A1CB" w14:textId="51E47500" w:rsidR="004946CA" w:rsidRPr="004946CA" w:rsidRDefault="004946CA" w:rsidP="002F7316">
            <w:pPr>
              <w:tabs>
                <w:tab w:val="center" w:pos="5040"/>
                <w:tab w:val="center" w:pos="9450"/>
              </w:tabs>
              <w:jc w:val="center"/>
              <w:rPr>
                <w:rFonts w:ascii="CG Times" w:hAnsi="CG Times"/>
                <w:sz w:val="20"/>
              </w:rPr>
            </w:pPr>
            <w:r w:rsidRPr="004946CA">
              <w:rPr>
                <w:rFonts w:ascii="CG Times" w:hAnsi="CG Times"/>
                <w:sz w:val="20"/>
              </w:rPr>
              <w:t>515 E. Musser Street, Suite 300</w:t>
            </w:r>
          </w:p>
          <w:p w14:paraId="381FFC9B" w14:textId="66D0387F" w:rsidR="004946CA" w:rsidRPr="004946CA" w:rsidRDefault="004946CA" w:rsidP="002F7316">
            <w:pPr>
              <w:tabs>
                <w:tab w:val="center" w:pos="5040"/>
                <w:tab w:val="center" w:pos="9450"/>
              </w:tabs>
              <w:jc w:val="center"/>
              <w:rPr>
                <w:rFonts w:ascii="CG Times" w:hAnsi="CG Times"/>
                <w:sz w:val="20"/>
              </w:rPr>
            </w:pPr>
            <w:r w:rsidRPr="004946CA">
              <w:rPr>
                <w:rFonts w:ascii="CG Times" w:hAnsi="CG Times"/>
                <w:sz w:val="20"/>
              </w:rPr>
              <w:t>Carson City, NV  89701</w:t>
            </w:r>
          </w:p>
          <w:p w14:paraId="6237F9CD" w14:textId="77777777" w:rsidR="00090603" w:rsidRPr="00340BCC" w:rsidRDefault="00090603" w:rsidP="002F7316">
            <w:pPr>
              <w:pStyle w:val="Header"/>
              <w:tabs>
                <w:tab w:val="center" w:pos="5040"/>
                <w:tab w:val="center" w:pos="9900"/>
              </w:tabs>
              <w:jc w:val="both"/>
              <w:rPr>
                <w:rFonts w:ascii="CG Times" w:hAnsi="CG Times"/>
                <w:sz w:val="16"/>
              </w:rPr>
            </w:pPr>
          </w:p>
        </w:tc>
        <w:tc>
          <w:tcPr>
            <w:tcW w:w="3150" w:type="dxa"/>
          </w:tcPr>
          <w:p w14:paraId="18770AD6" w14:textId="3A58C732" w:rsidR="00090603" w:rsidRPr="00340BCC" w:rsidRDefault="00090603" w:rsidP="002F7316">
            <w:pPr>
              <w:pStyle w:val="Header"/>
              <w:tabs>
                <w:tab w:val="center" w:pos="5040"/>
                <w:tab w:val="center" w:pos="9900"/>
              </w:tabs>
              <w:jc w:val="right"/>
              <w:rPr>
                <w:rFonts w:ascii="CG Times" w:hAnsi="CG Times"/>
                <w:sz w:val="16"/>
              </w:rPr>
            </w:pPr>
          </w:p>
        </w:tc>
      </w:tr>
      <w:tr w:rsidR="00090603" w:rsidRPr="00340BCC" w14:paraId="0012C2AD" w14:textId="77777777" w:rsidTr="00591FDE">
        <w:tc>
          <w:tcPr>
            <w:tcW w:w="3438" w:type="dxa"/>
          </w:tcPr>
          <w:p w14:paraId="2F4CCB8D" w14:textId="617CCF43" w:rsidR="00090603" w:rsidRPr="00340BCC" w:rsidRDefault="00090603" w:rsidP="00060928">
            <w:pPr>
              <w:pStyle w:val="Header"/>
              <w:tabs>
                <w:tab w:val="center" w:pos="5040"/>
                <w:tab w:val="center" w:pos="9900"/>
              </w:tabs>
              <w:rPr>
                <w:rFonts w:ascii="CG Times" w:hAnsi="CG Times"/>
                <w:sz w:val="16"/>
              </w:rPr>
            </w:pPr>
          </w:p>
        </w:tc>
        <w:tc>
          <w:tcPr>
            <w:tcW w:w="3510" w:type="dxa"/>
            <w:vMerge/>
          </w:tcPr>
          <w:p w14:paraId="302999B2" w14:textId="77777777" w:rsidR="00090603" w:rsidRPr="00340BCC" w:rsidRDefault="00090603" w:rsidP="002F7316">
            <w:pPr>
              <w:pStyle w:val="Header"/>
              <w:tabs>
                <w:tab w:val="center" w:pos="5040"/>
                <w:tab w:val="center" w:pos="9900"/>
              </w:tabs>
              <w:jc w:val="both"/>
              <w:rPr>
                <w:rFonts w:ascii="CG Times" w:hAnsi="CG Times"/>
                <w:sz w:val="16"/>
              </w:rPr>
            </w:pPr>
          </w:p>
        </w:tc>
        <w:tc>
          <w:tcPr>
            <w:tcW w:w="3150" w:type="dxa"/>
          </w:tcPr>
          <w:p w14:paraId="46FA015A" w14:textId="7ADEA7B8" w:rsidR="00090603" w:rsidRPr="00340BCC" w:rsidRDefault="00090603" w:rsidP="002F7316">
            <w:pPr>
              <w:pStyle w:val="Header"/>
              <w:tabs>
                <w:tab w:val="center" w:pos="5040"/>
                <w:tab w:val="center" w:pos="9900"/>
              </w:tabs>
              <w:jc w:val="right"/>
              <w:rPr>
                <w:rFonts w:ascii="CG Times" w:hAnsi="CG Times"/>
                <w:sz w:val="16"/>
              </w:rPr>
            </w:pPr>
          </w:p>
        </w:tc>
      </w:tr>
      <w:tr w:rsidR="00090603" w:rsidRPr="00340BCC" w14:paraId="006A198D" w14:textId="77777777" w:rsidTr="00591FDE">
        <w:tc>
          <w:tcPr>
            <w:tcW w:w="3438" w:type="dxa"/>
          </w:tcPr>
          <w:p w14:paraId="6AC30651" w14:textId="77B066B6" w:rsidR="00090603" w:rsidRPr="00060928" w:rsidRDefault="00090603" w:rsidP="00060928">
            <w:pPr>
              <w:pStyle w:val="Header"/>
              <w:tabs>
                <w:tab w:val="center" w:pos="5040"/>
                <w:tab w:val="center" w:pos="9900"/>
              </w:tabs>
              <w:rPr>
                <w:rFonts w:ascii="CG Times" w:hAnsi="CG Times"/>
                <w:sz w:val="16"/>
              </w:rPr>
            </w:pPr>
            <w:bookmarkStart w:id="0" w:name="_Hlk17183985"/>
          </w:p>
        </w:tc>
        <w:tc>
          <w:tcPr>
            <w:tcW w:w="3510" w:type="dxa"/>
            <w:vMerge/>
          </w:tcPr>
          <w:p w14:paraId="56D6365B" w14:textId="77777777" w:rsidR="00090603" w:rsidRPr="00340BCC" w:rsidRDefault="00090603" w:rsidP="002F7316">
            <w:pPr>
              <w:pStyle w:val="Header"/>
              <w:tabs>
                <w:tab w:val="center" w:pos="5040"/>
                <w:tab w:val="center" w:pos="9900"/>
              </w:tabs>
              <w:jc w:val="both"/>
              <w:rPr>
                <w:rFonts w:ascii="CG Times" w:hAnsi="CG Times"/>
                <w:sz w:val="16"/>
              </w:rPr>
            </w:pPr>
          </w:p>
        </w:tc>
        <w:tc>
          <w:tcPr>
            <w:tcW w:w="3150" w:type="dxa"/>
          </w:tcPr>
          <w:p w14:paraId="72F01BDE" w14:textId="77777777" w:rsidR="00090603" w:rsidRPr="00340BCC" w:rsidRDefault="00090603" w:rsidP="002F7316">
            <w:pPr>
              <w:pStyle w:val="Header"/>
              <w:tabs>
                <w:tab w:val="center" w:pos="5040"/>
                <w:tab w:val="center" w:pos="9900"/>
              </w:tabs>
              <w:jc w:val="right"/>
              <w:rPr>
                <w:rFonts w:ascii="CG Times" w:hAnsi="CG Times"/>
                <w:sz w:val="16"/>
              </w:rPr>
            </w:pPr>
          </w:p>
        </w:tc>
      </w:tr>
      <w:tr w:rsidR="00090603" w:rsidRPr="00340BCC" w14:paraId="79F09F1A" w14:textId="77777777" w:rsidTr="00591FDE">
        <w:tc>
          <w:tcPr>
            <w:tcW w:w="3438" w:type="dxa"/>
          </w:tcPr>
          <w:p w14:paraId="0162DA1E" w14:textId="207D68AB" w:rsidR="00090603" w:rsidRPr="00060928" w:rsidRDefault="00090603" w:rsidP="00060928">
            <w:pPr>
              <w:pStyle w:val="Header"/>
              <w:tabs>
                <w:tab w:val="center" w:pos="5040"/>
                <w:tab w:val="center" w:pos="9900"/>
              </w:tabs>
              <w:rPr>
                <w:rFonts w:ascii="CG Times" w:hAnsi="CG Times"/>
                <w:sz w:val="16"/>
              </w:rPr>
            </w:pPr>
          </w:p>
        </w:tc>
        <w:tc>
          <w:tcPr>
            <w:tcW w:w="3510" w:type="dxa"/>
            <w:vMerge/>
          </w:tcPr>
          <w:p w14:paraId="4856649A" w14:textId="77777777" w:rsidR="00090603" w:rsidRPr="00340BCC" w:rsidRDefault="00090603" w:rsidP="002F7316">
            <w:pPr>
              <w:pStyle w:val="Header"/>
              <w:tabs>
                <w:tab w:val="center" w:pos="5040"/>
                <w:tab w:val="center" w:pos="9900"/>
              </w:tabs>
              <w:jc w:val="both"/>
              <w:rPr>
                <w:rFonts w:ascii="CG Times" w:hAnsi="CG Times"/>
                <w:sz w:val="16"/>
              </w:rPr>
            </w:pPr>
          </w:p>
        </w:tc>
        <w:tc>
          <w:tcPr>
            <w:tcW w:w="3150" w:type="dxa"/>
          </w:tcPr>
          <w:p w14:paraId="355E33A9" w14:textId="7F181627" w:rsidR="00090603" w:rsidRPr="00060928" w:rsidRDefault="00090603" w:rsidP="00060928">
            <w:pPr>
              <w:pStyle w:val="Header"/>
              <w:tabs>
                <w:tab w:val="center" w:pos="5040"/>
                <w:tab w:val="center" w:pos="9900"/>
              </w:tabs>
              <w:jc w:val="right"/>
              <w:rPr>
                <w:rFonts w:ascii="CG Times" w:hAnsi="CG Times"/>
                <w:sz w:val="16"/>
              </w:rPr>
            </w:pPr>
          </w:p>
        </w:tc>
      </w:tr>
      <w:tr w:rsidR="00090603" w:rsidRPr="00340BCC" w14:paraId="7EAE59C6" w14:textId="77777777" w:rsidTr="00591FDE">
        <w:tc>
          <w:tcPr>
            <w:tcW w:w="3438" w:type="dxa"/>
          </w:tcPr>
          <w:p w14:paraId="1F1497F1" w14:textId="16AE6E75" w:rsidR="00090603" w:rsidRPr="00340BCC" w:rsidRDefault="00090603" w:rsidP="002F7316">
            <w:pPr>
              <w:pStyle w:val="Header"/>
              <w:tabs>
                <w:tab w:val="center" w:pos="5040"/>
                <w:tab w:val="center" w:pos="9900"/>
              </w:tabs>
              <w:rPr>
                <w:rFonts w:ascii="CG Times" w:hAnsi="CG Times"/>
                <w:sz w:val="16"/>
              </w:rPr>
            </w:pPr>
          </w:p>
        </w:tc>
        <w:tc>
          <w:tcPr>
            <w:tcW w:w="3510" w:type="dxa"/>
            <w:vMerge/>
          </w:tcPr>
          <w:p w14:paraId="7415B6D0" w14:textId="77777777" w:rsidR="00090603" w:rsidRPr="00340BCC" w:rsidRDefault="00090603" w:rsidP="002F7316">
            <w:pPr>
              <w:pStyle w:val="Header"/>
              <w:tabs>
                <w:tab w:val="center" w:pos="5040"/>
                <w:tab w:val="center" w:pos="9900"/>
              </w:tabs>
              <w:jc w:val="both"/>
              <w:rPr>
                <w:rFonts w:ascii="CG Times" w:hAnsi="CG Times"/>
                <w:sz w:val="16"/>
              </w:rPr>
            </w:pPr>
          </w:p>
        </w:tc>
        <w:tc>
          <w:tcPr>
            <w:tcW w:w="3150" w:type="dxa"/>
          </w:tcPr>
          <w:p w14:paraId="00134799" w14:textId="60829956" w:rsidR="004946CA" w:rsidRPr="00060928" w:rsidRDefault="004946CA" w:rsidP="00060928">
            <w:pPr>
              <w:pStyle w:val="Header"/>
              <w:tabs>
                <w:tab w:val="center" w:pos="5040"/>
                <w:tab w:val="center" w:pos="9900"/>
              </w:tabs>
              <w:jc w:val="right"/>
              <w:rPr>
                <w:rFonts w:ascii="CG Times" w:hAnsi="CG Times"/>
                <w:sz w:val="16"/>
              </w:rPr>
            </w:pPr>
          </w:p>
        </w:tc>
      </w:tr>
      <w:bookmarkEnd w:id="0"/>
    </w:tbl>
    <w:p w14:paraId="62CC9970" w14:textId="36EC35FB" w:rsidR="004946CA" w:rsidRPr="004946CA" w:rsidRDefault="004946CA" w:rsidP="004946CA"/>
    <w:p w14:paraId="388C090C" w14:textId="77777777" w:rsidR="00090603" w:rsidRPr="0063628C" w:rsidRDefault="00090603" w:rsidP="00090603">
      <w:pPr>
        <w:pBdr>
          <w:bottom w:val="single" w:sz="12" w:space="1" w:color="auto"/>
        </w:pBdr>
      </w:pPr>
    </w:p>
    <w:p w14:paraId="6F43EB7F" w14:textId="77777777" w:rsidR="00090603" w:rsidRPr="0063628C" w:rsidRDefault="00090603" w:rsidP="00090603"/>
    <w:p w14:paraId="1BAE54AF" w14:textId="72BBCE82" w:rsidR="00090603" w:rsidRDefault="00090603" w:rsidP="00090603">
      <w:pPr>
        <w:jc w:val="both"/>
      </w:pPr>
      <w:r>
        <w:t xml:space="preserve">The following shall be a part of </w:t>
      </w:r>
      <w:r w:rsidRPr="004946CA">
        <w:rPr>
          <w:b/>
          <w:i/>
        </w:rPr>
        <w:t>RFP</w:t>
      </w:r>
      <w:r w:rsidR="004946CA">
        <w:rPr>
          <w:b/>
          <w:i/>
        </w:rPr>
        <w:t xml:space="preserve"> #</w:t>
      </w:r>
      <w:r w:rsidR="00BF218F">
        <w:rPr>
          <w:b/>
          <w:i/>
        </w:rPr>
        <w:t xml:space="preserve"> </w:t>
      </w:r>
      <w:r w:rsidR="008A29B2">
        <w:rPr>
          <w:b/>
          <w:i/>
        </w:rPr>
        <w:t>05TO-S2659</w:t>
      </w:r>
      <w:r w:rsidR="009A1A9D">
        <w:rPr>
          <w:b/>
          <w:i/>
        </w:rPr>
        <w:t>.</w:t>
      </w:r>
      <w:r>
        <w:t xml:space="preserve">  </w:t>
      </w:r>
    </w:p>
    <w:p w14:paraId="09F386A2" w14:textId="77777777" w:rsidR="00090603" w:rsidRPr="0063628C" w:rsidRDefault="00090603" w:rsidP="00090603">
      <w:pPr>
        <w:pBdr>
          <w:bottom w:val="single" w:sz="12" w:space="1" w:color="auto"/>
        </w:pBdr>
      </w:pPr>
    </w:p>
    <w:p w14:paraId="6DA61788" w14:textId="77777777" w:rsidR="000C7943" w:rsidRDefault="000C7943" w:rsidP="00090603">
      <w:pPr>
        <w:ind w:left="810" w:hanging="810"/>
        <w:jc w:val="both"/>
        <w:rPr>
          <w:szCs w:val="24"/>
        </w:rPr>
      </w:pPr>
    </w:p>
    <w:p w14:paraId="5FCAD066" w14:textId="77777777" w:rsidR="008A29B2" w:rsidRDefault="00BF218F" w:rsidP="00490FE7">
      <w:pPr>
        <w:ind w:left="810" w:hanging="810"/>
        <w:jc w:val="both"/>
        <w:rPr>
          <w:szCs w:val="24"/>
        </w:rPr>
      </w:pPr>
      <w:r>
        <w:rPr>
          <w:szCs w:val="24"/>
        </w:rPr>
        <w:t xml:space="preserve">This amendment (Amendment 1) is to </w:t>
      </w:r>
      <w:r w:rsidR="008A29B2">
        <w:rPr>
          <w:szCs w:val="24"/>
        </w:rPr>
        <w:t>add the Nevada Higher Education Prepaid Tuition Program to this</w:t>
      </w:r>
    </w:p>
    <w:p w14:paraId="7D212350" w14:textId="77777777" w:rsidR="002C2D0B" w:rsidRDefault="008A29B2" w:rsidP="00490FE7">
      <w:pPr>
        <w:ind w:left="810" w:hanging="810"/>
        <w:jc w:val="both"/>
        <w:rPr>
          <w:szCs w:val="24"/>
        </w:rPr>
      </w:pPr>
      <w:r>
        <w:rPr>
          <w:szCs w:val="24"/>
        </w:rPr>
        <w:t xml:space="preserve"> RFP</w:t>
      </w:r>
      <w:r w:rsidR="00F96F4E">
        <w:rPr>
          <w:szCs w:val="24"/>
        </w:rPr>
        <w:t xml:space="preserve"> and Scope of Work; to add additional exhibits; </w:t>
      </w:r>
      <w:r w:rsidR="00F96F4E" w:rsidRPr="00F96F4E">
        <w:rPr>
          <w:szCs w:val="24"/>
        </w:rPr>
        <w:t>to modify the timeline</w:t>
      </w:r>
      <w:r w:rsidR="002C2D0B">
        <w:rPr>
          <w:szCs w:val="24"/>
        </w:rPr>
        <w:t>; and to answer questions</w:t>
      </w:r>
    </w:p>
    <w:p w14:paraId="36340461" w14:textId="7B549EAF" w:rsidR="00221600" w:rsidRDefault="002C2D0B" w:rsidP="00490FE7">
      <w:pPr>
        <w:ind w:left="810" w:hanging="810"/>
        <w:jc w:val="both"/>
        <w:rPr>
          <w:szCs w:val="24"/>
        </w:rPr>
      </w:pPr>
      <w:r>
        <w:rPr>
          <w:szCs w:val="24"/>
        </w:rPr>
        <w:t>submitted.</w:t>
      </w:r>
      <w:r w:rsidR="00F96F4E" w:rsidRPr="00F96F4E">
        <w:rPr>
          <w:szCs w:val="24"/>
        </w:rPr>
        <w:t xml:space="preserve"> </w:t>
      </w:r>
      <w:r w:rsidR="008A29B2">
        <w:rPr>
          <w:szCs w:val="24"/>
        </w:rPr>
        <w:t xml:space="preserve"> </w:t>
      </w:r>
    </w:p>
    <w:p w14:paraId="76D06850" w14:textId="77777777" w:rsidR="00221600" w:rsidRDefault="00221600" w:rsidP="00490FE7">
      <w:pPr>
        <w:ind w:left="810" w:hanging="810"/>
        <w:jc w:val="both"/>
        <w:rPr>
          <w:szCs w:val="24"/>
        </w:rPr>
      </w:pPr>
    </w:p>
    <w:p w14:paraId="3461B589" w14:textId="0498D92E" w:rsidR="00AE0C93" w:rsidRPr="00A1416C" w:rsidRDefault="008A29B2" w:rsidP="00A1416C">
      <w:pPr>
        <w:jc w:val="both"/>
      </w:pPr>
      <w:r w:rsidRPr="00A1416C">
        <w:t>T</w:t>
      </w:r>
      <w:r w:rsidR="00BF218F" w:rsidRPr="00A1416C">
        <w:t xml:space="preserve">he vendor needs to sign and acknowledge that they have seen the </w:t>
      </w:r>
      <w:r w:rsidR="00AE0C93" w:rsidRPr="00A1416C">
        <w:t xml:space="preserve">revised timeline, </w:t>
      </w:r>
      <w:r w:rsidR="00BF218F" w:rsidRPr="00A1416C">
        <w:t>updated</w:t>
      </w:r>
    </w:p>
    <w:p w14:paraId="69C7EC72" w14:textId="407A378B" w:rsidR="00221600" w:rsidRPr="00A1416C" w:rsidRDefault="008A29B2" w:rsidP="00A1416C">
      <w:pPr>
        <w:jc w:val="both"/>
      </w:pPr>
      <w:r w:rsidRPr="00A1416C">
        <w:t>sections to the RFP</w:t>
      </w:r>
      <w:r w:rsidR="00AE0C93" w:rsidRPr="00A1416C">
        <w:t xml:space="preserve"> </w:t>
      </w:r>
      <w:r w:rsidRPr="00A1416C">
        <w:t xml:space="preserve">and </w:t>
      </w:r>
      <w:r w:rsidR="00AE0C93" w:rsidRPr="00A1416C">
        <w:t xml:space="preserve">to </w:t>
      </w:r>
      <w:r w:rsidRPr="00A1416C">
        <w:t>the Scope of Work</w:t>
      </w:r>
      <w:r w:rsidR="00277850" w:rsidRPr="00A1416C">
        <w:t xml:space="preserve">, </w:t>
      </w:r>
      <w:r w:rsidR="00221600" w:rsidRPr="00A1416C">
        <w:t xml:space="preserve">the </w:t>
      </w:r>
      <w:r w:rsidR="00277850" w:rsidRPr="00A1416C">
        <w:t>revise</w:t>
      </w:r>
      <w:r w:rsidR="00221600" w:rsidRPr="00A1416C">
        <w:t>d</w:t>
      </w:r>
      <w:r w:rsidR="00277850" w:rsidRPr="00A1416C">
        <w:t xml:space="preserve"> Exhibit 8</w:t>
      </w:r>
      <w:r w:rsidR="00A1416C" w:rsidRPr="00A1416C">
        <w:t xml:space="preserve">, </w:t>
      </w:r>
      <w:r w:rsidR="00221600" w:rsidRPr="00A1416C">
        <w:t xml:space="preserve">the </w:t>
      </w:r>
      <w:r w:rsidR="00277850" w:rsidRPr="00A1416C">
        <w:t>add</w:t>
      </w:r>
      <w:r w:rsidR="00221600" w:rsidRPr="00A1416C">
        <w:t>itions of</w:t>
      </w:r>
      <w:r w:rsidR="00277850" w:rsidRPr="00A1416C">
        <w:t xml:space="preserve"> Exhibits 14 and</w:t>
      </w:r>
    </w:p>
    <w:p w14:paraId="3875AF64" w14:textId="77777777" w:rsidR="00A1416C" w:rsidRPr="00A1416C" w:rsidRDefault="00277850" w:rsidP="00A1416C">
      <w:pPr>
        <w:jc w:val="both"/>
      </w:pPr>
      <w:r w:rsidRPr="00A1416C">
        <w:t>15</w:t>
      </w:r>
      <w:r w:rsidR="00A1416C" w:rsidRPr="00A1416C">
        <w:t>, and Answers to Questions Received (see below)</w:t>
      </w:r>
      <w:r w:rsidR="00F85F48" w:rsidRPr="00A1416C">
        <w:t>.</w:t>
      </w:r>
      <w:r w:rsidR="00221600" w:rsidRPr="00A1416C">
        <w:t xml:space="preserve">  </w:t>
      </w:r>
      <w:r w:rsidR="00CA780B" w:rsidRPr="00A1416C">
        <w:t>The</w:t>
      </w:r>
      <w:r w:rsidR="00A1416C" w:rsidRPr="00A1416C">
        <w:t xml:space="preserve">se </w:t>
      </w:r>
      <w:r w:rsidR="00CA780B" w:rsidRPr="00A1416C">
        <w:t>documents are also uploaded to the</w:t>
      </w:r>
    </w:p>
    <w:p w14:paraId="1D90D497" w14:textId="15D651B8" w:rsidR="00BF218F" w:rsidRPr="00A1416C" w:rsidRDefault="00CA780B" w:rsidP="00A1416C">
      <w:pPr>
        <w:jc w:val="both"/>
      </w:pPr>
      <w:r w:rsidRPr="00A1416C">
        <w:t>Attachments Tab in Nevada EPro.</w:t>
      </w:r>
    </w:p>
    <w:p w14:paraId="3381F059" w14:textId="77777777" w:rsidR="008D3447" w:rsidRDefault="008D3447" w:rsidP="00AE0C93">
      <w:pPr>
        <w:ind w:left="810" w:hanging="810"/>
        <w:jc w:val="both"/>
        <w:rPr>
          <w:szCs w:val="24"/>
        </w:rPr>
      </w:pPr>
    </w:p>
    <w:p w14:paraId="423A9434" w14:textId="3B83D5F6" w:rsidR="008D3447" w:rsidRDefault="008D3447" w:rsidP="00BF7E73">
      <w:pPr>
        <w:ind w:left="810" w:hanging="810"/>
        <w:jc w:val="both"/>
        <w:rPr>
          <w:szCs w:val="24"/>
        </w:rPr>
      </w:pPr>
      <w:r w:rsidRPr="00F96F4E">
        <w:rPr>
          <w:szCs w:val="24"/>
        </w:rPr>
        <w:t>The RFP timeline is changed as follows:</w:t>
      </w:r>
    </w:p>
    <w:p w14:paraId="2E6A7196" w14:textId="4BB4155C" w:rsidR="008D3447" w:rsidRDefault="008D3447" w:rsidP="00BF7E73">
      <w:pPr>
        <w:ind w:left="810" w:hanging="810"/>
        <w:jc w:val="both"/>
        <w:rPr>
          <w:szCs w:val="24"/>
        </w:rPr>
      </w:pPr>
    </w:p>
    <w:p w14:paraId="3D950986"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Deadline for Questions</w:t>
      </w:r>
      <w:r w:rsidRPr="00F96F4E">
        <w:rPr>
          <w:rFonts w:eastAsiaTheme="minorHAnsi"/>
          <w:bCs/>
          <w:szCs w:val="24"/>
        </w:rPr>
        <w:tab/>
        <w:t>No later than 5:00 pm on 02/08/2024</w:t>
      </w:r>
    </w:p>
    <w:p w14:paraId="199B22BD"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Answers Posted</w:t>
      </w:r>
      <w:r w:rsidRPr="00F96F4E">
        <w:rPr>
          <w:rFonts w:eastAsiaTheme="minorHAnsi"/>
          <w:bCs/>
          <w:szCs w:val="24"/>
        </w:rPr>
        <w:tab/>
        <w:t>On or about 02/15/2024</w:t>
      </w:r>
    </w:p>
    <w:p w14:paraId="6F9063F4"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color w:val="FF0000"/>
          <w:szCs w:val="24"/>
        </w:rPr>
      </w:pPr>
      <w:r w:rsidRPr="00F96F4E">
        <w:rPr>
          <w:rFonts w:eastAsiaTheme="minorHAnsi"/>
          <w:bCs/>
          <w:color w:val="FF0000"/>
          <w:szCs w:val="24"/>
        </w:rPr>
        <w:t>Deadline for 2</w:t>
      </w:r>
      <w:r w:rsidRPr="00F96F4E">
        <w:rPr>
          <w:rFonts w:eastAsiaTheme="minorHAnsi"/>
          <w:bCs/>
          <w:color w:val="FF0000"/>
          <w:szCs w:val="24"/>
          <w:vertAlign w:val="superscript"/>
        </w:rPr>
        <w:t>nd</w:t>
      </w:r>
      <w:r w:rsidRPr="00F96F4E">
        <w:rPr>
          <w:rFonts w:eastAsiaTheme="minorHAnsi"/>
          <w:bCs/>
          <w:color w:val="FF0000"/>
          <w:szCs w:val="24"/>
        </w:rPr>
        <w:t xml:space="preserve"> set of Questions</w:t>
      </w:r>
      <w:r w:rsidRPr="00F96F4E">
        <w:rPr>
          <w:rFonts w:eastAsiaTheme="minorHAnsi"/>
          <w:bCs/>
          <w:color w:val="FF0000"/>
          <w:szCs w:val="24"/>
        </w:rPr>
        <w:tab/>
        <w:t>No later than 5:00 pm on 03/05/2024</w:t>
      </w:r>
    </w:p>
    <w:p w14:paraId="115789CB"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color w:val="FF0000"/>
          <w:szCs w:val="24"/>
        </w:rPr>
      </w:pPr>
      <w:r w:rsidRPr="00F96F4E">
        <w:rPr>
          <w:rFonts w:eastAsiaTheme="minorHAnsi"/>
          <w:bCs/>
          <w:color w:val="FF0000"/>
          <w:szCs w:val="24"/>
        </w:rPr>
        <w:t xml:space="preserve">Answers to Second Set of Questions Posted </w:t>
      </w:r>
      <w:r w:rsidRPr="00F96F4E">
        <w:rPr>
          <w:rFonts w:eastAsiaTheme="minorHAnsi"/>
          <w:bCs/>
          <w:color w:val="FF0000"/>
          <w:szCs w:val="24"/>
        </w:rPr>
        <w:tab/>
        <w:t>On or about 3/11/2024</w:t>
      </w:r>
    </w:p>
    <w:p w14:paraId="664DF7DA"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Deadline for References</w:t>
      </w:r>
      <w:r w:rsidRPr="00F96F4E">
        <w:rPr>
          <w:rFonts w:eastAsiaTheme="minorHAnsi"/>
          <w:bCs/>
          <w:szCs w:val="24"/>
        </w:rPr>
        <w:tab/>
        <w:t xml:space="preserve">No later than 5:00 pm on </w:t>
      </w:r>
      <w:r w:rsidRPr="00F96F4E">
        <w:rPr>
          <w:rFonts w:eastAsiaTheme="minorHAnsi"/>
          <w:bCs/>
          <w:color w:val="FF0000"/>
          <w:szCs w:val="24"/>
        </w:rPr>
        <w:t>03/25/2024</w:t>
      </w:r>
    </w:p>
    <w:p w14:paraId="582A4E7F"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Deadline Proposal Submission and Opening</w:t>
      </w:r>
      <w:r w:rsidRPr="00F96F4E">
        <w:rPr>
          <w:rFonts w:eastAsiaTheme="minorHAnsi"/>
          <w:bCs/>
          <w:szCs w:val="24"/>
        </w:rPr>
        <w:tab/>
        <w:t xml:space="preserve">No later than 2:00 pm on </w:t>
      </w:r>
      <w:r w:rsidRPr="00F96F4E">
        <w:rPr>
          <w:rFonts w:eastAsiaTheme="minorHAnsi"/>
          <w:bCs/>
          <w:color w:val="FF0000"/>
          <w:szCs w:val="24"/>
        </w:rPr>
        <w:t>03/26/2024</w:t>
      </w:r>
    </w:p>
    <w:p w14:paraId="6A1231FB"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Evaluation Period (estimated)</w:t>
      </w:r>
      <w:r w:rsidRPr="00F96F4E">
        <w:rPr>
          <w:rFonts w:eastAsiaTheme="minorHAnsi"/>
          <w:bCs/>
          <w:szCs w:val="24"/>
        </w:rPr>
        <w:tab/>
      </w:r>
      <w:r w:rsidRPr="00F96F4E">
        <w:rPr>
          <w:rFonts w:eastAsiaTheme="minorHAnsi"/>
          <w:bCs/>
          <w:color w:val="FF0000"/>
          <w:szCs w:val="24"/>
        </w:rPr>
        <w:t>03/26/2024-04/16/2024</w:t>
      </w:r>
    </w:p>
    <w:p w14:paraId="57144DD6"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Vendor Presentations (if applicable) (estimated)</w:t>
      </w:r>
      <w:r w:rsidRPr="00F96F4E">
        <w:rPr>
          <w:rFonts w:eastAsiaTheme="minorHAnsi"/>
          <w:bCs/>
          <w:szCs w:val="24"/>
        </w:rPr>
        <w:tab/>
      </w:r>
      <w:r w:rsidRPr="00F96F4E">
        <w:rPr>
          <w:rFonts w:eastAsiaTheme="minorHAnsi"/>
          <w:bCs/>
          <w:color w:val="FF0000"/>
          <w:szCs w:val="24"/>
        </w:rPr>
        <w:t>04/23/2024 – 04/25/2024</w:t>
      </w:r>
    </w:p>
    <w:p w14:paraId="40FAFAE9"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Notice of Intent (estimated)</w:t>
      </w:r>
      <w:r w:rsidRPr="00F96F4E">
        <w:rPr>
          <w:rFonts w:eastAsiaTheme="minorHAnsi"/>
          <w:bCs/>
          <w:szCs w:val="24"/>
        </w:rPr>
        <w:tab/>
        <w:t xml:space="preserve">On or about </w:t>
      </w:r>
      <w:r w:rsidRPr="00F96F4E">
        <w:rPr>
          <w:rFonts w:eastAsiaTheme="minorHAnsi"/>
          <w:bCs/>
          <w:color w:val="FF0000"/>
          <w:szCs w:val="24"/>
        </w:rPr>
        <w:t>04/26/2024</w:t>
      </w:r>
    </w:p>
    <w:p w14:paraId="77789342"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Notice of Award (estimated)</w:t>
      </w:r>
      <w:r w:rsidRPr="00F96F4E">
        <w:rPr>
          <w:rFonts w:eastAsiaTheme="minorHAnsi"/>
          <w:bCs/>
          <w:szCs w:val="24"/>
        </w:rPr>
        <w:tab/>
        <w:t xml:space="preserve">On or about </w:t>
      </w:r>
      <w:r w:rsidRPr="00F96F4E">
        <w:rPr>
          <w:rFonts w:eastAsiaTheme="minorHAnsi"/>
          <w:bCs/>
          <w:color w:val="FF0000"/>
          <w:szCs w:val="24"/>
        </w:rPr>
        <w:t>05/27/2024</w:t>
      </w:r>
    </w:p>
    <w:p w14:paraId="67B64A47"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BOE Approval (estimated)</w:t>
      </w:r>
      <w:r w:rsidRPr="00F96F4E">
        <w:rPr>
          <w:rFonts w:eastAsiaTheme="minorHAnsi"/>
          <w:bCs/>
          <w:szCs w:val="24"/>
        </w:rPr>
        <w:tab/>
      </w:r>
      <w:r w:rsidRPr="00F96F4E">
        <w:rPr>
          <w:rFonts w:eastAsiaTheme="minorHAnsi"/>
          <w:bCs/>
          <w:color w:val="FF0000"/>
          <w:szCs w:val="24"/>
        </w:rPr>
        <w:t>07/09/2024</w:t>
      </w:r>
    </w:p>
    <w:p w14:paraId="574C7702" w14:textId="77777777" w:rsidR="00F96F4E" w:rsidRPr="00F96F4E" w:rsidRDefault="00F96F4E" w:rsidP="00F96F4E">
      <w:pPr>
        <w:widowControl w:val="0"/>
        <w:numPr>
          <w:ilvl w:val="3"/>
          <w:numId w:val="0"/>
        </w:numPr>
        <w:tabs>
          <w:tab w:val="right" w:leader="dot" w:pos="10080"/>
        </w:tabs>
        <w:ind w:left="1080" w:hanging="360"/>
        <w:contextualSpacing/>
        <w:jc w:val="both"/>
        <w:outlineLvl w:val="3"/>
        <w:rPr>
          <w:rFonts w:eastAsiaTheme="minorHAnsi"/>
          <w:bCs/>
          <w:szCs w:val="24"/>
        </w:rPr>
      </w:pPr>
      <w:r w:rsidRPr="00F96F4E">
        <w:rPr>
          <w:rFonts w:eastAsiaTheme="minorHAnsi"/>
          <w:bCs/>
          <w:szCs w:val="24"/>
        </w:rPr>
        <w:t>Contract start date (estimated)</w:t>
      </w:r>
      <w:r w:rsidRPr="00F96F4E">
        <w:rPr>
          <w:rFonts w:eastAsiaTheme="minorHAnsi"/>
          <w:bCs/>
          <w:szCs w:val="24"/>
        </w:rPr>
        <w:tab/>
      </w:r>
      <w:r w:rsidRPr="00F96F4E">
        <w:rPr>
          <w:rFonts w:eastAsiaTheme="minorHAnsi"/>
          <w:bCs/>
          <w:color w:val="FF0000"/>
          <w:szCs w:val="24"/>
        </w:rPr>
        <w:t>10/01/2024</w:t>
      </w:r>
    </w:p>
    <w:p w14:paraId="5A1BF033" w14:textId="3D11D747" w:rsidR="00A1416C" w:rsidRDefault="00A1416C" w:rsidP="00A1416C">
      <w:pPr>
        <w:jc w:val="both"/>
        <w:rPr>
          <w:szCs w:val="24"/>
        </w:rPr>
      </w:pPr>
    </w:p>
    <w:p w14:paraId="510513B9" w14:textId="7CDABB07" w:rsidR="00AE0C93" w:rsidRDefault="00BF7E73" w:rsidP="008A29B2">
      <w:pPr>
        <w:ind w:left="810" w:hanging="810"/>
        <w:jc w:val="both"/>
        <w:rPr>
          <w:szCs w:val="24"/>
        </w:rPr>
      </w:pPr>
      <w:r>
        <w:rPr>
          <w:szCs w:val="24"/>
        </w:rPr>
        <w:t>The f</w:t>
      </w:r>
      <w:r w:rsidR="00AE0C93">
        <w:rPr>
          <w:szCs w:val="24"/>
        </w:rPr>
        <w:t>ollowing section is added to the RFP document as Section 2.3.8:</w:t>
      </w:r>
    </w:p>
    <w:p w14:paraId="1DF1C5E3" w14:textId="77777777" w:rsidR="00AE0C93" w:rsidRDefault="00AE0C93" w:rsidP="008A29B2">
      <w:pPr>
        <w:ind w:left="810" w:hanging="810"/>
        <w:jc w:val="both"/>
        <w:rPr>
          <w:szCs w:val="24"/>
        </w:rPr>
      </w:pPr>
    </w:p>
    <w:p w14:paraId="64580176" w14:textId="77777777" w:rsidR="00AE0C93" w:rsidRPr="00AE0C93" w:rsidRDefault="00AE0C93" w:rsidP="00AE0C93">
      <w:pPr>
        <w:ind w:left="810" w:hanging="810"/>
        <w:jc w:val="both"/>
        <w:rPr>
          <w:i/>
          <w:iCs/>
          <w:szCs w:val="24"/>
        </w:rPr>
      </w:pPr>
      <w:r w:rsidRPr="00AE0C93">
        <w:rPr>
          <w:i/>
          <w:iCs/>
          <w:szCs w:val="24"/>
        </w:rPr>
        <w:t xml:space="preserve">2.3.8 </w:t>
      </w:r>
      <w:r w:rsidRPr="00AE0C93">
        <w:rPr>
          <w:i/>
          <w:iCs/>
          <w:szCs w:val="24"/>
        </w:rPr>
        <w:tab/>
        <w:t>Nevada Higher Education Prepaid Tuition Program (PPT)</w:t>
      </w:r>
      <w:r w:rsidRPr="00AE0C93">
        <w:rPr>
          <w:i/>
          <w:iCs/>
          <w:szCs w:val="24"/>
        </w:rPr>
        <w:tab/>
      </w:r>
    </w:p>
    <w:p w14:paraId="1F3D0315" w14:textId="77777777" w:rsidR="00AE0C93" w:rsidRPr="00AE0C93" w:rsidRDefault="00AE0C93" w:rsidP="00AE0C93">
      <w:pPr>
        <w:ind w:left="810" w:hanging="810"/>
        <w:jc w:val="both"/>
        <w:rPr>
          <w:i/>
          <w:iCs/>
          <w:szCs w:val="24"/>
        </w:rPr>
      </w:pPr>
    </w:p>
    <w:p w14:paraId="02ABEFBC" w14:textId="77777777" w:rsidR="00AE0C93" w:rsidRPr="00AE0C93" w:rsidRDefault="00AE0C93" w:rsidP="00AE0C93">
      <w:pPr>
        <w:ind w:left="810" w:hanging="810"/>
        <w:jc w:val="both"/>
        <w:rPr>
          <w:i/>
          <w:iCs/>
          <w:szCs w:val="24"/>
        </w:rPr>
      </w:pPr>
      <w:r w:rsidRPr="00AE0C93">
        <w:rPr>
          <w:i/>
          <w:iCs/>
          <w:szCs w:val="24"/>
        </w:rPr>
        <w:t>A.</w:t>
      </w:r>
      <w:r w:rsidRPr="00AE0C93">
        <w:rPr>
          <w:i/>
          <w:iCs/>
          <w:szCs w:val="24"/>
        </w:rPr>
        <w:tab/>
        <w:t xml:space="preserve">The Fund holds the assets of contract purchasers who have enrolled in the Nevada Higher Education Prepaid Tuition Program, which was approved by the State of Nevada Legislature during the 1997 biennial session (NRS Chapter 353B, College Savings Plans of Nevada). Investments must be made within the permitted investments set forth in NRS 353B.160 and further made per the adopted Investment Policy Statement and Comprehensive Investment Plan (Investment Policy) located in this document as Exhibit 14. As of December 31, 2023, the book </w:t>
      </w:r>
      <w:r w:rsidRPr="00AE0C93">
        <w:rPr>
          <w:i/>
          <w:iCs/>
          <w:szCs w:val="24"/>
        </w:rPr>
        <w:lastRenderedPageBreak/>
        <w:t xml:space="preserve">value of investments in the Fund was approximately $113.4 million. (See Exhibit 15 for holdings details). The Fund is currently under contract with one investment manager for the fixed income portion of the Fund. The current contract is set to expire November 10, 2024. </w:t>
      </w:r>
    </w:p>
    <w:p w14:paraId="1918AE21" w14:textId="77777777" w:rsidR="00AE0C93" w:rsidRPr="00AE0C93" w:rsidRDefault="00AE0C93" w:rsidP="00AE0C93">
      <w:pPr>
        <w:ind w:left="810" w:hanging="810"/>
        <w:jc w:val="both"/>
        <w:rPr>
          <w:i/>
          <w:iCs/>
          <w:szCs w:val="24"/>
        </w:rPr>
      </w:pPr>
    </w:p>
    <w:p w14:paraId="62DCEF9F" w14:textId="77777777" w:rsidR="00AE0C93" w:rsidRPr="00AE0C93" w:rsidRDefault="00AE0C93" w:rsidP="00AE0C93">
      <w:pPr>
        <w:ind w:left="810" w:hanging="810"/>
        <w:jc w:val="both"/>
        <w:rPr>
          <w:i/>
          <w:iCs/>
          <w:szCs w:val="24"/>
        </w:rPr>
      </w:pPr>
      <w:r w:rsidRPr="00AE0C93">
        <w:rPr>
          <w:i/>
          <w:iCs/>
          <w:szCs w:val="24"/>
        </w:rPr>
        <w:t>B.</w:t>
      </w:r>
      <w:r w:rsidRPr="00AE0C93">
        <w:rPr>
          <w:i/>
          <w:iCs/>
          <w:szCs w:val="24"/>
        </w:rPr>
        <w:tab/>
        <w:t>The Investment Manager will directly manage all of the fixed income portfolio assets and will work closely with the State Treasurer and Investment Deputy to monitor the portfolios with the goal of meeting or beating an assigned benchmark. Specific requirements for the portfolio are listed in Exhibit 14,Investment Policy and in accordance with Nevada Revised Statutes (NRS 353B.160).</w:t>
      </w:r>
    </w:p>
    <w:p w14:paraId="50E18A1E" w14:textId="77777777" w:rsidR="00AE0C93" w:rsidRPr="00AE0C93" w:rsidRDefault="00AE0C93" w:rsidP="00AE0C93">
      <w:pPr>
        <w:ind w:left="810" w:hanging="810"/>
        <w:jc w:val="both"/>
        <w:rPr>
          <w:i/>
          <w:iCs/>
          <w:szCs w:val="24"/>
        </w:rPr>
      </w:pPr>
    </w:p>
    <w:p w14:paraId="67AC0ACE" w14:textId="777C7531" w:rsidR="00AE0C93" w:rsidRPr="00AE0C93" w:rsidRDefault="00AE0C93" w:rsidP="00AE0C93">
      <w:pPr>
        <w:ind w:left="810" w:hanging="810"/>
        <w:jc w:val="both"/>
        <w:rPr>
          <w:i/>
          <w:iCs/>
          <w:szCs w:val="24"/>
        </w:rPr>
      </w:pPr>
      <w:r w:rsidRPr="00AE0C93">
        <w:rPr>
          <w:i/>
          <w:iCs/>
          <w:szCs w:val="24"/>
        </w:rPr>
        <w:t>C.</w:t>
      </w:r>
      <w:r w:rsidRPr="00AE0C93">
        <w:rPr>
          <w:i/>
          <w:iCs/>
          <w:szCs w:val="24"/>
        </w:rPr>
        <w:tab/>
        <w:t>The investment management firm will be selected to manage the investment mandates for the portfolio on a discretionary basis for a period of four (4) years.</w:t>
      </w:r>
    </w:p>
    <w:p w14:paraId="70D6D85B" w14:textId="77777777" w:rsidR="00AE0C93" w:rsidRDefault="00AE0C93" w:rsidP="00AE0C93">
      <w:pPr>
        <w:ind w:left="810" w:hanging="810"/>
        <w:jc w:val="both"/>
        <w:rPr>
          <w:szCs w:val="24"/>
        </w:rPr>
      </w:pPr>
    </w:p>
    <w:p w14:paraId="7C915403" w14:textId="77777777" w:rsidR="00AE0C93" w:rsidRDefault="00AE0C93" w:rsidP="00AE0C93">
      <w:pPr>
        <w:ind w:left="810" w:hanging="810"/>
        <w:jc w:val="both"/>
        <w:rPr>
          <w:szCs w:val="24"/>
        </w:rPr>
      </w:pPr>
      <w:r>
        <w:rPr>
          <w:szCs w:val="24"/>
        </w:rPr>
        <w:t xml:space="preserve">The following section is added as Section 3.7 to the Scope of work document, and all sections that follow </w:t>
      </w:r>
    </w:p>
    <w:p w14:paraId="45FB2CA3" w14:textId="34A738EC" w:rsidR="00AE0C93" w:rsidRDefault="00AE0C93" w:rsidP="00AE0C93">
      <w:pPr>
        <w:ind w:left="810" w:hanging="810"/>
        <w:jc w:val="both"/>
        <w:rPr>
          <w:szCs w:val="24"/>
        </w:rPr>
      </w:pPr>
      <w:r>
        <w:rPr>
          <w:szCs w:val="24"/>
        </w:rPr>
        <w:t>will be renumbered accordingly:</w:t>
      </w:r>
    </w:p>
    <w:p w14:paraId="37684C98" w14:textId="77777777" w:rsidR="00AE0C93" w:rsidRDefault="00AE0C93" w:rsidP="00AE0C93">
      <w:pPr>
        <w:ind w:left="810" w:hanging="810"/>
        <w:jc w:val="both"/>
        <w:rPr>
          <w:szCs w:val="24"/>
        </w:rPr>
      </w:pPr>
    </w:p>
    <w:p w14:paraId="2050C932" w14:textId="77777777" w:rsidR="00AE0C93" w:rsidRPr="00AE0C93" w:rsidRDefault="00AE0C93" w:rsidP="00AE0C93">
      <w:pPr>
        <w:ind w:left="810" w:hanging="810"/>
        <w:jc w:val="both"/>
        <w:rPr>
          <w:i/>
          <w:iCs/>
          <w:szCs w:val="24"/>
        </w:rPr>
      </w:pPr>
      <w:r w:rsidRPr="00AE0C93">
        <w:rPr>
          <w:i/>
          <w:iCs/>
          <w:szCs w:val="24"/>
        </w:rPr>
        <w:t>3.7 Nevada Higher Education Prepaid Tuition Program Mandate</w:t>
      </w:r>
    </w:p>
    <w:p w14:paraId="564345ED" w14:textId="77777777" w:rsidR="00AE0C93" w:rsidRPr="00AE0C93" w:rsidRDefault="00AE0C93" w:rsidP="00AE0C93">
      <w:pPr>
        <w:ind w:left="810" w:hanging="810"/>
        <w:jc w:val="both"/>
        <w:rPr>
          <w:i/>
          <w:iCs/>
          <w:szCs w:val="24"/>
        </w:rPr>
      </w:pPr>
    </w:p>
    <w:p w14:paraId="051E758A" w14:textId="77777777" w:rsidR="00AE0C93" w:rsidRPr="00AE0C93" w:rsidRDefault="00AE0C93" w:rsidP="00AE0C93">
      <w:pPr>
        <w:ind w:left="810" w:hanging="810"/>
        <w:jc w:val="both"/>
        <w:rPr>
          <w:i/>
          <w:iCs/>
          <w:szCs w:val="24"/>
        </w:rPr>
      </w:pPr>
      <w:r w:rsidRPr="00AE0C93">
        <w:rPr>
          <w:i/>
          <w:iCs/>
          <w:szCs w:val="24"/>
        </w:rPr>
        <w:t>3.7.1 The STO is seeking to hire a single manager for this portfolio. The investment manager selected</w:t>
      </w:r>
    </w:p>
    <w:p w14:paraId="0B8310C1" w14:textId="7C8FEC1F" w:rsidR="00AE0C93" w:rsidRPr="00AE0C93" w:rsidRDefault="00AE0C93" w:rsidP="00AE0C93">
      <w:pPr>
        <w:ind w:left="810" w:hanging="810"/>
        <w:jc w:val="both"/>
        <w:rPr>
          <w:i/>
          <w:iCs/>
          <w:szCs w:val="24"/>
        </w:rPr>
      </w:pPr>
      <w:r w:rsidRPr="00AE0C93">
        <w:rPr>
          <w:i/>
          <w:iCs/>
          <w:szCs w:val="24"/>
        </w:rPr>
        <w:t xml:space="preserve"> </w:t>
      </w:r>
    </w:p>
    <w:p w14:paraId="6DDE68DD" w14:textId="5D39BFE1" w:rsidR="00AE0C93" w:rsidRPr="00AE0C93" w:rsidRDefault="00AE0C93" w:rsidP="00AE0C93">
      <w:pPr>
        <w:ind w:left="540"/>
        <w:jc w:val="both"/>
        <w:rPr>
          <w:i/>
          <w:iCs/>
          <w:szCs w:val="24"/>
        </w:rPr>
      </w:pPr>
      <w:r w:rsidRPr="00AE0C93">
        <w:rPr>
          <w:i/>
          <w:iCs/>
          <w:szCs w:val="24"/>
        </w:rPr>
        <w:t>through this RFP process will manage the portfolio assets on a discretionary basis according to statutory requirements set forth in NRS 353B.160 and further made per the adopted Investment Policy Statement and Comprehensive Investment Plan (Investment Policy) located in this document as Exhibit 14.</w:t>
      </w:r>
    </w:p>
    <w:p w14:paraId="0869E957" w14:textId="77777777" w:rsidR="00AE0C93" w:rsidRPr="00AE0C93" w:rsidRDefault="00AE0C93" w:rsidP="00AE0C93">
      <w:pPr>
        <w:ind w:left="810" w:hanging="810"/>
        <w:jc w:val="both"/>
        <w:rPr>
          <w:i/>
          <w:iCs/>
          <w:szCs w:val="24"/>
        </w:rPr>
      </w:pPr>
    </w:p>
    <w:p w14:paraId="6229563E" w14:textId="20BFAF10" w:rsidR="00AE0C93" w:rsidRPr="00AE0C93" w:rsidRDefault="00AE0C93" w:rsidP="00AE0C93">
      <w:pPr>
        <w:ind w:left="810" w:hanging="810"/>
        <w:jc w:val="both"/>
        <w:rPr>
          <w:i/>
          <w:iCs/>
          <w:szCs w:val="24"/>
        </w:rPr>
      </w:pPr>
      <w:r w:rsidRPr="00AE0C93">
        <w:rPr>
          <w:i/>
          <w:iCs/>
          <w:szCs w:val="24"/>
        </w:rPr>
        <w:t>3.7.2</w:t>
      </w:r>
      <w:r w:rsidRPr="00AE0C93">
        <w:rPr>
          <w:i/>
          <w:iCs/>
          <w:szCs w:val="24"/>
        </w:rPr>
        <w:tab/>
        <w:t>Qualified firms should submit a response to the services benchmarked to the Bloomberg US Aggregate Index.</w:t>
      </w:r>
    </w:p>
    <w:p w14:paraId="66DE65BB" w14:textId="77777777" w:rsidR="00AE0C93" w:rsidRPr="00AE0C93" w:rsidRDefault="00AE0C93" w:rsidP="00AE0C93">
      <w:pPr>
        <w:ind w:left="810" w:hanging="810"/>
        <w:jc w:val="both"/>
        <w:rPr>
          <w:i/>
          <w:iCs/>
          <w:szCs w:val="24"/>
        </w:rPr>
      </w:pPr>
    </w:p>
    <w:p w14:paraId="728DA0A8" w14:textId="4C017284" w:rsidR="00AE0C93" w:rsidRPr="00AE0C93" w:rsidRDefault="00AE0C93" w:rsidP="00AE0C93">
      <w:pPr>
        <w:ind w:left="810" w:hanging="810"/>
        <w:jc w:val="both"/>
        <w:rPr>
          <w:i/>
          <w:iCs/>
          <w:szCs w:val="24"/>
        </w:rPr>
      </w:pPr>
      <w:r w:rsidRPr="00AE0C93">
        <w:rPr>
          <w:i/>
          <w:iCs/>
          <w:szCs w:val="24"/>
        </w:rPr>
        <w:t>3.7.3</w:t>
      </w:r>
      <w:r w:rsidRPr="00AE0C93">
        <w:rPr>
          <w:i/>
          <w:iCs/>
          <w:szCs w:val="24"/>
        </w:rPr>
        <w:tab/>
        <w:t>Security transactions will be processed on a Delivery versus Payment (DVP) basis through the State’s custodial bank (currently BNY Mellon). All securities will be held in a separately managed account in the State’s name at the State’s custodial bank.</w:t>
      </w:r>
    </w:p>
    <w:p w14:paraId="223FAF67" w14:textId="77777777" w:rsidR="008A29B2" w:rsidRDefault="008A29B2" w:rsidP="008A29B2">
      <w:pPr>
        <w:ind w:left="810" w:hanging="810"/>
        <w:jc w:val="both"/>
        <w:rPr>
          <w:szCs w:val="24"/>
        </w:rPr>
      </w:pPr>
    </w:p>
    <w:p w14:paraId="1BC21CEB" w14:textId="77777777" w:rsidR="00AE0C93" w:rsidRDefault="00AE0C93" w:rsidP="008A29B2">
      <w:pPr>
        <w:ind w:left="810" w:hanging="810"/>
        <w:jc w:val="both"/>
        <w:rPr>
          <w:szCs w:val="24"/>
        </w:rPr>
      </w:pPr>
      <w:r>
        <w:rPr>
          <w:szCs w:val="24"/>
        </w:rPr>
        <w:t>The following sections are added as Section 3.14 to the Scope of Work document and all section that</w:t>
      </w:r>
    </w:p>
    <w:p w14:paraId="60DBDABD" w14:textId="00DC3293" w:rsidR="00AE0C93" w:rsidRDefault="00AE0C93" w:rsidP="008A29B2">
      <w:pPr>
        <w:ind w:left="810" w:hanging="810"/>
        <w:jc w:val="both"/>
        <w:rPr>
          <w:szCs w:val="24"/>
        </w:rPr>
      </w:pPr>
      <w:r>
        <w:rPr>
          <w:szCs w:val="24"/>
        </w:rPr>
        <w:t>follow will be renumbered accordingly:</w:t>
      </w:r>
    </w:p>
    <w:p w14:paraId="2A2CBDCD" w14:textId="77777777" w:rsidR="00AE0C93" w:rsidRDefault="00AE0C93" w:rsidP="008A29B2">
      <w:pPr>
        <w:ind w:left="810" w:hanging="810"/>
        <w:jc w:val="both"/>
        <w:rPr>
          <w:szCs w:val="24"/>
        </w:rPr>
      </w:pPr>
    </w:p>
    <w:p w14:paraId="65ED3305" w14:textId="188E8FA3" w:rsidR="00AE0C93" w:rsidRPr="00CA780B" w:rsidRDefault="00AE0C93" w:rsidP="00AE0C93">
      <w:pPr>
        <w:ind w:left="810" w:hanging="810"/>
        <w:jc w:val="both"/>
        <w:rPr>
          <w:i/>
          <w:iCs/>
          <w:szCs w:val="24"/>
        </w:rPr>
      </w:pPr>
      <w:r w:rsidRPr="00CA780B">
        <w:rPr>
          <w:i/>
          <w:iCs/>
          <w:szCs w:val="24"/>
        </w:rPr>
        <w:t>3.14</w:t>
      </w:r>
      <w:r w:rsidRPr="00CA780B">
        <w:rPr>
          <w:i/>
          <w:iCs/>
          <w:szCs w:val="24"/>
        </w:rPr>
        <w:tab/>
        <w:t>Nevada Higher Education Prepaid Tuition Program Requirements</w:t>
      </w:r>
    </w:p>
    <w:p w14:paraId="57CB4718" w14:textId="77777777" w:rsidR="00AE0C93" w:rsidRPr="00CA780B" w:rsidRDefault="00AE0C93" w:rsidP="00AE0C93">
      <w:pPr>
        <w:ind w:left="810" w:hanging="810"/>
        <w:jc w:val="both"/>
        <w:rPr>
          <w:i/>
          <w:iCs/>
          <w:szCs w:val="24"/>
        </w:rPr>
      </w:pPr>
    </w:p>
    <w:p w14:paraId="2C733C5C" w14:textId="1634F5A4" w:rsidR="00AE0C93" w:rsidRPr="00CA780B" w:rsidRDefault="00AE0C93" w:rsidP="00AE0C93">
      <w:pPr>
        <w:ind w:left="810" w:hanging="810"/>
        <w:jc w:val="both"/>
        <w:rPr>
          <w:i/>
          <w:iCs/>
          <w:szCs w:val="24"/>
        </w:rPr>
      </w:pPr>
      <w:r w:rsidRPr="00CA780B">
        <w:rPr>
          <w:i/>
          <w:iCs/>
          <w:szCs w:val="24"/>
        </w:rPr>
        <w:t>3.14.1</w:t>
      </w:r>
      <w:r w:rsidRPr="00CA780B">
        <w:rPr>
          <w:i/>
          <w:iCs/>
          <w:szCs w:val="24"/>
        </w:rPr>
        <w:tab/>
        <w:t>The Investment Manager will directly manage all of the fixed income portfolio assets and will work closely with the State Treasurer and Investment Deputy to monitor the portfolios with the goal of meeting or beating an assigned benchmark. The investment management firm will be selected to manage the investment mandates for the portfolio on a discretionary basis for a period of four (4) years.</w:t>
      </w:r>
    </w:p>
    <w:p w14:paraId="5BDF6AB0" w14:textId="77777777" w:rsidR="00AE0C93" w:rsidRPr="00CA780B" w:rsidRDefault="00AE0C93" w:rsidP="00AE0C93">
      <w:pPr>
        <w:ind w:left="810" w:hanging="810"/>
        <w:jc w:val="both"/>
        <w:rPr>
          <w:i/>
          <w:iCs/>
          <w:szCs w:val="24"/>
        </w:rPr>
      </w:pPr>
    </w:p>
    <w:p w14:paraId="250CD6E7" w14:textId="3E97BD0E" w:rsidR="00AE0C93" w:rsidRPr="00CA780B" w:rsidRDefault="00AE0C93" w:rsidP="00AE0C93">
      <w:pPr>
        <w:ind w:left="810" w:hanging="810"/>
        <w:jc w:val="both"/>
        <w:rPr>
          <w:i/>
          <w:iCs/>
          <w:szCs w:val="24"/>
        </w:rPr>
      </w:pPr>
      <w:r w:rsidRPr="00CA780B">
        <w:rPr>
          <w:i/>
          <w:iCs/>
          <w:szCs w:val="24"/>
        </w:rPr>
        <w:t>3.14.2</w:t>
      </w:r>
      <w:r w:rsidRPr="00CA780B">
        <w:rPr>
          <w:i/>
          <w:iCs/>
          <w:szCs w:val="24"/>
        </w:rPr>
        <w:tab/>
        <w:t>The State Treasurer’s Office (STO) is issuing this Request for Proposal (RFP) from qualified firms to provide management services for the Prepaid Tuition Portfolio.  Specific requirements for the portfolio are listed in the Investment Policy and Nevada Revised Statutes (NRS 353B.160).  Please see:</w:t>
      </w:r>
    </w:p>
    <w:p w14:paraId="789D2425" w14:textId="77777777" w:rsidR="00AE0C93" w:rsidRPr="00CA780B" w:rsidRDefault="00AE0C93" w:rsidP="00AE0C93">
      <w:pPr>
        <w:ind w:left="810" w:hanging="810"/>
        <w:jc w:val="both"/>
        <w:rPr>
          <w:i/>
          <w:iCs/>
          <w:szCs w:val="24"/>
        </w:rPr>
      </w:pPr>
    </w:p>
    <w:p w14:paraId="3F80A38A" w14:textId="25AC091E" w:rsidR="00AE0C93" w:rsidRPr="00CA780B" w:rsidRDefault="00AE0C93" w:rsidP="00AE0C93">
      <w:pPr>
        <w:pStyle w:val="ListParagraph"/>
        <w:numPr>
          <w:ilvl w:val="0"/>
          <w:numId w:val="4"/>
        </w:numPr>
        <w:jc w:val="both"/>
        <w:rPr>
          <w:i/>
          <w:iCs/>
          <w:szCs w:val="24"/>
        </w:rPr>
      </w:pPr>
      <w:r w:rsidRPr="00CA780B">
        <w:rPr>
          <w:i/>
          <w:iCs/>
          <w:szCs w:val="24"/>
        </w:rPr>
        <w:t>Exhibit 14:  Nevada Prepaid Tuition Investment Policy Statement and Comprehensive Investment Plan</w:t>
      </w:r>
    </w:p>
    <w:p w14:paraId="450EC7F7" w14:textId="77777777" w:rsidR="00AE0C93" w:rsidRPr="00CA780B" w:rsidRDefault="00AE0C93" w:rsidP="00AE0C93">
      <w:pPr>
        <w:ind w:left="810" w:hanging="810"/>
        <w:jc w:val="both"/>
        <w:rPr>
          <w:i/>
          <w:iCs/>
          <w:szCs w:val="24"/>
        </w:rPr>
      </w:pPr>
    </w:p>
    <w:p w14:paraId="631A189C" w14:textId="576EAD57" w:rsidR="00AE0C93" w:rsidRPr="00CA780B" w:rsidRDefault="00AE0C93" w:rsidP="00AE0C93">
      <w:pPr>
        <w:ind w:left="810" w:hanging="810"/>
        <w:jc w:val="both"/>
        <w:rPr>
          <w:i/>
          <w:iCs/>
          <w:szCs w:val="24"/>
        </w:rPr>
      </w:pPr>
      <w:r w:rsidRPr="00CA780B">
        <w:rPr>
          <w:i/>
          <w:iCs/>
          <w:szCs w:val="24"/>
        </w:rPr>
        <w:lastRenderedPageBreak/>
        <w:tab/>
        <w:t>B. Exhibit 15:  Holdings Prepaid Tuition Fund Fixed Income Assets, December 31, 2024</w:t>
      </w:r>
    </w:p>
    <w:p w14:paraId="7B2EF641" w14:textId="77777777" w:rsidR="00AE0C93" w:rsidRPr="00CA780B" w:rsidRDefault="00AE0C93" w:rsidP="00AE0C93">
      <w:pPr>
        <w:ind w:left="810" w:hanging="810"/>
        <w:jc w:val="both"/>
        <w:rPr>
          <w:i/>
          <w:iCs/>
          <w:szCs w:val="24"/>
        </w:rPr>
      </w:pPr>
    </w:p>
    <w:p w14:paraId="53AA16CB" w14:textId="46DE46E3" w:rsidR="00AE0C93" w:rsidRPr="00CA780B" w:rsidRDefault="00AE0C93" w:rsidP="00AE0C93">
      <w:pPr>
        <w:ind w:left="810" w:hanging="810"/>
        <w:jc w:val="both"/>
        <w:rPr>
          <w:i/>
          <w:iCs/>
          <w:szCs w:val="24"/>
        </w:rPr>
      </w:pPr>
      <w:r w:rsidRPr="00CA780B">
        <w:rPr>
          <w:i/>
          <w:iCs/>
          <w:szCs w:val="24"/>
        </w:rPr>
        <w:tab/>
        <w:t>C. Revised Exhibit 8:  Fund Performance Required Format</w:t>
      </w:r>
    </w:p>
    <w:p w14:paraId="166EFA4D" w14:textId="77777777" w:rsidR="00AE0C93" w:rsidRPr="00CA780B" w:rsidRDefault="00AE0C93" w:rsidP="00AE0C93">
      <w:pPr>
        <w:ind w:left="810" w:hanging="810"/>
        <w:jc w:val="both"/>
        <w:rPr>
          <w:i/>
          <w:iCs/>
          <w:szCs w:val="24"/>
        </w:rPr>
      </w:pPr>
    </w:p>
    <w:p w14:paraId="448FAEC3" w14:textId="759CE2CF" w:rsidR="00AE0C93" w:rsidRPr="00CA780B" w:rsidRDefault="00784A50" w:rsidP="00784A50">
      <w:pPr>
        <w:ind w:left="810" w:hanging="810"/>
        <w:jc w:val="both"/>
        <w:rPr>
          <w:i/>
          <w:iCs/>
          <w:szCs w:val="24"/>
        </w:rPr>
      </w:pPr>
      <w:r w:rsidRPr="00CA780B">
        <w:rPr>
          <w:i/>
          <w:iCs/>
          <w:szCs w:val="24"/>
        </w:rPr>
        <w:t>3.14.3</w:t>
      </w:r>
      <w:r w:rsidR="00AE0C93" w:rsidRPr="00CA780B">
        <w:rPr>
          <w:i/>
          <w:iCs/>
          <w:szCs w:val="24"/>
        </w:rPr>
        <w:tab/>
        <w:t>Initially:</w:t>
      </w:r>
    </w:p>
    <w:p w14:paraId="5730454E" w14:textId="77777777" w:rsidR="00AE0C93" w:rsidRPr="00CA780B" w:rsidRDefault="00AE0C93" w:rsidP="00AE0C93">
      <w:pPr>
        <w:ind w:left="810" w:hanging="810"/>
        <w:jc w:val="both"/>
        <w:rPr>
          <w:i/>
          <w:iCs/>
          <w:szCs w:val="24"/>
        </w:rPr>
      </w:pPr>
    </w:p>
    <w:p w14:paraId="71DFB2B3" w14:textId="278926FF" w:rsidR="00AE0C93" w:rsidRPr="00CA780B" w:rsidRDefault="00AE0C93" w:rsidP="00784A50">
      <w:pPr>
        <w:pStyle w:val="ListParagraph"/>
        <w:numPr>
          <w:ilvl w:val="0"/>
          <w:numId w:val="5"/>
        </w:numPr>
        <w:jc w:val="both"/>
        <w:rPr>
          <w:i/>
          <w:iCs/>
          <w:szCs w:val="24"/>
        </w:rPr>
      </w:pPr>
      <w:r w:rsidRPr="00CA780B">
        <w:rPr>
          <w:i/>
          <w:iCs/>
          <w:szCs w:val="24"/>
        </w:rPr>
        <w:t>Meet with State Treasurer and staff to discuss overall risk tolerance and target duration.</w:t>
      </w:r>
    </w:p>
    <w:p w14:paraId="2DD7766A" w14:textId="77777777" w:rsidR="00AE0C93" w:rsidRPr="00CA780B" w:rsidRDefault="00AE0C93" w:rsidP="00AE0C93">
      <w:pPr>
        <w:ind w:left="810" w:hanging="810"/>
        <w:jc w:val="both"/>
        <w:rPr>
          <w:i/>
          <w:iCs/>
          <w:szCs w:val="24"/>
        </w:rPr>
      </w:pPr>
    </w:p>
    <w:p w14:paraId="3DE67DE0" w14:textId="6C903921" w:rsidR="00AE0C93" w:rsidRPr="00CA780B" w:rsidRDefault="00AE0C93" w:rsidP="00784A50">
      <w:pPr>
        <w:pStyle w:val="ListParagraph"/>
        <w:numPr>
          <w:ilvl w:val="0"/>
          <w:numId w:val="5"/>
        </w:numPr>
        <w:jc w:val="both"/>
        <w:rPr>
          <w:i/>
          <w:iCs/>
          <w:szCs w:val="24"/>
        </w:rPr>
      </w:pPr>
      <w:r w:rsidRPr="00CA780B">
        <w:rPr>
          <w:i/>
          <w:iCs/>
          <w:szCs w:val="24"/>
        </w:rPr>
        <w:t>Provide a detailed draft plan for the transfer of securities (if applicable) and initial portfolio construction prior to receipt of securities and/or assets.</w:t>
      </w:r>
    </w:p>
    <w:p w14:paraId="4E77CB26" w14:textId="77777777" w:rsidR="00AE0C93" w:rsidRPr="00CA780B" w:rsidRDefault="00AE0C93" w:rsidP="00AE0C93">
      <w:pPr>
        <w:ind w:left="810" w:hanging="810"/>
        <w:jc w:val="both"/>
        <w:rPr>
          <w:i/>
          <w:iCs/>
          <w:szCs w:val="24"/>
        </w:rPr>
      </w:pPr>
    </w:p>
    <w:p w14:paraId="64B9434C" w14:textId="32299945" w:rsidR="00AE0C93" w:rsidRPr="00CA780B" w:rsidRDefault="00AE0C93" w:rsidP="00784A50">
      <w:pPr>
        <w:pStyle w:val="ListParagraph"/>
        <w:numPr>
          <w:ilvl w:val="0"/>
          <w:numId w:val="5"/>
        </w:numPr>
        <w:jc w:val="both"/>
        <w:rPr>
          <w:i/>
          <w:iCs/>
          <w:szCs w:val="24"/>
        </w:rPr>
      </w:pPr>
      <w:r w:rsidRPr="00CA780B">
        <w:rPr>
          <w:i/>
          <w:iCs/>
          <w:szCs w:val="24"/>
        </w:rPr>
        <w:t>Review of Respondent’s pre-approved list of corporate issuers.</w:t>
      </w:r>
    </w:p>
    <w:p w14:paraId="3257BA4A" w14:textId="77777777" w:rsidR="00AE0C93" w:rsidRPr="00CA780B" w:rsidRDefault="00AE0C93" w:rsidP="00AE0C93">
      <w:pPr>
        <w:ind w:left="810" w:hanging="810"/>
        <w:jc w:val="both"/>
        <w:rPr>
          <w:i/>
          <w:iCs/>
          <w:szCs w:val="24"/>
        </w:rPr>
      </w:pPr>
    </w:p>
    <w:p w14:paraId="6A927023" w14:textId="2CF7E834" w:rsidR="00AE0C93" w:rsidRPr="00CA780B" w:rsidRDefault="00784A50" w:rsidP="00AE0C93">
      <w:pPr>
        <w:ind w:left="810" w:hanging="810"/>
        <w:jc w:val="both"/>
        <w:rPr>
          <w:i/>
          <w:iCs/>
          <w:szCs w:val="24"/>
        </w:rPr>
      </w:pPr>
      <w:r w:rsidRPr="00CA780B">
        <w:rPr>
          <w:i/>
          <w:iCs/>
          <w:szCs w:val="24"/>
        </w:rPr>
        <w:t>3.14.4</w:t>
      </w:r>
      <w:r w:rsidR="00AE0C93" w:rsidRPr="00CA780B">
        <w:rPr>
          <w:i/>
          <w:iCs/>
          <w:szCs w:val="24"/>
        </w:rPr>
        <w:tab/>
        <w:t>Daily:</w:t>
      </w:r>
    </w:p>
    <w:p w14:paraId="0EE4E4F4" w14:textId="77777777" w:rsidR="00AE0C93" w:rsidRPr="00CA780B" w:rsidRDefault="00AE0C93" w:rsidP="00AE0C93">
      <w:pPr>
        <w:ind w:left="810" w:hanging="810"/>
        <w:jc w:val="both"/>
        <w:rPr>
          <w:i/>
          <w:iCs/>
          <w:szCs w:val="24"/>
        </w:rPr>
      </w:pPr>
    </w:p>
    <w:p w14:paraId="7E30303D" w14:textId="48E8EBEF" w:rsidR="00AE0C93" w:rsidRPr="00CA780B" w:rsidRDefault="00784A50" w:rsidP="00784A50">
      <w:pPr>
        <w:pStyle w:val="ListParagraph"/>
        <w:numPr>
          <w:ilvl w:val="0"/>
          <w:numId w:val="6"/>
        </w:numPr>
        <w:jc w:val="both"/>
        <w:rPr>
          <w:i/>
          <w:iCs/>
          <w:szCs w:val="24"/>
        </w:rPr>
      </w:pPr>
      <w:r w:rsidRPr="00CA780B">
        <w:rPr>
          <w:i/>
          <w:iCs/>
          <w:szCs w:val="24"/>
        </w:rPr>
        <w:t xml:space="preserve"> </w:t>
      </w:r>
      <w:r w:rsidR="00AE0C93" w:rsidRPr="00CA780B">
        <w:rPr>
          <w:i/>
          <w:iCs/>
          <w:szCs w:val="24"/>
        </w:rPr>
        <w:t>Invest the separately managed account (SMA) on a discretionary basis within the parameters of applicable Nevada Revised Statutes, applicable portfolio Investment Policy and State Treasurer direction. The State Treasurer reserves the right to review and provide direction on eligible issuers, and to provide direction on maximum maturities and other matters depending upon the market conditions and STO’s risk tolerance.</w:t>
      </w:r>
    </w:p>
    <w:p w14:paraId="19B79EEE" w14:textId="77777777" w:rsidR="00AE0C93" w:rsidRPr="00CA780B" w:rsidRDefault="00AE0C93" w:rsidP="00AE0C93">
      <w:pPr>
        <w:ind w:left="810" w:hanging="810"/>
        <w:jc w:val="both"/>
        <w:rPr>
          <w:i/>
          <w:iCs/>
          <w:szCs w:val="24"/>
        </w:rPr>
      </w:pPr>
    </w:p>
    <w:p w14:paraId="3458D339" w14:textId="7B599D53" w:rsidR="00AE0C93" w:rsidRPr="00CA780B" w:rsidRDefault="00AE0C93" w:rsidP="00784A50">
      <w:pPr>
        <w:pStyle w:val="ListParagraph"/>
        <w:numPr>
          <w:ilvl w:val="0"/>
          <w:numId w:val="6"/>
        </w:numPr>
        <w:jc w:val="both"/>
        <w:rPr>
          <w:i/>
          <w:iCs/>
          <w:szCs w:val="24"/>
        </w:rPr>
      </w:pPr>
      <w:r w:rsidRPr="00CA780B">
        <w:rPr>
          <w:i/>
          <w:iCs/>
          <w:szCs w:val="24"/>
        </w:rPr>
        <w:t>Monitor and send trade/transaction settlement information to the State’s custodian.</w:t>
      </w:r>
    </w:p>
    <w:p w14:paraId="4EAC057A" w14:textId="77777777" w:rsidR="00AE0C93" w:rsidRPr="00CA780B" w:rsidRDefault="00AE0C93" w:rsidP="00AE0C93">
      <w:pPr>
        <w:ind w:left="810" w:hanging="810"/>
        <w:jc w:val="both"/>
        <w:rPr>
          <w:i/>
          <w:iCs/>
          <w:szCs w:val="24"/>
        </w:rPr>
      </w:pPr>
    </w:p>
    <w:p w14:paraId="385AF602" w14:textId="20702657" w:rsidR="00AE0C93" w:rsidRPr="00CA780B" w:rsidRDefault="00AE0C93" w:rsidP="00784A50">
      <w:pPr>
        <w:pStyle w:val="ListParagraph"/>
        <w:numPr>
          <w:ilvl w:val="0"/>
          <w:numId w:val="6"/>
        </w:numPr>
        <w:jc w:val="both"/>
        <w:rPr>
          <w:i/>
          <w:iCs/>
          <w:szCs w:val="24"/>
        </w:rPr>
      </w:pPr>
      <w:r w:rsidRPr="00CA780B">
        <w:rPr>
          <w:i/>
          <w:iCs/>
          <w:szCs w:val="24"/>
        </w:rPr>
        <w:t>Provide the State Treasurer with a brief explanation/justification of buys and sells which are considered exceptions to the norm.</w:t>
      </w:r>
    </w:p>
    <w:p w14:paraId="149C78A8" w14:textId="77777777" w:rsidR="00AE0C93" w:rsidRPr="00CA780B" w:rsidRDefault="00AE0C93" w:rsidP="00AE0C93">
      <w:pPr>
        <w:ind w:left="810" w:hanging="810"/>
        <w:jc w:val="both"/>
        <w:rPr>
          <w:i/>
          <w:iCs/>
          <w:szCs w:val="24"/>
        </w:rPr>
      </w:pPr>
      <w:r w:rsidRPr="00CA780B">
        <w:rPr>
          <w:i/>
          <w:iCs/>
          <w:szCs w:val="24"/>
        </w:rPr>
        <w:t xml:space="preserve"> </w:t>
      </w:r>
    </w:p>
    <w:p w14:paraId="51CD74E9" w14:textId="1120D406" w:rsidR="00AE0C93" w:rsidRPr="00CA780B" w:rsidRDefault="00AE0C93" w:rsidP="00784A50">
      <w:pPr>
        <w:pStyle w:val="ListParagraph"/>
        <w:numPr>
          <w:ilvl w:val="0"/>
          <w:numId w:val="6"/>
        </w:numPr>
        <w:jc w:val="both"/>
        <w:rPr>
          <w:i/>
          <w:iCs/>
          <w:szCs w:val="24"/>
        </w:rPr>
      </w:pPr>
      <w:r w:rsidRPr="00CA780B">
        <w:rPr>
          <w:i/>
          <w:iCs/>
          <w:szCs w:val="24"/>
        </w:rPr>
        <w:t>Monitor credit exposure and credit rating, and immediately contact the State Treasurer via telephone to report material events which affect the SMA.  Be prepared to follow up with a detailed plan of action for any securities that are not in compliance with Nevada Revised Statutes and the Investment Policy Statement.</w:t>
      </w:r>
    </w:p>
    <w:p w14:paraId="520AEB1B" w14:textId="77777777" w:rsidR="00AE0C93" w:rsidRPr="00CA780B" w:rsidRDefault="00AE0C93" w:rsidP="00AE0C93">
      <w:pPr>
        <w:ind w:left="810" w:hanging="810"/>
        <w:jc w:val="both"/>
        <w:rPr>
          <w:i/>
          <w:iCs/>
          <w:szCs w:val="24"/>
        </w:rPr>
      </w:pPr>
    </w:p>
    <w:p w14:paraId="07EA4A32" w14:textId="0401BFE1" w:rsidR="00AE0C93" w:rsidRPr="00CA780B" w:rsidRDefault="00AE0C93" w:rsidP="00784A50">
      <w:pPr>
        <w:pStyle w:val="ListParagraph"/>
        <w:numPr>
          <w:ilvl w:val="0"/>
          <w:numId w:val="6"/>
        </w:numPr>
        <w:jc w:val="both"/>
        <w:rPr>
          <w:i/>
          <w:iCs/>
          <w:szCs w:val="24"/>
        </w:rPr>
      </w:pPr>
      <w:r w:rsidRPr="00CA780B">
        <w:rPr>
          <w:i/>
          <w:iCs/>
          <w:szCs w:val="24"/>
        </w:rPr>
        <w:t>Be available to answer questions of STO as needed.</w:t>
      </w:r>
    </w:p>
    <w:p w14:paraId="422D1C68" w14:textId="77777777" w:rsidR="00AE0C93" w:rsidRPr="00CA780B" w:rsidRDefault="00AE0C93" w:rsidP="00AE0C93">
      <w:pPr>
        <w:ind w:left="810" w:hanging="810"/>
        <w:jc w:val="both"/>
        <w:rPr>
          <w:i/>
          <w:iCs/>
          <w:szCs w:val="24"/>
        </w:rPr>
      </w:pPr>
    </w:p>
    <w:p w14:paraId="57A79D1E" w14:textId="2ABCA9A6" w:rsidR="00AE0C93" w:rsidRPr="00CA780B" w:rsidRDefault="00784A50" w:rsidP="00AE0C93">
      <w:pPr>
        <w:ind w:left="810" w:hanging="810"/>
        <w:jc w:val="both"/>
        <w:rPr>
          <w:i/>
          <w:iCs/>
          <w:szCs w:val="24"/>
        </w:rPr>
      </w:pPr>
      <w:r w:rsidRPr="00CA780B">
        <w:rPr>
          <w:i/>
          <w:iCs/>
          <w:szCs w:val="24"/>
        </w:rPr>
        <w:t>3.14.5</w:t>
      </w:r>
      <w:r w:rsidR="00AE0C93" w:rsidRPr="00CA780B">
        <w:rPr>
          <w:i/>
          <w:iCs/>
          <w:szCs w:val="24"/>
        </w:rPr>
        <w:tab/>
        <w:t>Monthly:</w:t>
      </w:r>
    </w:p>
    <w:p w14:paraId="544371D9" w14:textId="77777777" w:rsidR="00AE0C93" w:rsidRPr="00CA780B" w:rsidRDefault="00AE0C93" w:rsidP="00AE0C93">
      <w:pPr>
        <w:ind w:left="810" w:hanging="810"/>
        <w:jc w:val="both"/>
        <w:rPr>
          <w:i/>
          <w:iCs/>
          <w:szCs w:val="24"/>
        </w:rPr>
      </w:pPr>
    </w:p>
    <w:p w14:paraId="3A736587" w14:textId="16106753" w:rsidR="00AE0C93" w:rsidRPr="00CA780B" w:rsidRDefault="00AE0C93" w:rsidP="00784A50">
      <w:pPr>
        <w:pStyle w:val="ListParagraph"/>
        <w:numPr>
          <w:ilvl w:val="0"/>
          <w:numId w:val="7"/>
        </w:numPr>
        <w:jc w:val="both"/>
        <w:rPr>
          <w:i/>
          <w:iCs/>
          <w:szCs w:val="24"/>
        </w:rPr>
      </w:pPr>
      <w:r w:rsidRPr="00CA780B">
        <w:rPr>
          <w:i/>
          <w:iCs/>
          <w:szCs w:val="24"/>
        </w:rPr>
        <w:t>Provide investment detail report which includes holdings, interest received, realized gains/losses, amortization and accretion, all buys/sells, etc.</w:t>
      </w:r>
    </w:p>
    <w:p w14:paraId="780AC1C2" w14:textId="77777777" w:rsidR="00AE0C93" w:rsidRPr="00CA780B" w:rsidRDefault="00AE0C93" w:rsidP="00AE0C93">
      <w:pPr>
        <w:ind w:left="810" w:hanging="810"/>
        <w:jc w:val="both"/>
        <w:rPr>
          <w:i/>
          <w:iCs/>
          <w:szCs w:val="24"/>
        </w:rPr>
      </w:pPr>
    </w:p>
    <w:p w14:paraId="4FB827E3" w14:textId="2B58AB9D" w:rsidR="00AE0C93" w:rsidRPr="00CA780B" w:rsidRDefault="00AE0C93" w:rsidP="00784A50">
      <w:pPr>
        <w:pStyle w:val="ListParagraph"/>
        <w:numPr>
          <w:ilvl w:val="0"/>
          <w:numId w:val="7"/>
        </w:numPr>
        <w:jc w:val="both"/>
        <w:rPr>
          <w:i/>
          <w:iCs/>
          <w:szCs w:val="24"/>
        </w:rPr>
      </w:pPr>
      <w:r w:rsidRPr="00CA780B">
        <w:rPr>
          <w:i/>
          <w:iCs/>
          <w:szCs w:val="24"/>
        </w:rPr>
        <w:t>Provide detail performance report versus the agreed upon benchmark.</w:t>
      </w:r>
    </w:p>
    <w:p w14:paraId="66DF0568" w14:textId="77777777" w:rsidR="00AE0C93" w:rsidRPr="00CA780B" w:rsidRDefault="00AE0C93" w:rsidP="00AE0C93">
      <w:pPr>
        <w:ind w:left="810" w:hanging="810"/>
        <w:jc w:val="both"/>
        <w:rPr>
          <w:i/>
          <w:iCs/>
          <w:szCs w:val="24"/>
        </w:rPr>
      </w:pPr>
      <w:r w:rsidRPr="00CA780B">
        <w:rPr>
          <w:i/>
          <w:iCs/>
          <w:szCs w:val="24"/>
        </w:rPr>
        <w:t xml:space="preserve"> </w:t>
      </w:r>
    </w:p>
    <w:p w14:paraId="14DF4DBC" w14:textId="091F2E10" w:rsidR="00AE0C93" w:rsidRPr="00CA780B" w:rsidRDefault="00AE0C93" w:rsidP="00784A50">
      <w:pPr>
        <w:pStyle w:val="ListParagraph"/>
        <w:numPr>
          <w:ilvl w:val="0"/>
          <w:numId w:val="7"/>
        </w:numPr>
        <w:jc w:val="both"/>
        <w:rPr>
          <w:i/>
          <w:iCs/>
          <w:szCs w:val="24"/>
        </w:rPr>
      </w:pPr>
      <w:r w:rsidRPr="00CA780B">
        <w:rPr>
          <w:i/>
          <w:iCs/>
          <w:szCs w:val="24"/>
        </w:rPr>
        <w:t>Be available for conference calls to discuss investment program, including investment strategy and performance, economic and market conditions, and other investment related information.</w:t>
      </w:r>
    </w:p>
    <w:p w14:paraId="55B5EECD" w14:textId="77777777" w:rsidR="00AE0C93" w:rsidRPr="00CA780B" w:rsidRDefault="00AE0C93" w:rsidP="00AE0C93">
      <w:pPr>
        <w:ind w:left="810" w:hanging="810"/>
        <w:jc w:val="both"/>
        <w:rPr>
          <w:i/>
          <w:iCs/>
          <w:szCs w:val="24"/>
        </w:rPr>
      </w:pPr>
    </w:p>
    <w:p w14:paraId="3F970F94" w14:textId="43E4064F" w:rsidR="00AE0C93" w:rsidRPr="00CA780B" w:rsidRDefault="00AE0C93" w:rsidP="00784A50">
      <w:pPr>
        <w:pStyle w:val="ListParagraph"/>
        <w:numPr>
          <w:ilvl w:val="0"/>
          <w:numId w:val="7"/>
        </w:numPr>
        <w:jc w:val="both"/>
        <w:rPr>
          <w:i/>
          <w:iCs/>
          <w:szCs w:val="24"/>
        </w:rPr>
      </w:pPr>
      <w:r w:rsidRPr="00CA780B">
        <w:rPr>
          <w:i/>
          <w:iCs/>
          <w:szCs w:val="24"/>
        </w:rPr>
        <w:t>Be available to provide detailed information on the agreed upon benchmark, as needed.</w:t>
      </w:r>
    </w:p>
    <w:p w14:paraId="213D8A31" w14:textId="77777777" w:rsidR="00AE0C93" w:rsidRPr="00CA780B" w:rsidRDefault="00AE0C93" w:rsidP="00AE0C93">
      <w:pPr>
        <w:ind w:left="810" w:hanging="810"/>
        <w:jc w:val="both"/>
        <w:rPr>
          <w:i/>
          <w:iCs/>
          <w:szCs w:val="24"/>
        </w:rPr>
      </w:pPr>
    </w:p>
    <w:p w14:paraId="50EB4314" w14:textId="6D519DA4" w:rsidR="00AE0C93" w:rsidRPr="00CA780B" w:rsidRDefault="00AE0C93" w:rsidP="00784A50">
      <w:pPr>
        <w:pStyle w:val="ListParagraph"/>
        <w:numPr>
          <w:ilvl w:val="0"/>
          <w:numId w:val="7"/>
        </w:numPr>
        <w:jc w:val="both"/>
        <w:rPr>
          <w:i/>
          <w:iCs/>
          <w:szCs w:val="24"/>
        </w:rPr>
      </w:pPr>
      <w:r w:rsidRPr="00CA780B">
        <w:rPr>
          <w:i/>
          <w:iCs/>
          <w:szCs w:val="24"/>
        </w:rPr>
        <w:t>Provide a monthly stress test which provides the value of the portfolio utilizing interest rate changes which are representative of the various potential market environments.</w:t>
      </w:r>
    </w:p>
    <w:p w14:paraId="6C7948D4" w14:textId="77777777" w:rsidR="00AE0C93" w:rsidRPr="00CA780B" w:rsidRDefault="00AE0C93" w:rsidP="00AE0C93">
      <w:pPr>
        <w:ind w:left="810" w:hanging="810"/>
        <w:jc w:val="both"/>
        <w:rPr>
          <w:i/>
          <w:iCs/>
          <w:szCs w:val="24"/>
        </w:rPr>
      </w:pPr>
    </w:p>
    <w:p w14:paraId="03EBE2CF" w14:textId="209B3E74" w:rsidR="00AE0C93" w:rsidRPr="00CA780B" w:rsidRDefault="00AE0C93" w:rsidP="00784A50">
      <w:pPr>
        <w:pStyle w:val="ListParagraph"/>
        <w:numPr>
          <w:ilvl w:val="0"/>
          <w:numId w:val="7"/>
        </w:numPr>
        <w:jc w:val="both"/>
        <w:rPr>
          <w:i/>
          <w:iCs/>
          <w:szCs w:val="24"/>
        </w:rPr>
      </w:pPr>
      <w:r w:rsidRPr="00CA780B">
        <w:rPr>
          <w:i/>
          <w:iCs/>
          <w:szCs w:val="24"/>
        </w:rPr>
        <w:t>Provide the respondents listing of corporate issuers approved for use monthly.</w:t>
      </w:r>
    </w:p>
    <w:p w14:paraId="0B68C0FF" w14:textId="77777777" w:rsidR="00AE0C93" w:rsidRPr="00CA780B" w:rsidRDefault="00AE0C93" w:rsidP="00AE0C93">
      <w:pPr>
        <w:ind w:left="810" w:hanging="810"/>
        <w:jc w:val="both"/>
        <w:rPr>
          <w:i/>
          <w:iCs/>
          <w:szCs w:val="24"/>
        </w:rPr>
      </w:pPr>
    </w:p>
    <w:p w14:paraId="4CC0A70A" w14:textId="088BF226" w:rsidR="00AE0C93" w:rsidRPr="00CA780B" w:rsidRDefault="00784A50" w:rsidP="00AE0C93">
      <w:pPr>
        <w:ind w:left="810" w:hanging="810"/>
        <w:jc w:val="both"/>
        <w:rPr>
          <w:i/>
          <w:iCs/>
          <w:szCs w:val="24"/>
        </w:rPr>
      </w:pPr>
      <w:r w:rsidRPr="00CA780B">
        <w:rPr>
          <w:i/>
          <w:iCs/>
          <w:szCs w:val="24"/>
        </w:rPr>
        <w:t>3.14.6</w:t>
      </w:r>
      <w:r w:rsidR="00AE0C93" w:rsidRPr="00CA780B">
        <w:rPr>
          <w:i/>
          <w:iCs/>
          <w:szCs w:val="24"/>
        </w:rPr>
        <w:tab/>
        <w:t>Quarterly:</w:t>
      </w:r>
    </w:p>
    <w:p w14:paraId="15D51183" w14:textId="77777777" w:rsidR="00AE0C93" w:rsidRPr="00CA780B" w:rsidRDefault="00AE0C93" w:rsidP="00AE0C93">
      <w:pPr>
        <w:ind w:left="810" w:hanging="810"/>
        <w:jc w:val="both"/>
        <w:rPr>
          <w:i/>
          <w:iCs/>
          <w:szCs w:val="24"/>
        </w:rPr>
      </w:pPr>
    </w:p>
    <w:p w14:paraId="2A0D9121" w14:textId="2E7882B0" w:rsidR="00AE0C93" w:rsidRPr="00CA780B" w:rsidRDefault="00AE0C93" w:rsidP="00784A50">
      <w:pPr>
        <w:pStyle w:val="ListParagraph"/>
        <w:numPr>
          <w:ilvl w:val="0"/>
          <w:numId w:val="8"/>
        </w:numPr>
        <w:jc w:val="both"/>
        <w:rPr>
          <w:i/>
          <w:iCs/>
          <w:szCs w:val="24"/>
        </w:rPr>
      </w:pPr>
      <w:r w:rsidRPr="00CA780B">
        <w:rPr>
          <w:i/>
          <w:iCs/>
          <w:szCs w:val="24"/>
        </w:rPr>
        <w:t>Compile separate detail reports for STO. The detail report is a comprehensive investment, analytic, and performance report.  Be prepared for a call with the State Treasurer and Investment Deputy to discuss any or all aspects of the quarterly report.</w:t>
      </w:r>
    </w:p>
    <w:p w14:paraId="65855DDA" w14:textId="77777777" w:rsidR="00AE0C93" w:rsidRPr="00CA780B" w:rsidRDefault="00AE0C93" w:rsidP="00AE0C93">
      <w:pPr>
        <w:ind w:left="810" w:hanging="810"/>
        <w:jc w:val="both"/>
        <w:rPr>
          <w:i/>
          <w:iCs/>
          <w:szCs w:val="24"/>
        </w:rPr>
      </w:pPr>
      <w:r w:rsidRPr="00CA780B">
        <w:rPr>
          <w:i/>
          <w:iCs/>
          <w:szCs w:val="24"/>
        </w:rPr>
        <w:t xml:space="preserve"> </w:t>
      </w:r>
    </w:p>
    <w:p w14:paraId="486E5D3F" w14:textId="67B49F20" w:rsidR="00AE0C93" w:rsidRPr="00CA780B" w:rsidRDefault="00AE0C93" w:rsidP="00784A50">
      <w:pPr>
        <w:pStyle w:val="ListParagraph"/>
        <w:numPr>
          <w:ilvl w:val="0"/>
          <w:numId w:val="8"/>
        </w:numPr>
        <w:jc w:val="both"/>
        <w:rPr>
          <w:i/>
          <w:iCs/>
          <w:szCs w:val="24"/>
        </w:rPr>
      </w:pPr>
      <w:r w:rsidRPr="00CA780B">
        <w:rPr>
          <w:i/>
          <w:iCs/>
          <w:szCs w:val="24"/>
        </w:rPr>
        <w:t>Provide billing information which allows STO to easily identify and verify the calculation of the fees charged for services rendered.</w:t>
      </w:r>
    </w:p>
    <w:p w14:paraId="4CFC06B0" w14:textId="77777777" w:rsidR="00AE0C93" w:rsidRPr="00CA780B" w:rsidRDefault="00AE0C93" w:rsidP="00AE0C93">
      <w:pPr>
        <w:ind w:left="810" w:hanging="810"/>
        <w:jc w:val="both"/>
        <w:rPr>
          <w:i/>
          <w:iCs/>
          <w:szCs w:val="24"/>
        </w:rPr>
      </w:pPr>
      <w:r w:rsidRPr="00CA780B">
        <w:rPr>
          <w:i/>
          <w:iCs/>
          <w:szCs w:val="24"/>
        </w:rPr>
        <w:t xml:space="preserve"> </w:t>
      </w:r>
    </w:p>
    <w:p w14:paraId="7B996EBE" w14:textId="791C4BE8" w:rsidR="00AE0C93" w:rsidRPr="00CA780B" w:rsidRDefault="00AE0C93" w:rsidP="00784A50">
      <w:pPr>
        <w:pStyle w:val="ListParagraph"/>
        <w:numPr>
          <w:ilvl w:val="0"/>
          <w:numId w:val="8"/>
        </w:numPr>
        <w:jc w:val="both"/>
        <w:rPr>
          <w:i/>
          <w:iCs/>
          <w:szCs w:val="24"/>
        </w:rPr>
      </w:pPr>
      <w:r w:rsidRPr="00CA780B">
        <w:rPr>
          <w:i/>
          <w:iCs/>
          <w:szCs w:val="24"/>
        </w:rPr>
        <w:t>Provide a certification of compliance with the STO Investment Policy Statement and Nevada Revised Statutes.</w:t>
      </w:r>
    </w:p>
    <w:p w14:paraId="483A62F0" w14:textId="77777777" w:rsidR="00AE0C93" w:rsidRPr="00CA780B" w:rsidRDefault="00AE0C93" w:rsidP="00AE0C93">
      <w:pPr>
        <w:ind w:left="810" w:hanging="810"/>
        <w:jc w:val="both"/>
        <w:rPr>
          <w:i/>
          <w:iCs/>
          <w:szCs w:val="24"/>
        </w:rPr>
      </w:pPr>
    </w:p>
    <w:p w14:paraId="02F26B08" w14:textId="66075DFB" w:rsidR="00AE0C93" w:rsidRPr="00CA780B" w:rsidRDefault="00784A50" w:rsidP="00AE0C93">
      <w:pPr>
        <w:ind w:left="810" w:hanging="810"/>
        <w:jc w:val="both"/>
        <w:rPr>
          <w:i/>
          <w:iCs/>
          <w:szCs w:val="24"/>
        </w:rPr>
      </w:pPr>
      <w:r w:rsidRPr="00CA780B">
        <w:rPr>
          <w:i/>
          <w:iCs/>
          <w:szCs w:val="24"/>
        </w:rPr>
        <w:t>3.14.7</w:t>
      </w:r>
      <w:r w:rsidR="00AE0C93" w:rsidRPr="00CA780B">
        <w:rPr>
          <w:i/>
          <w:iCs/>
          <w:szCs w:val="24"/>
        </w:rPr>
        <w:tab/>
        <w:t>Annually:</w:t>
      </w:r>
    </w:p>
    <w:p w14:paraId="2900BD37" w14:textId="77777777" w:rsidR="00AE0C93" w:rsidRPr="00CA780B" w:rsidRDefault="00AE0C93" w:rsidP="00AE0C93">
      <w:pPr>
        <w:ind w:left="810" w:hanging="810"/>
        <w:jc w:val="both"/>
        <w:rPr>
          <w:i/>
          <w:iCs/>
          <w:szCs w:val="24"/>
        </w:rPr>
      </w:pPr>
    </w:p>
    <w:p w14:paraId="1C67C060" w14:textId="51F13059" w:rsidR="00AE0C93" w:rsidRPr="00CA780B" w:rsidRDefault="00AE0C93" w:rsidP="00784A50">
      <w:pPr>
        <w:pStyle w:val="ListParagraph"/>
        <w:numPr>
          <w:ilvl w:val="0"/>
          <w:numId w:val="9"/>
        </w:numPr>
        <w:jc w:val="both"/>
        <w:rPr>
          <w:i/>
          <w:iCs/>
          <w:szCs w:val="24"/>
        </w:rPr>
      </w:pPr>
      <w:r w:rsidRPr="00CA780B">
        <w:rPr>
          <w:i/>
          <w:iCs/>
          <w:szCs w:val="24"/>
        </w:rPr>
        <w:t>Respond to inquiries from internal and external auditors to assist STO in the completion of the State’s Comprehensive Annual Financial Report.</w:t>
      </w:r>
    </w:p>
    <w:p w14:paraId="534BE1BD" w14:textId="77777777" w:rsidR="00AE0C93" w:rsidRPr="00CA780B" w:rsidRDefault="00AE0C93" w:rsidP="00AE0C93">
      <w:pPr>
        <w:ind w:left="810" w:hanging="810"/>
        <w:jc w:val="both"/>
        <w:rPr>
          <w:i/>
          <w:iCs/>
          <w:szCs w:val="24"/>
        </w:rPr>
      </w:pPr>
    </w:p>
    <w:p w14:paraId="211FF8B6" w14:textId="371350B7" w:rsidR="00AE0C93" w:rsidRPr="00CA780B" w:rsidRDefault="00AE0C93" w:rsidP="00784A50">
      <w:pPr>
        <w:pStyle w:val="ListParagraph"/>
        <w:numPr>
          <w:ilvl w:val="0"/>
          <w:numId w:val="9"/>
        </w:numPr>
        <w:jc w:val="both"/>
        <w:rPr>
          <w:i/>
          <w:iCs/>
          <w:szCs w:val="24"/>
        </w:rPr>
      </w:pPr>
      <w:r w:rsidRPr="00CA780B">
        <w:rPr>
          <w:i/>
          <w:iCs/>
          <w:szCs w:val="24"/>
        </w:rPr>
        <w:t>Assist the State Treasurer with any necessary investment policy changes including asset allocation changes.</w:t>
      </w:r>
    </w:p>
    <w:p w14:paraId="62952AEB" w14:textId="77777777" w:rsidR="00AE0C93" w:rsidRPr="00CA780B" w:rsidRDefault="00AE0C93" w:rsidP="00AE0C93">
      <w:pPr>
        <w:ind w:left="810" w:hanging="810"/>
        <w:jc w:val="both"/>
        <w:rPr>
          <w:i/>
          <w:iCs/>
          <w:szCs w:val="24"/>
        </w:rPr>
      </w:pPr>
    </w:p>
    <w:p w14:paraId="0F9C5A2F" w14:textId="3DDA1E47" w:rsidR="00AE0C93" w:rsidRPr="00CA780B" w:rsidRDefault="00AE0C93" w:rsidP="00784A50">
      <w:pPr>
        <w:pStyle w:val="ListParagraph"/>
        <w:numPr>
          <w:ilvl w:val="0"/>
          <w:numId w:val="9"/>
        </w:numPr>
        <w:jc w:val="both"/>
        <w:rPr>
          <w:i/>
          <w:iCs/>
          <w:szCs w:val="24"/>
        </w:rPr>
      </w:pPr>
      <w:r w:rsidRPr="00CA780B">
        <w:rPr>
          <w:i/>
          <w:iCs/>
          <w:szCs w:val="24"/>
        </w:rPr>
        <w:t>Provide a list of approved broker/dealers (annually and when changes occur).</w:t>
      </w:r>
    </w:p>
    <w:p w14:paraId="7C3C6442" w14:textId="77777777" w:rsidR="00AE0C93" w:rsidRPr="00CA780B" w:rsidRDefault="00AE0C93" w:rsidP="00AE0C93">
      <w:pPr>
        <w:ind w:left="810" w:hanging="810"/>
        <w:jc w:val="both"/>
        <w:rPr>
          <w:i/>
          <w:iCs/>
          <w:szCs w:val="24"/>
        </w:rPr>
      </w:pPr>
    </w:p>
    <w:p w14:paraId="33DF381B" w14:textId="013AC5C7" w:rsidR="00AE0C93" w:rsidRPr="00CA780B" w:rsidRDefault="00AE0C93" w:rsidP="00784A50">
      <w:pPr>
        <w:pStyle w:val="ListParagraph"/>
        <w:numPr>
          <w:ilvl w:val="0"/>
          <w:numId w:val="9"/>
        </w:numPr>
        <w:jc w:val="both"/>
        <w:rPr>
          <w:i/>
          <w:iCs/>
          <w:szCs w:val="24"/>
        </w:rPr>
      </w:pPr>
      <w:r w:rsidRPr="00CA780B">
        <w:rPr>
          <w:i/>
          <w:iCs/>
          <w:szCs w:val="24"/>
        </w:rPr>
        <w:t>Provide most recent SEC Form ADV Part 2.</w:t>
      </w:r>
    </w:p>
    <w:p w14:paraId="15782EAA" w14:textId="77777777" w:rsidR="00AE0C93" w:rsidRPr="00CA780B" w:rsidRDefault="00AE0C93" w:rsidP="00AE0C93">
      <w:pPr>
        <w:ind w:left="810" w:hanging="810"/>
        <w:jc w:val="both"/>
        <w:rPr>
          <w:i/>
          <w:iCs/>
          <w:szCs w:val="24"/>
        </w:rPr>
      </w:pPr>
    </w:p>
    <w:p w14:paraId="3EA2F4D8" w14:textId="2FBED10C" w:rsidR="00AE0C93" w:rsidRPr="00CA780B" w:rsidRDefault="00784A50" w:rsidP="00AE0C93">
      <w:pPr>
        <w:ind w:left="810" w:hanging="810"/>
        <w:jc w:val="both"/>
        <w:rPr>
          <w:i/>
          <w:iCs/>
          <w:szCs w:val="24"/>
        </w:rPr>
      </w:pPr>
      <w:r w:rsidRPr="00CA780B">
        <w:rPr>
          <w:i/>
          <w:iCs/>
          <w:szCs w:val="24"/>
        </w:rPr>
        <w:t>3.14.8</w:t>
      </w:r>
      <w:r w:rsidR="00AE0C93" w:rsidRPr="00CA780B">
        <w:rPr>
          <w:i/>
          <w:iCs/>
          <w:szCs w:val="24"/>
        </w:rPr>
        <w:tab/>
        <w:t>Ad Hoc:</w:t>
      </w:r>
    </w:p>
    <w:p w14:paraId="0C97C815" w14:textId="77777777" w:rsidR="00AE0C93" w:rsidRPr="00CA780B" w:rsidRDefault="00AE0C93" w:rsidP="00AE0C93">
      <w:pPr>
        <w:ind w:left="810" w:hanging="810"/>
        <w:jc w:val="both"/>
        <w:rPr>
          <w:i/>
          <w:iCs/>
          <w:szCs w:val="24"/>
        </w:rPr>
      </w:pPr>
    </w:p>
    <w:p w14:paraId="35E3774A" w14:textId="69E5356D" w:rsidR="00AE0C93" w:rsidRPr="00CA780B" w:rsidRDefault="00AE0C93" w:rsidP="00784A50">
      <w:pPr>
        <w:pStyle w:val="ListParagraph"/>
        <w:numPr>
          <w:ilvl w:val="0"/>
          <w:numId w:val="10"/>
        </w:numPr>
        <w:jc w:val="both"/>
        <w:rPr>
          <w:i/>
          <w:iCs/>
          <w:szCs w:val="24"/>
        </w:rPr>
      </w:pPr>
      <w:r w:rsidRPr="00CA780B">
        <w:rPr>
          <w:i/>
          <w:iCs/>
          <w:szCs w:val="24"/>
        </w:rPr>
        <w:t>Serve as a general resource to STO staff for information and training.</w:t>
      </w:r>
    </w:p>
    <w:p w14:paraId="72642B6B" w14:textId="77777777" w:rsidR="00AE0C93" w:rsidRPr="00CA780B" w:rsidRDefault="00AE0C93" w:rsidP="00AE0C93">
      <w:pPr>
        <w:ind w:left="810" w:hanging="810"/>
        <w:jc w:val="both"/>
        <w:rPr>
          <w:i/>
          <w:iCs/>
          <w:szCs w:val="24"/>
        </w:rPr>
      </w:pPr>
      <w:r w:rsidRPr="00CA780B">
        <w:rPr>
          <w:i/>
          <w:iCs/>
          <w:szCs w:val="24"/>
        </w:rPr>
        <w:t xml:space="preserve"> </w:t>
      </w:r>
    </w:p>
    <w:p w14:paraId="07E2AA66" w14:textId="18F32F00" w:rsidR="00AE0C93" w:rsidRPr="00CA780B" w:rsidRDefault="00AE0C93" w:rsidP="00784A50">
      <w:pPr>
        <w:pStyle w:val="ListParagraph"/>
        <w:numPr>
          <w:ilvl w:val="0"/>
          <w:numId w:val="10"/>
        </w:numPr>
        <w:jc w:val="both"/>
        <w:rPr>
          <w:i/>
          <w:iCs/>
          <w:szCs w:val="24"/>
        </w:rPr>
      </w:pPr>
      <w:r w:rsidRPr="00CA780B">
        <w:rPr>
          <w:i/>
          <w:iCs/>
          <w:szCs w:val="24"/>
        </w:rPr>
        <w:t>Prepare special analyses and reports as requested by STO.</w:t>
      </w:r>
    </w:p>
    <w:p w14:paraId="1DAFCEB8" w14:textId="77777777" w:rsidR="00AE0C93" w:rsidRPr="00CA780B" w:rsidRDefault="00AE0C93" w:rsidP="00AE0C93">
      <w:pPr>
        <w:ind w:left="810" w:hanging="810"/>
        <w:jc w:val="both"/>
        <w:rPr>
          <w:i/>
          <w:iCs/>
          <w:szCs w:val="24"/>
        </w:rPr>
      </w:pPr>
    </w:p>
    <w:p w14:paraId="7C9A1D24" w14:textId="287524A5" w:rsidR="00AE0C93" w:rsidRPr="00CA780B" w:rsidRDefault="00AE0C93" w:rsidP="00784A50">
      <w:pPr>
        <w:pStyle w:val="ListParagraph"/>
        <w:numPr>
          <w:ilvl w:val="0"/>
          <w:numId w:val="10"/>
        </w:numPr>
        <w:jc w:val="both"/>
        <w:rPr>
          <w:i/>
          <w:iCs/>
          <w:szCs w:val="24"/>
        </w:rPr>
      </w:pPr>
      <w:r w:rsidRPr="00CA780B">
        <w:rPr>
          <w:i/>
          <w:iCs/>
          <w:szCs w:val="24"/>
        </w:rPr>
        <w:t>Work with the Plan’s investment consultant, as requested by STO.</w:t>
      </w:r>
    </w:p>
    <w:p w14:paraId="3F5CE60A" w14:textId="77777777" w:rsidR="00AE0C93" w:rsidRPr="00CA780B" w:rsidRDefault="00AE0C93" w:rsidP="00AE0C93">
      <w:pPr>
        <w:ind w:left="810" w:hanging="810"/>
        <w:jc w:val="both"/>
        <w:rPr>
          <w:i/>
          <w:iCs/>
          <w:szCs w:val="24"/>
        </w:rPr>
      </w:pPr>
    </w:p>
    <w:p w14:paraId="69F1E020" w14:textId="5EDB5E73" w:rsidR="00AE0C93" w:rsidRPr="00CA780B" w:rsidRDefault="00AE0C93" w:rsidP="00784A50">
      <w:pPr>
        <w:pStyle w:val="ListParagraph"/>
        <w:numPr>
          <w:ilvl w:val="0"/>
          <w:numId w:val="10"/>
        </w:numPr>
        <w:jc w:val="both"/>
        <w:rPr>
          <w:i/>
          <w:iCs/>
          <w:szCs w:val="24"/>
        </w:rPr>
      </w:pPr>
      <w:r w:rsidRPr="00CA780B">
        <w:rPr>
          <w:i/>
          <w:iCs/>
          <w:szCs w:val="24"/>
        </w:rPr>
        <w:t xml:space="preserve">Be prepared to attend the College Savings Board meetings as requested.   </w:t>
      </w:r>
    </w:p>
    <w:p w14:paraId="1704C78A" w14:textId="77777777" w:rsidR="00AE0C93" w:rsidRDefault="00AE0C93" w:rsidP="008A29B2">
      <w:pPr>
        <w:ind w:left="810" w:hanging="810"/>
        <w:jc w:val="both"/>
        <w:rPr>
          <w:szCs w:val="24"/>
        </w:rPr>
      </w:pPr>
    </w:p>
    <w:p w14:paraId="1B4ABC7F" w14:textId="292739A9" w:rsidR="008A29B2" w:rsidRDefault="00AE0C93" w:rsidP="008A29B2">
      <w:pPr>
        <w:ind w:left="810" w:hanging="810"/>
        <w:jc w:val="both"/>
        <w:rPr>
          <w:szCs w:val="24"/>
        </w:rPr>
      </w:pPr>
      <w:r>
        <w:rPr>
          <w:szCs w:val="24"/>
        </w:rPr>
        <w:t xml:space="preserve"> </w:t>
      </w:r>
    </w:p>
    <w:p w14:paraId="61509D3A" w14:textId="5CB2F38F" w:rsidR="00D918BD" w:rsidRDefault="007745CA" w:rsidP="008A29B2">
      <w:pPr>
        <w:ind w:left="810" w:hanging="810"/>
        <w:jc w:val="both"/>
        <w:rPr>
          <w:szCs w:val="24"/>
        </w:rPr>
      </w:pPr>
      <w:r>
        <w:rPr>
          <w:szCs w:val="24"/>
        </w:rPr>
        <w:object w:dxaOrig="1539" w:dyaOrig="997" w14:anchorId="1BE402E4">
          <v:shape id="_x0000_i1026" type="#_x0000_t75" style="width:76.5pt;height:49.5pt" o:ole="">
            <v:imagedata r:id="rId10" o:title=""/>
          </v:shape>
          <o:OLEObject Type="Embed" ProgID="Excel.Sheet.12" ShapeID="_x0000_i1026" DrawAspect="Icon" ObjectID="_1769511451" r:id="rId11"/>
        </w:object>
      </w:r>
      <w:r w:rsidR="00F85F48">
        <w:rPr>
          <w:szCs w:val="24"/>
        </w:rPr>
        <w:tab/>
      </w:r>
      <w:r>
        <w:rPr>
          <w:szCs w:val="24"/>
        </w:rPr>
        <w:object w:dxaOrig="1539" w:dyaOrig="997" w14:anchorId="5E019F5A">
          <v:shape id="_x0000_i1027" type="#_x0000_t75" style="width:76.5pt;height:49.5pt" o:ole="">
            <v:imagedata r:id="rId12" o:title=""/>
          </v:shape>
          <o:OLEObject Type="Embed" ProgID="Acrobat.Document.DC" ShapeID="_x0000_i1027" DrawAspect="Icon" ObjectID="_1769511452" r:id="rId13"/>
        </w:object>
      </w:r>
      <w:r w:rsidR="00F85F48">
        <w:rPr>
          <w:szCs w:val="24"/>
        </w:rPr>
        <w:tab/>
      </w:r>
      <w:r w:rsidR="002C2D0B">
        <w:rPr>
          <w:szCs w:val="24"/>
        </w:rPr>
        <w:object w:dxaOrig="1539" w:dyaOrig="997" w14:anchorId="624159AF">
          <v:shape id="_x0000_i1033" type="#_x0000_t75" style="width:76.5pt;height:49.5pt" o:ole="">
            <v:imagedata r:id="rId14" o:title=""/>
          </v:shape>
          <o:OLEObject Type="Embed" ProgID="Excel.Sheet.12" ShapeID="_x0000_i1033" DrawAspect="Icon" ObjectID="_1769511453" r:id="rId15"/>
        </w:object>
      </w:r>
      <w:r w:rsidR="00A1416C">
        <w:rPr>
          <w:szCs w:val="24"/>
        </w:rPr>
        <w:object w:dxaOrig="1539" w:dyaOrig="997" w14:anchorId="7207E4AC">
          <v:shape id="_x0000_i1031" type="#_x0000_t75" style="width:77.25pt;height:49.5pt" o:ole="">
            <v:imagedata r:id="rId16" o:title=""/>
          </v:shape>
          <o:OLEObject Type="Embed" ProgID="Excel.Sheet.8" ShapeID="_x0000_i1031" DrawAspect="Icon" ObjectID="_1769511454" r:id="rId17"/>
        </w:object>
      </w:r>
    </w:p>
    <w:p w14:paraId="2782B4A3" w14:textId="77777777" w:rsidR="00A1416C" w:rsidRDefault="00A1416C" w:rsidP="008A29B2">
      <w:pPr>
        <w:ind w:left="810" w:hanging="810"/>
        <w:jc w:val="both"/>
        <w:rPr>
          <w:szCs w:val="24"/>
        </w:rPr>
      </w:pPr>
    </w:p>
    <w:p w14:paraId="1637F42D" w14:textId="790DB5C5" w:rsidR="00090603" w:rsidRDefault="00090603" w:rsidP="00090603">
      <w:pPr>
        <w:jc w:val="both"/>
        <w:rPr>
          <w:b/>
          <w:i/>
          <w:sz w:val="28"/>
          <w:u w:val="single"/>
        </w:rPr>
      </w:pPr>
      <w:r>
        <w:rPr>
          <w:b/>
          <w:i/>
          <w:sz w:val="28"/>
          <w:u w:val="single"/>
        </w:rPr>
        <w:t xml:space="preserve">ALL ELSE REMAINS THE SAME FOR RFP </w:t>
      </w:r>
      <w:r w:rsidR="008A29B2">
        <w:rPr>
          <w:b/>
          <w:i/>
          <w:sz w:val="28"/>
          <w:u w:val="single"/>
        </w:rPr>
        <w:t>05TO-S2659</w:t>
      </w:r>
      <w:r>
        <w:rPr>
          <w:b/>
          <w:i/>
          <w:sz w:val="28"/>
          <w:u w:val="single"/>
        </w:rPr>
        <w:t>.</w:t>
      </w:r>
    </w:p>
    <w:p w14:paraId="252B6240" w14:textId="77777777" w:rsidR="000C7943" w:rsidRDefault="000C7943" w:rsidP="00275592">
      <w:pPr>
        <w:jc w:val="both"/>
      </w:pPr>
    </w:p>
    <w:p w14:paraId="0C6506E6" w14:textId="77777777" w:rsidR="00090603" w:rsidRPr="000C7943" w:rsidRDefault="00090603" w:rsidP="00090603">
      <w:pPr>
        <w:rPr>
          <w:b/>
          <w:i/>
        </w:rPr>
      </w:pPr>
      <w:r w:rsidRPr="000C7943">
        <w:rPr>
          <w:b/>
          <w:i/>
        </w:rPr>
        <w:t xml:space="preserve">Vendor </w:t>
      </w:r>
      <w:r w:rsidR="000C7943" w:rsidRPr="000C7943">
        <w:rPr>
          <w:b/>
          <w:i/>
        </w:rPr>
        <w:t>must</w:t>
      </w:r>
      <w:r w:rsidRPr="000C7943">
        <w:rPr>
          <w:b/>
          <w:i/>
        </w:rPr>
        <w:t xml:space="preserve"> sign and return this amendment with proposal submitted.</w:t>
      </w:r>
    </w:p>
    <w:p w14:paraId="05B4E6F4" w14:textId="080CD0EC" w:rsidR="004946CA" w:rsidRPr="00A1416C" w:rsidRDefault="004946CA" w:rsidP="00090603">
      <w:pPr>
        <w:rPr>
          <w:sz w:val="12"/>
          <w:szCs w:val="12"/>
        </w:rPr>
      </w:pPr>
    </w:p>
    <w:p w14:paraId="6EB79CA3" w14:textId="77777777" w:rsidR="004946CA" w:rsidRPr="00A1416C" w:rsidRDefault="004946CA" w:rsidP="00090603">
      <w:pPr>
        <w:rPr>
          <w:sz w:val="12"/>
          <w:szCs w:val="12"/>
        </w:rPr>
      </w:pPr>
    </w:p>
    <w:tbl>
      <w:tblPr>
        <w:tblW w:w="0" w:type="auto"/>
        <w:tblInd w:w="108" w:type="dxa"/>
        <w:tblLook w:val="04A0" w:firstRow="1" w:lastRow="0" w:firstColumn="1" w:lastColumn="0" w:noHBand="0" w:noVBand="1"/>
      </w:tblPr>
      <w:tblGrid>
        <w:gridCol w:w="2630"/>
        <w:gridCol w:w="4344"/>
        <w:gridCol w:w="736"/>
        <w:gridCol w:w="2118"/>
      </w:tblGrid>
      <w:tr w:rsidR="00090603" w:rsidRPr="00586025" w14:paraId="097980D1" w14:textId="77777777" w:rsidTr="00591FDE">
        <w:trPr>
          <w:trHeight w:val="432"/>
        </w:trPr>
        <w:tc>
          <w:tcPr>
            <w:tcW w:w="2659" w:type="dxa"/>
            <w:vAlign w:val="bottom"/>
          </w:tcPr>
          <w:p w14:paraId="441C130E" w14:textId="77777777" w:rsidR="00090603" w:rsidRPr="00586025" w:rsidRDefault="000C7943" w:rsidP="000C7943">
            <w:r>
              <w:t>Vendor Name:</w:t>
            </w:r>
          </w:p>
        </w:tc>
        <w:tc>
          <w:tcPr>
            <w:tcW w:w="7331" w:type="dxa"/>
            <w:gridSpan w:val="3"/>
            <w:tcBorders>
              <w:bottom w:val="single" w:sz="4" w:space="0" w:color="auto"/>
            </w:tcBorders>
            <w:vAlign w:val="bottom"/>
          </w:tcPr>
          <w:p w14:paraId="0413DFB3" w14:textId="77777777" w:rsidR="00090603" w:rsidRPr="00586025" w:rsidRDefault="00090603" w:rsidP="000C7943"/>
        </w:tc>
      </w:tr>
      <w:tr w:rsidR="00090603" w:rsidRPr="00586025" w14:paraId="5BB85B99" w14:textId="77777777" w:rsidTr="00591FDE">
        <w:trPr>
          <w:trHeight w:val="432"/>
        </w:trPr>
        <w:tc>
          <w:tcPr>
            <w:tcW w:w="2659" w:type="dxa"/>
            <w:vAlign w:val="bottom"/>
          </w:tcPr>
          <w:p w14:paraId="154F7A8A" w14:textId="77777777" w:rsidR="00090603" w:rsidRPr="00586025" w:rsidRDefault="000C7943" w:rsidP="000C7943">
            <w:r>
              <w:t>Authorized Signature:</w:t>
            </w:r>
          </w:p>
        </w:tc>
        <w:tc>
          <w:tcPr>
            <w:tcW w:w="7331" w:type="dxa"/>
            <w:gridSpan w:val="3"/>
            <w:tcBorders>
              <w:top w:val="single" w:sz="4" w:space="0" w:color="auto"/>
              <w:bottom w:val="single" w:sz="4" w:space="0" w:color="auto"/>
            </w:tcBorders>
            <w:vAlign w:val="bottom"/>
          </w:tcPr>
          <w:p w14:paraId="251CC4D8" w14:textId="77777777" w:rsidR="00090603" w:rsidRPr="00586025" w:rsidRDefault="00090603" w:rsidP="000C7943"/>
        </w:tc>
      </w:tr>
      <w:tr w:rsidR="00090603" w:rsidRPr="00586025" w14:paraId="523FF601" w14:textId="77777777" w:rsidTr="00591FDE">
        <w:trPr>
          <w:trHeight w:val="432"/>
        </w:trPr>
        <w:tc>
          <w:tcPr>
            <w:tcW w:w="2659" w:type="dxa"/>
            <w:vAlign w:val="bottom"/>
          </w:tcPr>
          <w:p w14:paraId="4A9EE136" w14:textId="77777777" w:rsidR="00090603" w:rsidRDefault="00090603" w:rsidP="000C7943">
            <w:r>
              <w:t>T</w:t>
            </w:r>
            <w:r w:rsidR="000C7943">
              <w:t>itle:</w:t>
            </w:r>
          </w:p>
        </w:tc>
        <w:tc>
          <w:tcPr>
            <w:tcW w:w="4435" w:type="dxa"/>
            <w:tcBorders>
              <w:top w:val="single" w:sz="4" w:space="0" w:color="auto"/>
              <w:bottom w:val="single" w:sz="4" w:space="0" w:color="auto"/>
            </w:tcBorders>
            <w:vAlign w:val="bottom"/>
          </w:tcPr>
          <w:p w14:paraId="4C32AC48" w14:textId="77777777" w:rsidR="00090603" w:rsidRPr="00586025" w:rsidRDefault="00090603" w:rsidP="000C7943"/>
        </w:tc>
        <w:tc>
          <w:tcPr>
            <w:tcW w:w="736" w:type="dxa"/>
            <w:tcBorders>
              <w:top w:val="single" w:sz="4" w:space="0" w:color="auto"/>
            </w:tcBorders>
            <w:vAlign w:val="bottom"/>
          </w:tcPr>
          <w:p w14:paraId="4F0833ED" w14:textId="77777777" w:rsidR="00090603" w:rsidRPr="008962AE" w:rsidRDefault="000C7943" w:rsidP="000C7943">
            <w:r>
              <w:t>Date:</w:t>
            </w:r>
          </w:p>
        </w:tc>
        <w:tc>
          <w:tcPr>
            <w:tcW w:w="2160" w:type="dxa"/>
            <w:tcBorders>
              <w:top w:val="single" w:sz="4" w:space="0" w:color="auto"/>
              <w:bottom w:val="single" w:sz="4" w:space="0" w:color="auto"/>
            </w:tcBorders>
            <w:vAlign w:val="bottom"/>
          </w:tcPr>
          <w:p w14:paraId="08BCE8E9" w14:textId="77777777" w:rsidR="00090603" w:rsidRPr="00586025" w:rsidRDefault="00090603" w:rsidP="000C7943"/>
        </w:tc>
      </w:tr>
    </w:tbl>
    <w:p w14:paraId="37F45D45" w14:textId="77777777" w:rsidR="008962AE" w:rsidRDefault="008962AE"/>
    <w:p w14:paraId="34AAE11B" w14:textId="77777777" w:rsidR="008962AE" w:rsidRDefault="008962AE"/>
    <w:tbl>
      <w:tblPr>
        <w:tblStyle w:val="TableGrid"/>
        <w:tblW w:w="0" w:type="auto"/>
        <w:tblInd w:w="2448" w:type="dxa"/>
        <w:tblLook w:val="04A0" w:firstRow="1" w:lastRow="0" w:firstColumn="1" w:lastColumn="0" w:noHBand="0" w:noVBand="1"/>
      </w:tblPr>
      <w:tblGrid>
        <w:gridCol w:w="4950"/>
      </w:tblGrid>
      <w:tr w:rsidR="008962AE" w14:paraId="51A02238" w14:textId="77777777" w:rsidTr="008962AE">
        <w:trPr>
          <w:trHeight w:val="629"/>
        </w:trPr>
        <w:tc>
          <w:tcPr>
            <w:tcW w:w="4950" w:type="dxa"/>
            <w:vAlign w:val="center"/>
          </w:tcPr>
          <w:p w14:paraId="1A8A95C3" w14:textId="77777777" w:rsidR="008962AE" w:rsidRPr="00275592" w:rsidRDefault="008962AE" w:rsidP="00060928">
            <w:pPr>
              <w:jc w:val="center"/>
              <w:rPr>
                <w:b/>
                <w:i/>
                <w:sz w:val="20"/>
              </w:rPr>
            </w:pPr>
            <w:r w:rsidRPr="00275592">
              <w:rPr>
                <w:b/>
                <w:i/>
                <w:sz w:val="20"/>
              </w:rPr>
              <w:t>This document must be submitted in the “State Documents” section of vendors’ technical proposal.</w:t>
            </w:r>
          </w:p>
        </w:tc>
      </w:tr>
    </w:tbl>
    <w:p w14:paraId="074DAA05" w14:textId="77777777" w:rsidR="00333235" w:rsidRDefault="00333235"/>
    <w:sectPr w:rsidR="00333235" w:rsidSect="00B561AA">
      <w:footerReference w:type="default" r:id="rId18"/>
      <w:pgSz w:w="12240" w:h="15840"/>
      <w:pgMar w:top="720" w:right="1152" w:bottom="720" w:left="1152"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3548" w14:textId="77777777" w:rsidR="00B561AA" w:rsidRDefault="00B561AA" w:rsidP="0047674B">
      <w:r>
        <w:separator/>
      </w:r>
    </w:p>
  </w:endnote>
  <w:endnote w:type="continuationSeparator" w:id="0">
    <w:p w14:paraId="5875168C" w14:textId="77777777" w:rsidR="00B561AA" w:rsidRDefault="00B561AA" w:rsidP="0047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1293" w14:textId="7A9DB3EB" w:rsidR="008962AE" w:rsidRPr="008962AE" w:rsidRDefault="008962AE" w:rsidP="0047674B">
    <w:pPr>
      <w:pStyle w:val="Footer"/>
      <w:pBdr>
        <w:top w:val="single" w:sz="4" w:space="1" w:color="auto"/>
      </w:pBdr>
      <w:tabs>
        <w:tab w:val="center" w:pos="4500"/>
      </w:tabs>
      <w:ind w:right="-180"/>
      <w:rPr>
        <w:sz w:val="20"/>
      </w:rPr>
    </w:pPr>
    <w:r w:rsidRPr="008962AE">
      <w:rPr>
        <w:i/>
        <w:sz w:val="20"/>
      </w:rPr>
      <w:t>Amendment</w:t>
    </w:r>
    <w:r w:rsidR="004946CA">
      <w:rPr>
        <w:i/>
        <w:sz w:val="20"/>
      </w:rPr>
      <w:t xml:space="preserve"> #</w:t>
    </w:r>
    <w:r w:rsidRPr="008962AE">
      <w:rPr>
        <w:i/>
        <w:sz w:val="20"/>
      </w:rPr>
      <w:t xml:space="preserve"> </w:t>
    </w:r>
    <w:r w:rsidR="00BF218F">
      <w:rPr>
        <w:i/>
        <w:sz w:val="20"/>
      </w:rPr>
      <w:t>1</w:t>
    </w:r>
    <w:r w:rsidRPr="008962AE">
      <w:rPr>
        <w:i/>
        <w:sz w:val="20"/>
      </w:rPr>
      <w:tab/>
      <w:t>RFP</w:t>
    </w:r>
    <w:r w:rsidR="004946CA">
      <w:rPr>
        <w:i/>
        <w:sz w:val="20"/>
      </w:rPr>
      <w:t xml:space="preserve"> #</w:t>
    </w:r>
    <w:r w:rsidRPr="008962AE">
      <w:rPr>
        <w:i/>
        <w:sz w:val="20"/>
      </w:rPr>
      <w:t xml:space="preserve"> </w:t>
    </w:r>
    <w:r w:rsidR="00C07F69">
      <w:rPr>
        <w:i/>
        <w:sz w:val="20"/>
      </w:rPr>
      <w:t>05TO-S2659</w:t>
    </w:r>
    <w:r w:rsidRPr="008962AE">
      <w:rPr>
        <w:i/>
        <w:sz w:val="20"/>
      </w:rPr>
      <w:tab/>
      <w:t xml:space="preserve">Page </w:t>
    </w:r>
    <w:r w:rsidRPr="008962AE">
      <w:rPr>
        <w:i/>
        <w:sz w:val="20"/>
      </w:rPr>
      <w:fldChar w:fldCharType="begin"/>
    </w:r>
    <w:r w:rsidRPr="008962AE">
      <w:rPr>
        <w:i/>
        <w:sz w:val="20"/>
      </w:rPr>
      <w:instrText xml:space="preserve"> PAGE </w:instrText>
    </w:r>
    <w:r w:rsidRPr="008962AE">
      <w:rPr>
        <w:i/>
        <w:sz w:val="20"/>
      </w:rPr>
      <w:fldChar w:fldCharType="separate"/>
    </w:r>
    <w:r w:rsidR="00060928">
      <w:rPr>
        <w:i/>
        <w:noProof/>
        <w:sz w:val="20"/>
      </w:rPr>
      <w:t>1</w:t>
    </w:r>
    <w:r w:rsidRPr="008962AE">
      <w:rPr>
        <w:i/>
        <w:sz w:val="20"/>
      </w:rPr>
      <w:fldChar w:fldCharType="end"/>
    </w:r>
    <w:r w:rsidRPr="008962AE">
      <w:rPr>
        <w:i/>
        <w:sz w:val="20"/>
      </w:rPr>
      <w:t xml:space="preserve"> of </w:t>
    </w:r>
    <w:r w:rsidRPr="008962AE">
      <w:rPr>
        <w:i/>
        <w:sz w:val="20"/>
      </w:rPr>
      <w:fldChar w:fldCharType="begin"/>
    </w:r>
    <w:r w:rsidRPr="008962AE">
      <w:rPr>
        <w:i/>
        <w:sz w:val="20"/>
      </w:rPr>
      <w:instrText xml:space="preserve"> NUMPAGES  </w:instrText>
    </w:r>
    <w:r w:rsidRPr="008962AE">
      <w:rPr>
        <w:i/>
        <w:sz w:val="20"/>
      </w:rPr>
      <w:fldChar w:fldCharType="separate"/>
    </w:r>
    <w:r w:rsidR="00060928">
      <w:rPr>
        <w:i/>
        <w:noProof/>
        <w:sz w:val="20"/>
      </w:rPr>
      <w:t>1</w:t>
    </w:r>
    <w:r w:rsidRPr="008962AE">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EC87" w14:textId="77777777" w:rsidR="00B561AA" w:rsidRDefault="00B561AA" w:rsidP="0047674B">
      <w:r>
        <w:separator/>
      </w:r>
    </w:p>
  </w:footnote>
  <w:footnote w:type="continuationSeparator" w:id="0">
    <w:p w14:paraId="66A68526" w14:textId="77777777" w:rsidR="00B561AA" w:rsidRDefault="00B561AA" w:rsidP="00476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56BD"/>
    <w:multiLevelType w:val="hybridMultilevel"/>
    <w:tmpl w:val="AF7CA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11016"/>
    <w:multiLevelType w:val="hybridMultilevel"/>
    <w:tmpl w:val="4ABED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6447E"/>
    <w:multiLevelType w:val="hybridMultilevel"/>
    <w:tmpl w:val="6D1AD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23D59"/>
    <w:multiLevelType w:val="hybridMultilevel"/>
    <w:tmpl w:val="06E6FBB4"/>
    <w:lvl w:ilvl="0" w:tplc="EC2253D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6E6374"/>
    <w:multiLevelType w:val="hybridMultilevel"/>
    <w:tmpl w:val="FBBC0A9A"/>
    <w:lvl w:ilvl="0" w:tplc="7F94B1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7107F"/>
    <w:multiLevelType w:val="hybridMultilevel"/>
    <w:tmpl w:val="9C304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148F6"/>
    <w:multiLevelType w:val="hybridMultilevel"/>
    <w:tmpl w:val="C4B281BE"/>
    <w:lvl w:ilvl="0" w:tplc="88DE35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A01D8"/>
    <w:multiLevelType w:val="hybridMultilevel"/>
    <w:tmpl w:val="F31A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94E85"/>
    <w:multiLevelType w:val="hybridMultilevel"/>
    <w:tmpl w:val="2C80B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C4EC6"/>
    <w:multiLevelType w:val="hybridMultilevel"/>
    <w:tmpl w:val="2774008C"/>
    <w:lvl w:ilvl="0" w:tplc="5C780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7615880">
    <w:abstractNumId w:val="3"/>
  </w:num>
  <w:num w:numId="2" w16cid:durableId="61415477">
    <w:abstractNumId w:val="7"/>
  </w:num>
  <w:num w:numId="3" w16cid:durableId="289283028">
    <w:abstractNumId w:val="6"/>
  </w:num>
  <w:num w:numId="4" w16cid:durableId="87310318">
    <w:abstractNumId w:val="4"/>
  </w:num>
  <w:num w:numId="5" w16cid:durableId="1012411715">
    <w:abstractNumId w:val="8"/>
  </w:num>
  <w:num w:numId="6" w16cid:durableId="456071467">
    <w:abstractNumId w:val="9"/>
  </w:num>
  <w:num w:numId="7" w16cid:durableId="1291786983">
    <w:abstractNumId w:val="2"/>
  </w:num>
  <w:num w:numId="8" w16cid:durableId="1406492245">
    <w:abstractNumId w:val="1"/>
  </w:num>
  <w:num w:numId="9" w16cid:durableId="1718358392">
    <w:abstractNumId w:val="0"/>
  </w:num>
  <w:num w:numId="10" w16cid:durableId="906262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4B"/>
    <w:rsid w:val="00022061"/>
    <w:rsid w:val="000278AF"/>
    <w:rsid w:val="0003151C"/>
    <w:rsid w:val="00051CCD"/>
    <w:rsid w:val="00060928"/>
    <w:rsid w:val="00062FAE"/>
    <w:rsid w:val="00090603"/>
    <w:rsid w:val="000C7943"/>
    <w:rsid w:val="001B3E19"/>
    <w:rsid w:val="0020427D"/>
    <w:rsid w:val="00221600"/>
    <w:rsid w:val="00240844"/>
    <w:rsid w:val="00275592"/>
    <w:rsid w:val="00277850"/>
    <w:rsid w:val="002B2F93"/>
    <w:rsid w:val="002C2D0B"/>
    <w:rsid w:val="002F7316"/>
    <w:rsid w:val="00300D74"/>
    <w:rsid w:val="0033197D"/>
    <w:rsid w:val="00333235"/>
    <w:rsid w:val="00361852"/>
    <w:rsid w:val="0047674B"/>
    <w:rsid w:val="00490FE7"/>
    <w:rsid w:val="004946CA"/>
    <w:rsid w:val="004D2557"/>
    <w:rsid w:val="004E120A"/>
    <w:rsid w:val="00591FDE"/>
    <w:rsid w:val="00677A19"/>
    <w:rsid w:val="00720846"/>
    <w:rsid w:val="007317F4"/>
    <w:rsid w:val="007362EB"/>
    <w:rsid w:val="0075049E"/>
    <w:rsid w:val="007745CA"/>
    <w:rsid w:val="00784A50"/>
    <w:rsid w:val="007A3566"/>
    <w:rsid w:val="00800F25"/>
    <w:rsid w:val="0083513E"/>
    <w:rsid w:val="00857709"/>
    <w:rsid w:val="00866B15"/>
    <w:rsid w:val="00895A4A"/>
    <w:rsid w:val="008962AE"/>
    <w:rsid w:val="008A29B2"/>
    <w:rsid w:val="008B4FAD"/>
    <w:rsid w:val="008B6DF8"/>
    <w:rsid w:val="008D3447"/>
    <w:rsid w:val="00910D47"/>
    <w:rsid w:val="00913D8D"/>
    <w:rsid w:val="00953B41"/>
    <w:rsid w:val="009A1A9D"/>
    <w:rsid w:val="009D52CF"/>
    <w:rsid w:val="009F4206"/>
    <w:rsid w:val="00A1416C"/>
    <w:rsid w:val="00A50083"/>
    <w:rsid w:val="00A92AEC"/>
    <w:rsid w:val="00AE0C93"/>
    <w:rsid w:val="00B26E78"/>
    <w:rsid w:val="00B561AA"/>
    <w:rsid w:val="00BF218F"/>
    <w:rsid w:val="00BF7E73"/>
    <w:rsid w:val="00C06CC3"/>
    <w:rsid w:val="00C07F69"/>
    <w:rsid w:val="00C20BCB"/>
    <w:rsid w:val="00C90328"/>
    <w:rsid w:val="00CA780B"/>
    <w:rsid w:val="00CD74C1"/>
    <w:rsid w:val="00D64D60"/>
    <w:rsid w:val="00D74E8D"/>
    <w:rsid w:val="00D918BD"/>
    <w:rsid w:val="00DA2AC8"/>
    <w:rsid w:val="00DC0676"/>
    <w:rsid w:val="00E373C2"/>
    <w:rsid w:val="00E44692"/>
    <w:rsid w:val="00F553FE"/>
    <w:rsid w:val="00F85F48"/>
    <w:rsid w:val="00F9344D"/>
    <w:rsid w:val="00F96F4E"/>
    <w:rsid w:val="00FE2FF0"/>
    <w:rsid w:val="00FE55B9"/>
    <w:rsid w:val="00FF2D61"/>
    <w:rsid w:val="00FF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026D81B"/>
  <w15:docId w15:val="{2D0AFBBA-6C46-4BF5-B6DF-A0D0C33B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F0"/>
    <w:rPr>
      <w:sz w:val="24"/>
    </w:rPr>
  </w:style>
  <w:style w:type="paragraph" w:styleId="Heading1">
    <w:name w:val="heading 1"/>
    <w:basedOn w:val="Normal"/>
    <w:next w:val="Normal"/>
    <w:link w:val="Heading1Char"/>
    <w:qFormat/>
    <w:rsid w:val="00F553FE"/>
    <w:pPr>
      <w:keepNext/>
      <w:outlineLvl w:val="0"/>
    </w:pPr>
  </w:style>
  <w:style w:type="paragraph" w:styleId="Heading2">
    <w:name w:val="heading 2"/>
    <w:basedOn w:val="Normal"/>
    <w:next w:val="Normal"/>
    <w:link w:val="Heading2Char"/>
    <w:qFormat/>
    <w:rsid w:val="00F553FE"/>
    <w:pPr>
      <w:keepNext/>
      <w:jc w:val="center"/>
      <w:outlineLvl w:val="1"/>
    </w:pPr>
  </w:style>
  <w:style w:type="paragraph" w:styleId="Heading3">
    <w:name w:val="heading 3"/>
    <w:basedOn w:val="Normal"/>
    <w:next w:val="Normal"/>
    <w:link w:val="Heading3Char"/>
    <w:qFormat/>
    <w:rsid w:val="00F553FE"/>
    <w:pPr>
      <w:keepNext/>
      <w:ind w:left="-1080"/>
      <w:outlineLvl w:val="2"/>
    </w:pPr>
  </w:style>
  <w:style w:type="paragraph" w:styleId="Heading4">
    <w:name w:val="heading 4"/>
    <w:basedOn w:val="Normal"/>
    <w:next w:val="Normal"/>
    <w:link w:val="Heading4Char"/>
    <w:semiHidden/>
    <w:unhideWhenUsed/>
    <w:qFormat/>
    <w:rsid w:val="00784A5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913D8D"/>
    <w:pPr>
      <w:spacing w:before="240" w:after="60"/>
      <w:outlineLvl w:val="4"/>
    </w:pPr>
    <w:rPr>
      <w:rFonts w:ascii="Calibri" w:hAnsi="Calibri"/>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D8D"/>
    <w:rPr>
      <w:sz w:val="24"/>
    </w:rPr>
  </w:style>
  <w:style w:type="character" w:customStyle="1" w:styleId="Heading2Char">
    <w:name w:val="Heading 2 Char"/>
    <w:basedOn w:val="DefaultParagraphFont"/>
    <w:link w:val="Heading2"/>
    <w:rsid w:val="00913D8D"/>
    <w:rPr>
      <w:b/>
      <w:sz w:val="24"/>
    </w:rPr>
  </w:style>
  <w:style w:type="character" w:customStyle="1" w:styleId="Heading3Char">
    <w:name w:val="Heading 3 Char"/>
    <w:basedOn w:val="DefaultParagraphFont"/>
    <w:link w:val="Heading3"/>
    <w:rsid w:val="00913D8D"/>
    <w:rPr>
      <w:sz w:val="24"/>
    </w:rPr>
  </w:style>
  <w:style w:type="character" w:customStyle="1" w:styleId="Heading5Char">
    <w:name w:val="Heading 5 Char"/>
    <w:basedOn w:val="DefaultParagraphFont"/>
    <w:link w:val="Heading5"/>
    <w:semiHidden/>
    <w:rsid w:val="00913D8D"/>
    <w:rPr>
      <w:rFonts w:ascii="Calibri" w:eastAsia="Times New Roman" w:hAnsi="Calibri" w:cs="Times New Roman"/>
      <w:b/>
      <w:bCs/>
      <w:i/>
      <w:iCs/>
      <w:sz w:val="26"/>
      <w:szCs w:val="26"/>
    </w:rPr>
  </w:style>
  <w:style w:type="paragraph" w:styleId="Title">
    <w:name w:val="Title"/>
    <w:basedOn w:val="Normal"/>
    <w:link w:val="TitleChar"/>
    <w:qFormat/>
    <w:rsid w:val="00F553FE"/>
    <w:pPr>
      <w:jc w:val="center"/>
    </w:pPr>
  </w:style>
  <w:style w:type="character" w:customStyle="1" w:styleId="TitleChar">
    <w:name w:val="Title Char"/>
    <w:basedOn w:val="DefaultParagraphFont"/>
    <w:link w:val="Title"/>
    <w:rsid w:val="00913D8D"/>
    <w:rPr>
      <w:sz w:val="24"/>
    </w:rPr>
  </w:style>
  <w:style w:type="paragraph" w:styleId="ListParagraph">
    <w:name w:val="List Paragraph"/>
    <w:basedOn w:val="Normal"/>
    <w:uiPriority w:val="34"/>
    <w:qFormat/>
    <w:rsid w:val="00913D8D"/>
    <w:pPr>
      <w:ind w:left="720"/>
    </w:pPr>
    <w:rPr>
      <w:rFonts w:cs="Arial"/>
    </w:rPr>
  </w:style>
  <w:style w:type="paragraph" w:styleId="Header">
    <w:name w:val="header"/>
    <w:basedOn w:val="Normal"/>
    <w:link w:val="HeaderChar"/>
    <w:unhideWhenUsed/>
    <w:rsid w:val="0047674B"/>
    <w:pPr>
      <w:tabs>
        <w:tab w:val="center" w:pos="4680"/>
        <w:tab w:val="right" w:pos="9360"/>
      </w:tabs>
    </w:pPr>
  </w:style>
  <w:style w:type="character" w:customStyle="1" w:styleId="HeaderChar">
    <w:name w:val="Header Char"/>
    <w:basedOn w:val="DefaultParagraphFont"/>
    <w:link w:val="Header"/>
    <w:rsid w:val="0047674B"/>
  </w:style>
  <w:style w:type="paragraph" w:styleId="Footer">
    <w:name w:val="footer"/>
    <w:basedOn w:val="Normal"/>
    <w:link w:val="FooterChar"/>
    <w:uiPriority w:val="99"/>
    <w:unhideWhenUsed/>
    <w:rsid w:val="0047674B"/>
    <w:pPr>
      <w:tabs>
        <w:tab w:val="center" w:pos="4680"/>
        <w:tab w:val="right" w:pos="9360"/>
      </w:tabs>
    </w:pPr>
  </w:style>
  <w:style w:type="character" w:customStyle="1" w:styleId="FooterChar">
    <w:name w:val="Footer Char"/>
    <w:basedOn w:val="DefaultParagraphFont"/>
    <w:link w:val="Footer"/>
    <w:uiPriority w:val="99"/>
    <w:rsid w:val="0047674B"/>
  </w:style>
  <w:style w:type="paragraph" w:styleId="BodyTextIndent">
    <w:name w:val="Body Text Indent"/>
    <w:basedOn w:val="Normal"/>
    <w:link w:val="BodyTextIndentChar"/>
    <w:rsid w:val="00090603"/>
    <w:pPr>
      <w:ind w:left="360"/>
    </w:pPr>
    <w:rPr>
      <w:b/>
      <w:i/>
    </w:rPr>
  </w:style>
  <w:style w:type="character" w:customStyle="1" w:styleId="BodyTextIndentChar">
    <w:name w:val="Body Text Indent Char"/>
    <w:basedOn w:val="DefaultParagraphFont"/>
    <w:link w:val="BodyTextIndent"/>
    <w:rsid w:val="00090603"/>
    <w:rPr>
      <w:b/>
      <w:i/>
      <w:sz w:val="24"/>
    </w:rPr>
  </w:style>
  <w:style w:type="paragraph" w:styleId="NormalWeb">
    <w:name w:val="Normal (Web)"/>
    <w:basedOn w:val="Normal"/>
    <w:uiPriority w:val="99"/>
    <w:unhideWhenUsed/>
    <w:rsid w:val="002F7316"/>
    <w:pPr>
      <w:spacing w:before="100" w:beforeAutospacing="1" w:after="100" w:afterAutospacing="1"/>
    </w:pPr>
    <w:rPr>
      <w:rFonts w:eastAsia="Calibri"/>
      <w:szCs w:val="24"/>
    </w:rPr>
  </w:style>
  <w:style w:type="table" w:styleId="TableGrid">
    <w:name w:val="Table Grid"/>
    <w:basedOn w:val="TableNormal"/>
    <w:uiPriority w:val="59"/>
    <w:rsid w:val="00896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62AE"/>
    <w:rPr>
      <w:rFonts w:ascii="Tahoma" w:hAnsi="Tahoma" w:cs="Tahoma"/>
      <w:sz w:val="16"/>
      <w:szCs w:val="16"/>
    </w:rPr>
  </w:style>
  <w:style w:type="character" w:customStyle="1" w:styleId="BalloonTextChar">
    <w:name w:val="Balloon Text Char"/>
    <w:basedOn w:val="DefaultParagraphFont"/>
    <w:link w:val="BalloonText"/>
    <w:uiPriority w:val="99"/>
    <w:semiHidden/>
    <w:rsid w:val="008962AE"/>
    <w:rPr>
      <w:rFonts w:ascii="Tahoma" w:hAnsi="Tahoma" w:cs="Tahoma"/>
      <w:sz w:val="16"/>
      <w:szCs w:val="16"/>
    </w:rPr>
  </w:style>
  <w:style w:type="character" w:customStyle="1" w:styleId="Heading4Char">
    <w:name w:val="Heading 4 Char"/>
    <w:basedOn w:val="DefaultParagraphFont"/>
    <w:link w:val="Heading4"/>
    <w:semiHidden/>
    <w:rsid w:val="00784A50"/>
    <w:rPr>
      <w:rFonts w:asciiTheme="majorHAnsi" w:eastAsiaTheme="majorEastAsia" w:hAnsiTheme="majorHAnsi" w:cstheme="majorBidi"/>
      <w:i/>
      <w:iCs/>
      <w:color w:val="365F91" w:themeColor="accent1" w:themeShade="BF"/>
      <w:sz w:val="24"/>
    </w:rPr>
  </w:style>
  <w:style w:type="paragraph" w:styleId="Revision">
    <w:name w:val="Revision"/>
    <w:hidden/>
    <w:uiPriority w:val="99"/>
    <w:semiHidden/>
    <w:rsid w:val="008D34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Excel_97-2003_Worksheet.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B13E5-30AD-4570-A643-23145391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State of Nevada</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Purchasing</dc:creator>
  <cp:lastModifiedBy>Teri L. Becker</cp:lastModifiedBy>
  <cp:revision>18</cp:revision>
  <cp:lastPrinted>2012-10-22T20:02:00Z</cp:lastPrinted>
  <dcterms:created xsi:type="dcterms:W3CDTF">2024-02-13T19:36:00Z</dcterms:created>
  <dcterms:modified xsi:type="dcterms:W3CDTF">2024-02-15T22:11:00Z</dcterms:modified>
</cp:coreProperties>
</file>