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3D8E" w14:textId="77777777" w:rsidR="00F7504F" w:rsidRDefault="00F7504F" w:rsidP="00F7504F">
      <w:pPr>
        <w:widowControl w:val="0"/>
        <w:tabs>
          <w:tab w:val="left" w:pos="5310"/>
        </w:tabs>
        <w:spacing w:after="60"/>
        <w:jc w:val="both"/>
        <w:rPr>
          <w:rFonts w:ascii="Arial" w:hAnsi="Arial"/>
          <w:b/>
          <w:u w:val="single"/>
        </w:rPr>
      </w:pPr>
    </w:p>
    <w:p w14:paraId="6CC0C6D5" w14:textId="6F61CC99" w:rsidR="0021585B" w:rsidRDefault="0021585B" w:rsidP="00F7504F">
      <w:pPr>
        <w:widowControl w:val="0"/>
        <w:tabs>
          <w:tab w:val="left" w:pos="5310"/>
        </w:tabs>
        <w:spacing w:after="60"/>
        <w:jc w:val="center"/>
        <w:rPr>
          <w:rFonts w:ascii="Arial" w:hAnsi="Arial"/>
          <w:b/>
          <w:sz w:val="28"/>
          <w:szCs w:val="28"/>
        </w:rPr>
      </w:pPr>
      <w:r>
        <w:rPr>
          <w:rFonts w:ascii="Arial" w:hAnsi="Arial"/>
          <w:b/>
          <w:sz w:val="28"/>
          <w:szCs w:val="28"/>
        </w:rPr>
        <w:t xml:space="preserve">RFP 10TC-S2694 </w:t>
      </w:r>
    </w:p>
    <w:p w14:paraId="27EAD46C" w14:textId="4E7B5EE2" w:rsidR="0021585B" w:rsidRDefault="0021585B" w:rsidP="00F7504F">
      <w:pPr>
        <w:widowControl w:val="0"/>
        <w:tabs>
          <w:tab w:val="left" w:pos="5310"/>
        </w:tabs>
        <w:spacing w:after="60"/>
        <w:jc w:val="center"/>
        <w:rPr>
          <w:rFonts w:ascii="Arial" w:hAnsi="Arial"/>
          <w:b/>
          <w:sz w:val="28"/>
          <w:szCs w:val="28"/>
        </w:rPr>
      </w:pPr>
      <w:r>
        <w:rPr>
          <w:rFonts w:ascii="Arial" w:hAnsi="Arial"/>
          <w:b/>
          <w:sz w:val="28"/>
          <w:szCs w:val="28"/>
        </w:rPr>
        <w:t>GOVERNOR’S TOURISM SUMMIT</w:t>
      </w:r>
    </w:p>
    <w:p w14:paraId="13D1C709" w14:textId="77777777" w:rsidR="0021585B" w:rsidRDefault="0021585B" w:rsidP="00F7504F">
      <w:pPr>
        <w:widowControl w:val="0"/>
        <w:tabs>
          <w:tab w:val="left" w:pos="5310"/>
        </w:tabs>
        <w:spacing w:after="60"/>
        <w:jc w:val="center"/>
        <w:rPr>
          <w:rFonts w:ascii="Arial" w:hAnsi="Arial"/>
          <w:b/>
          <w:sz w:val="28"/>
          <w:szCs w:val="28"/>
        </w:rPr>
      </w:pPr>
    </w:p>
    <w:p w14:paraId="4C6C37D8" w14:textId="3A98D28A" w:rsidR="00F7504F" w:rsidRDefault="00F7504F" w:rsidP="00F7504F">
      <w:pPr>
        <w:widowControl w:val="0"/>
        <w:tabs>
          <w:tab w:val="left" w:pos="5310"/>
        </w:tabs>
        <w:spacing w:after="60"/>
        <w:jc w:val="center"/>
        <w:rPr>
          <w:rFonts w:ascii="Arial" w:hAnsi="Arial"/>
          <w:b/>
          <w:sz w:val="28"/>
          <w:szCs w:val="28"/>
        </w:rPr>
      </w:pPr>
      <w:r>
        <w:rPr>
          <w:rFonts w:ascii="Arial" w:hAnsi="Arial"/>
          <w:b/>
          <w:sz w:val="28"/>
          <w:szCs w:val="28"/>
        </w:rPr>
        <w:t>INSURANCE SCHEDULE</w:t>
      </w:r>
    </w:p>
    <w:p w14:paraId="6EA72957" w14:textId="77777777" w:rsidR="00F7504F" w:rsidRPr="00F7504F" w:rsidRDefault="00F7504F" w:rsidP="00F7504F">
      <w:pPr>
        <w:widowControl w:val="0"/>
        <w:tabs>
          <w:tab w:val="left" w:pos="5310"/>
        </w:tabs>
        <w:spacing w:after="60"/>
        <w:jc w:val="center"/>
        <w:rPr>
          <w:rFonts w:ascii="Arial" w:hAnsi="Arial"/>
          <w:b/>
          <w:sz w:val="28"/>
          <w:szCs w:val="28"/>
        </w:rPr>
      </w:pPr>
    </w:p>
    <w:p w14:paraId="1DE9E093" w14:textId="77777777" w:rsidR="00F7504F" w:rsidRPr="008E36E9" w:rsidRDefault="00F7504F" w:rsidP="00F7504F">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30592585" w14:textId="77777777" w:rsidR="00F7504F" w:rsidRPr="008E36E9" w:rsidRDefault="00F7504F" w:rsidP="00F7504F">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6701290B" w14:textId="77777777" w:rsidR="00F7504F" w:rsidRPr="008E36E9" w:rsidRDefault="00F7504F" w:rsidP="00F7504F">
      <w:pPr>
        <w:widowControl w:val="0"/>
        <w:tabs>
          <w:tab w:val="left" w:pos="5310"/>
        </w:tabs>
        <w:jc w:val="both"/>
        <w:rPr>
          <w:rFonts w:ascii="Arial" w:hAnsi="Arial"/>
        </w:rPr>
      </w:pPr>
    </w:p>
    <w:p w14:paraId="32908102" w14:textId="77777777" w:rsidR="00F7504F" w:rsidRPr="008E36E9" w:rsidRDefault="00F7504F" w:rsidP="00F7504F">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6CB206C9" w14:textId="77777777" w:rsidR="00F7504F" w:rsidRPr="008E36E9" w:rsidRDefault="00F7504F" w:rsidP="00F7504F">
      <w:pPr>
        <w:widowControl w:val="0"/>
        <w:tabs>
          <w:tab w:val="left" w:pos="5310"/>
        </w:tabs>
        <w:spacing w:line="191" w:lineRule="auto"/>
        <w:jc w:val="both"/>
        <w:rPr>
          <w:rFonts w:ascii="CG Times" w:hAnsi="CG Times"/>
        </w:rPr>
      </w:pPr>
    </w:p>
    <w:p w14:paraId="04BB3DCA" w14:textId="77777777" w:rsidR="00F7504F" w:rsidRPr="008E36E9" w:rsidRDefault="00F7504F" w:rsidP="00F7504F">
      <w:pPr>
        <w:widowControl w:val="0"/>
        <w:tabs>
          <w:tab w:val="left" w:pos="5310"/>
        </w:tabs>
        <w:spacing w:line="191" w:lineRule="auto"/>
        <w:jc w:val="both"/>
        <w:rPr>
          <w:rFonts w:ascii="CG Times" w:hAnsi="CG Times"/>
        </w:rPr>
      </w:pPr>
    </w:p>
    <w:p w14:paraId="1E3E3019" w14:textId="77777777" w:rsidR="00F7504F" w:rsidRPr="008E36E9" w:rsidRDefault="00F7504F" w:rsidP="00F7504F">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52C7EE05" w14:textId="77777777" w:rsidR="00F7504F" w:rsidRPr="008E36E9" w:rsidRDefault="00F7504F" w:rsidP="00F7504F">
      <w:pPr>
        <w:tabs>
          <w:tab w:val="left" w:pos="540"/>
          <w:tab w:val="left" w:pos="810"/>
          <w:tab w:val="left" w:pos="5760"/>
          <w:tab w:val="left" w:pos="7200"/>
          <w:tab w:val="left" w:pos="9180"/>
        </w:tabs>
        <w:rPr>
          <w:rFonts w:ascii="Arial" w:hAnsi="Arial"/>
        </w:rPr>
      </w:pPr>
    </w:p>
    <w:p w14:paraId="5B0325D5" w14:textId="77777777" w:rsidR="00F7504F" w:rsidRPr="008E36E9" w:rsidRDefault="00F7504F" w:rsidP="00F7504F">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22CF4B6D" w14:textId="77777777" w:rsidR="00F7504F" w:rsidRPr="008E36E9" w:rsidRDefault="00F7504F" w:rsidP="00F7504F">
      <w:pPr>
        <w:tabs>
          <w:tab w:val="left" w:pos="1368"/>
        </w:tabs>
        <w:ind w:left="918" w:right="-90"/>
        <w:jc w:val="both"/>
        <w:rPr>
          <w:rFonts w:ascii="Arial" w:hAnsi="Arial"/>
          <w:b/>
        </w:rPr>
      </w:pPr>
      <w:r w:rsidRPr="008E36E9">
        <w:rPr>
          <w:rFonts w:ascii="Arial" w:hAnsi="Arial"/>
        </w:rPr>
        <w:t>Policy shall include bodily injury, property damage and broad form contractual liability coverage.</w:t>
      </w:r>
    </w:p>
    <w:p w14:paraId="058D4F6C" w14:textId="77777777" w:rsidR="00F7504F" w:rsidRPr="008E36E9" w:rsidRDefault="00F7504F" w:rsidP="00F7504F">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192C85E7" w14:textId="77777777" w:rsidR="00F7504F" w:rsidRPr="008E36E9" w:rsidRDefault="00F7504F" w:rsidP="00F7504F">
      <w:pPr>
        <w:numPr>
          <w:ilvl w:val="0"/>
          <w:numId w:val="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5C19B413" w14:textId="77777777" w:rsidR="00F7504F" w:rsidRPr="008E36E9" w:rsidRDefault="00F7504F" w:rsidP="00F7504F">
      <w:pPr>
        <w:numPr>
          <w:ilvl w:val="0"/>
          <w:numId w:val="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611E2FD7" w14:textId="77777777" w:rsidR="00F7504F" w:rsidRPr="008E36E9" w:rsidRDefault="00F7504F" w:rsidP="00F7504F">
      <w:pPr>
        <w:numPr>
          <w:ilvl w:val="0"/>
          <w:numId w:val="1"/>
        </w:numPr>
        <w:tabs>
          <w:tab w:val="left" w:pos="1728"/>
          <w:tab w:val="left" w:pos="7218"/>
          <w:tab w:val="left" w:pos="9576"/>
        </w:tabs>
        <w:spacing w:after="120"/>
        <w:ind w:left="1282" w:right="1080"/>
        <w:rPr>
          <w:rFonts w:ascii="Arial" w:hAnsi="Arial"/>
        </w:rPr>
      </w:pPr>
      <w:r w:rsidRPr="008E36E9">
        <w:rPr>
          <w:rFonts w:ascii="Arial" w:hAnsi="Arial"/>
        </w:rPr>
        <w:t>Each Occurrence</w:t>
      </w:r>
      <w:r w:rsidRPr="008E36E9">
        <w:rPr>
          <w:rFonts w:ascii="Arial" w:hAnsi="Arial"/>
        </w:rPr>
        <w:tab/>
        <w:t>$1,000,000</w:t>
      </w:r>
    </w:p>
    <w:p w14:paraId="5E1E3D5F" w14:textId="77777777" w:rsidR="00F7504F" w:rsidRPr="008E36E9" w:rsidRDefault="00F7504F" w:rsidP="00F7504F">
      <w:pPr>
        <w:tabs>
          <w:tab w:val="left" w:pos="1440"/>
          <w:tab w:val="left" w:pos="9576"/>
        </w:tabs>
        <w:spacing w:after="80"/>
        <w:ind w:left="1440" w:hanging="518"/>
        <w:jc w:val="both"/>
        <w:rPr>
          <w:rFonts w:ascii="Arial" w:hAnsi="Arial"/>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14:paraId="49253F6D" w14:textId="77777777" w:rsidR="00F7504F" w:rsidRPr="008E36E9" w:rsidRDefault="00F7504F" w:rsidP="00F7504F">
      <w:pPr>
        <w:tabs>
          <w:tab w:val="left" w:pos="9576"/>
        </w:tabs>
        <w:ind w:right="1080"/>
        <w:rPr>
          <w:rFonts w:ascii="Arial" w:hAnsi="Arial"/>
          <w:b/>
        </w:rPr>
      </w:pPr>
    </w:p>
    <w:p w14:paraId="34FF113D" w14:textId="77777777" w:rsidR="00F7504F" w:rsidRPr="008E36E9" w:rsidRDefault="00F7504F" w:rsidP="00F7504F">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3845266E" w14:textId="77777777" w:rsidR="00F7504F" w:rsidRPr="008E36E9" w:rsidRDefault="00F7504F" w:rsidP="00F7504F">
      <w:pPr>
        <w:tabs>
          <w:tab w:val="left" w:pos="450"/>
          <w:tab w:val="left" w:pos="900"/>
          <w:tab w:val="left" w:pos="5760"/>
          <w:tab w:val="left" w:pos="7200"/>
          <w:tab w:val="left" w:pos="918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4FE0188F" w14:textId="77777777" w:rsidR="00F7504F" w:rsidRPr="008E36E9" w:rsidRDefault="00F7504F" w:rsidP="00F7504F">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631B148B" w14:textId="77777777" w:rsidR="00F7504F" w:rsidRPr="008E36E9" w:rsidRDefault="00F7504F" w:rsidP="00F7504F">
      <w:pPr>
        <w:numPr>
          <w:ilvl w:val="0"/>
          <w:numId w:val="2"/>
        </w:numPr>
        <w:tabs>
          <w:tab w:val="clear" w:pos="1282"/>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20EFF63C" w14:textId="77777777" w:rsidR="00F7504F" w:rsidRPr="008E36E9" w:rsidRDefault="00F7504F" w:rsidP="00F7504F">
      <w:pPr>
        <w:tabs>
          <w:tab w:val="left" w:pos="1440"/>
          <w:tab w:val="left" w:pos="9558"/>
        </w:tabs>
        <w:ind w:right="1080"/>
        <w:jc w:val="both"/>
        <w:rPr>
          <w:rFonts w:ascii="Arial" w:hAnsi="Arial"/>
        </w:rPr>
      </w:pPr>
    </w:p>
    <w:p w14:paraId="30C61831" w14:textId="77777777" w:rsidR="00F7504F" w:rsidRPr="008E36E9" w:rsidRDefault="00F7504F" w:rsidP="00F7504F">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3A9AD2B6" w14:textId="77777777" w:rsidR="00F7504F" w:rsidRPr="008E36E9" w:rsidRDefault="00F7504F" w:rsidP="00F7504F">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609271D2" w14:textId="77777777" w:rsidR="00F7504F" w:rsidRPr="008E36E9" w:rsidRDefault="00F7504F" w:rsidP="00F7504F">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6D258018" w14:textId="77777777" w:rsidR="00F7504F" w:rsidRPr="008E36E9" w:rsidRDefault="00F7504F" w:rsidP="00F7504F">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52B00DC2" w14:textId="77777777" w:rsidR="00F7504F" w:rsidRPr="008E36E9" w:rsidRDefault="00F7504F" w:rsidP="00F7504F">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470C9AD3" w14:textId="77777777" w:rsidR="00F7504F" w:rsidRPr="008E36E9" w:rsidRDefault="00F7504F" w:rsidP="00F7504F">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499C7834" w14:textId="77777777" w:rsidR="00F7504F" w:rsidRPr="008E36E9" w:rsidRDefault="00F7504F" w:rsidP="00F7504F">
      <w:pPr>
        <w:tabs>
          <w:tab w:val="left" w:pos="1440"/>
          <w:tab w:val="left" w:pos="9558"/>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w:t>
      </w:r>
    </w:p>
    <w:p w14:paraId="12BC3DC8" w14:textId="77777777" w:rsidR="00F7504F" w:rsidRPr="008E36E9" w:rsidRDefault="00F7504F" w:rsidP="00F7504F">
      <w:pPr>
        <w:tabs>
          <w:tab w:val="left" w:pos="540"/>
          <w:tab w:val="left" w:pos="1440"/>
          <w:tab w:val="left" w:pos="1800"/>
        </w:tabs>
        <w:ind w:left="1440" w:hanging="540"/>
        <w:jc w:val="both"/>
        <w:rPr>
          <w:rFonts w:ascii="Arial" w:hAnsi="Arial"/>
        </w:rPr>
      </w:pPr>
      <w:r w:rsidRPr="008E36E9">
        <w:rPr>
          <w:rFonts w:ascii="Arial" w:hAnsi="Arial"/>
        </w:rPr>
        <w:lastRenderedPageBreak/>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5A9AE1CB" w14:textId="77777777" w:rsidR="00F7504F" w:rsidRPr="008E36E9" w:rsidRDefault="00F7504F" w:rsidP="00F7504F">
      <w:pPr>
        <w:tabs>
          <w:tab w:val="left" w:pos="540"/>
          <w:tab w:val="left" w:pos="1440"/>
          <w:tab w:val="left" w:pos="1800"/>
        </w:tabs>
        <w:ind w:left="1440" w:hanging="540"/>
        <w:jc w:val="both"/>
        <w:rPr>
          <w:rFonts w:ascii="Arial" w:hAnsi="Arial"/>
        </w:rPr>
      </w:pPr>
    </w:p>
    <w:p w14:paraId="02D5152C" w14:textId="77777777" w:rsidR="00F7504F" w:rsidRPr="008E36E9" w:rsidRDefault="00F7504F" w:rsidP="00F7504F">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14:paraId="4399E617" w14:textId="77777777" w:rsidR="00F7504F" w:rsidRPr="008E36E9" w:rsidRDefault="00F7504F" w:rsidP="00F7504F">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021CE78A" w14:textId="77777777" w:rsidR="00F7504F" w:rsidRPr="008E36E9" w:rsidRDefault="00F7504F" w:rsidP="00F7504F">
      <w:pPr>
        <w:numPr>
          <w:ilvl w:val="0"/>
          <w:numId w:val="3"/>
        </w:numPr>
        <w:tabs>
          <w:tab w:val="left" w:pos="540"/>
          <w:tab w:val="left" w:pos="1440"/>
        </w:tabs>
        <w:spacing w:after="80"/>
        <w:jc w:val="both"/>
        <w:rPr>
          <w:rFonts w:ascii="Arial" w:hAnsi="Arial"/>
        </w:rPr>
      </w:pPr>
      <w:r w:rsidRPr="008E36E9">
        <w:rPr>
          <w:rFonts w:ascii="Arial" w:hAnsi="Arial"/>
        </w:rPr>
        <w:t>The Contractor's insurance coverage shall be primary insurance and non-contributory with respect to all other available sources.</w:t>
      </w:r>
    </w:p>
    <w:p w14:paraId="29EB41D2" w14:textId="77777777" w:rsidR="00F7504F" w:rsidRPr="008E36E9" w:rsidRDefault="00F7504F" w:rsidP="00F7504F">
      <w:pPr>
        <w:widowControl w:val="0"/>
        <w:tabs>
          <w:tab w:val="left" w:pos="1260"/>
          <w:tab w:val="left" w:pos="5310"/>
        </w:tabs>
        <w:jc w:val="both"/>
        <w:rPr>
          <w:rFonts w:ascii="Arial" w:hAnsi="Arial"/>
        </w:rPr>
      </w:pPr>
    </w:p>
    <w:p w14:paraId="4148E0F8" w14:textId="5DDBF12C" w:rsidR="00F7504F" w:rsidRDefault="00F7504F" w:rsidP="00F7504F">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00377B1D">
        <w:rPr>
          <w:rFonts w:ascii="Arial" w:hAnsi="Arial"/>
          <w:b/>
        </w:rPr>
        <w:t>Contract Manager, Nevada Department of Tourism and Cultural Affairs/Nevada Division of Tourism, 401 North Carson Street, Carson City, NV 89701.</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23EB661C" w14:textId="77777777" w:rsidR="00F7504F" w:rsidRPr="00FC6D64" w:rsidRDefault="00F7504F" w:rsidP="00F7504F">
      <w:pPr>
        <w:ind w:left="540" w:hanging="540"/>
        <w:jc w:val="both"/>
        <w:rPr>
          <w:rFonts w:ascii="Arial" w:hAnsi="Arial" w:cs="Arial"/>
          <w:iCs/>
        </w:rPr>
      </w:pPr>
    </w:p>
    <w:p w14:paraId="18B8F5C0" w14:textId="77777777" w:rsidR="00F7504F" w:rsidRPr="008E36E9" w:rsidRDefault="00F7504F" w:rsidP="00F7504F">
      <w:pPr>
        <w:tabs>
          <w:tab w:val="left" w:pos="900"/>
          <w:tab w:val="left" w:pos="144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and with an “A.M. Best” rating of not less than </w:t>
      </w:r>
      <w:r w:rsidRPr="006536DF">
        <w:rPr>
          <w:rFonts w:ascii="Arial" w:hAnsi="Arial"/>
        </w:rPr>
        <w:t>A- VII</w:t>
      </w:r>
      <w:r w:rsidRPr="008E36E9">
        <w:rPr>
          <w:rFonts w:ascii="Arial" w:hAnsi="Arial"/>
        </w:rPr>
        <w:t>.  The State in no way warrants that the above-required minimum insurer rating is sufficient to protect the Contractor from potential insurer insolvency.</w:t>
      </w:r>
    </w:p>
    <w:p w14:paraId="0AB8755C" w14:textId="77777777" w:rsidR="00F7504F" w:rsidRPr="008E36E9" w:rsidRDefault="00F7504F" w:rsidP="00F7504F">
      <w:pPr>
        <w:tabs>
          <w:tab w:val="left" w:pos="450"/>
          <w:tab w:val="left" w:pos="900"/>
          <w:tab w:val="left" w:pos="1350"/>
          <w:tab w:val="left" w:pos="1800"/>
        </w:tabs>
        <w:ind w:left="900" w:hanging="900"/>
        <w:jc w:val="both"/>
        <w:rPr>
          <w:rFonts w:ascii="Arial" w:hAnsi="Arial"/>
        </w:rPr>
      </w:pPr>
    </w:p>
    <w:p w14:paraId="617AFD26" w14:textId="77777777" w:rsidR="00F7504F" w:rsidRPr="008E36E9" w:rsidRDefault="00F7504F" w:rsidP="00F7504F">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464E7385" w14:textId="77777777" w:rsidR="00F7504F" w:rsidRPr="008E36E9" w:rsidRDefault="00F7504F" w:rsidP="00F7504F">
      <w:pPr>
        <w:tabs>
          <w:tab w:val="left" w:pos="450"/>
          <w:tab w:val="left" w:pos="900"/>
          <w:tab w:val="left" w:pos="1350"/>
          <w:tab w:val="left" w:pos="1800"/>
        </w:tabs>
        <w:ind w:left="900" w:hanging="900"/>
        <w:jc w:val="both"/>
        <w:rPr>
          <w:rFonts w:ascii="Arial" w:hAnsi="Arial"/>
        </w:rPr>
      </w:pPr>
    </w:p>
    <w:p w14:paraId="4AB2918E" w14:textId="77777777" w:rsidR="00F7504F" w:rsidRPr="008E36E9" w:rsidRDefault="00F7504F" w:rsidP="00F7504F">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3F86BF11" w14:textId="77777777" w:rsidR="00F7504F" w:rsidRPr="008E36E9" w:rsidRDefault="00F7504F" w:rsidP="00F7504F">
      <w:pPr>
        <w:tabs>
          <w:tab w:val="left" w:pos="450"/>
          <w:tab w:val="left" w:pos="900"/>
          <w:tab w:val="left" w:pos="1350"/>
          <w:tab w:val="left" w:pos="1800"/>
        </w:tabs>
        <w:ind w:left="900" w:hanging="900"/>
        <w:jc w:val="both"/>
        <w:rPr>
          <w:rFonts w:ascii="Arial" w:hAnsi="Arial"/>
        </w:rPr>
      </w:pPr>
    </w:p>
    <w:p w14:paraId="2F5CB7C8" w14:textId="77777777" w:rsidR="00F7504F" w:rsidRPr="008E36E9" w:rsidRDefault="00F7504F" w:rsidP="00F7504F">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00377B1D">
        <w:rPr>
          <w:rFonts w:ascii="Arial" w:hAnsi="Arial"/>
          <w:b/>
        </w:rPr>
        <w:t>Contract Manager, Nevada Department of Tourism and Cultural Affairs/Nevada Division of Tourism, 401 North Carson Street, Carson City, NV 89701.</w:t>
      </w:r>
      <w:r w:rsidRPr="008E36E9">
        <w:rPr>
          <w:rFonts w:ascii="Arial" w:hAnsi="Arial"/>
        </w:rPr>
        <w:t xml:space="preserve">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13034DDF" w14:textId="77777777" w:rsidR="00F7504F" w:rsidRPr="008E36E9" w:rsidRDefault="00F7504F" w:rsidP="00F7504F">
      <w:pPr>
        <w:tabs>
          <w:tab w:val="left" w:pos="450"/>
          <w:tab w:val="left" w:pos="900"/>
          <w:tab w:val="left" w:pos="1350"/>
          <w:tab w:val="left" w:pos="1800"/>
        </w:tabs>
        <w:ind w:left="900" w:hanging="900"/>
        <w:jc w:val="both"/>
        <w:rPr>
          <w:rFonts w:ascii="Arial" w:hAnsi="Arial"/>
        </w:rPr>
      </w:pPr>
    </w:p>
    <w:p w14:paraId="00CF322B" w14:textId="77777777" w:rsidR="00F7504F" w:rsidRPr="008E36E9" w:rsidRDefault="00F7504F" w:rsidP="00F7504F">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27C43A0B" w14:textId="77777777" w:rsidR="00F7504F" w:rsidRPr="008E36E9" w:rsidRDefault="00F7504F" w:rsidP="00F7504F">
      <w:pPr>
        <w:tabs>
          <w:tab w:val="left" w:pos="450"/>
          <w:tab w:val="left" w:pos="900"/>
          <w:tab w:val="left" w:pos="1350"/>
          <w:tab w:val="left" w:pos="1800"/>
        </w:tabs>
        <w:ind w:left="900" w:hanging="900"/>
        <w:jc w:val="both"/>
        <w:rPr>
          <w:rFonts w:ascii="Arial" w:hAnsi="Arial"/>
        </w:rPr>
      </w:pPr>
    </w:p>
    <w:p w14:paraId="2DF38819" w14:textId="77777777" w:rsidR="00F7504F" w:rsidRPr="008E36E9" w:rsidRDefault="00F7504F" w:rsidP="00F7504F">
      <w:pPr>
        <w:tabs>
          <w:tab w:val="left" w:pos="540"/>
          <w:tab w:val="left" w:pos="1350"/>
          <w:tab w:val="left" w:pos="1800"/>
        </w:tabs>
        <w:ind w:left="540" w:hanging="540"/>
        <w:jc w:val="both"/>
        <w:rPr>
          <w:rFonts w:ascii="Arial" w:hAnsi="Arial"/>
          <w:b/>
          <w:sz w:val="28"/>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72B8ECBA" w14:textId="77777777" w:rsidR="00EE72AD" w:rsidRDefault="00EE72AD"/>
    <w:sectPr w:rsidR="00EE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D79"/>
    <w:multiLevelType w:val="singleLevel"/>
    <w:tmpl w:val="A762CF96"/>
    <w:lvl w:ilvl="0">
      <w:start w:val="2"/>
      <w:numFmt w:val="decimal"/>
      <w:lvlText w:val="%1."/>
      <w:lvlJc w:val="left"/>
      <w:pPr>
        <w:tabs>
          <w:tab w:val="num" w:pos="900"/>
        </w:tabs>
        <w:ind w:left="900" w:hanging="360"/>
      </w:pPr>
      <w:rPr>
        <w:rFonts w:hint="default"/>
      </w:rPr>
    </w:lvl>
  </w:abstractNum>
  <w:abstractNum w:abstractNumId="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2" w15:restartNumberingAfterBreak="0">
    <w:nsid w:val="787C01CF"/>
    <w:multiLevelType w:val="singleLevel"/>
    <w:tmpl w:val="FC782470"/>
    <w:lvl w:ilvl="0">
      <w:start w:val="1"/>
      <w:numFmt w:val="lowerLetter"/>
      <w:lvlText w:val="%1."/>
      <w:lvlJc w:val="left"/>
      <w:pPr>
        <w:tabs>
          <w:tab w:val="num" w:pos="1282"/>
        </w:tabs>
        <w:ind w:left="1282" w:hanging="360"/>
      </w:pPr>
      <w:rPr>
        <w:rFonts w:hint="default"/>
      </w:rPr>
    </w:lvl>
  </w:abstractNum>
  <w:num w:numId="1" w16cid:durableId="1328631057">
    <w:abstractNumId w:val="1"/>
  </w:num>
  <w:num w:numId="2" w16cid:durableId="1676961343">
    <w:abstractNumId w:val="2"/>
  </w:num>
  <w:num w:numId="3" w16cid:durableId="156965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4F"/>
    <w:rsid w:val="00006B14"/>
    <w:rsid w:val="0021585B"/>
    <w:rsid w:val="00377B1D"/>
    <w:rsid w:val="004724DE"/>
    <w:rsid w:val="005E2D92"/>
    <w:rsid w:val="009A5215"/>
    <w:rsid w:val="00EE72AD"/>
    <w:rsid w:val="00F7504F"/>
    <w:rsid w:val="00FC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634815F"/>
  <w15:docId w15:val="{5A6D9F73-F651-4AA5-8C9D-03CEF73E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4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State of Nevada</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Annette Morfin</dc:creator>
  <cp:lastModifiedBy>Annette Morfin</cp:lastModifiedBy>
  <cp:revision>3</cp:revision>
  <dcterms:created xsi:type="dcterms:W3CDTF">2024-02-06T16:37:00Z</dcterms:created>
  <dcterms:modified xsi:type="dcterms:W3CDTF">2024-02-06T16:37:00Z</dcterms:modified>
</cp:coreProperties>
</file>