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5663FB25" w:rsidR="002934F0" w:rsidRPr="00E869AA" w:rsidRDefault="00D12E1A" w:rsidP="005179C8">
      <w:pPr>
        <w:jc w:val="center"/>
      </w:pPr>
      <w:r>
        <w:t>Solicitation</w:t>
      </w:r>
      <w:r w:rsidR="002934F0" w:rsidRPr="00E869AA">
        <w:t>:</w:t>
      </w:r>
      <w:r w:rsidR="00976775" w:rsidRPr="00E869AA">
        <w:t xml:space="preserve"> </w:t>
      </w:r>
      <w:r w:rsidR="00A124A3">
        <w:rPr>
          <w:b/>
          <w:bCs/>
        </w:rPr>
        <w:t>40DHHS-S2716</w:t>
      </w:r>
    </w:p>
    <w:p w14:paraId="54E63840" w14:textId="53089180" w:rsidR="002934F0" w:rsidRPr="00E869AA" w:rsidRDefault="002934F0" w:rsidP="005179C8">
      <w:pPr>
        <w:jc w:val="center"/>
      </w:pPr>
      <w:r w:rsidRPr="00E869AA">
        <w:t>For</w:t>
      </w:r>
    </w:p>
    <w:p w14:paraId="6C09ACE3" w14:textId="44436513" w:rsidR="002934F0" w:rsidRPr="00B07887" w:rsidRDefault="00AE3F9B" w:rsidP="005179C8">
      <w:pPr>
        <w:jc w:val="center"/>
        <w:rPr>
          <w:b/>
          <w:bCs/>
        </w:rPr>
      </w:pPr>
      <w:r>
        <w:rPr>
          <w:b/>
          <w:bCs/>
        </w:rPr>
        <w:t>Nevada’s Behavioral Health Crisis Care Hub (NBHCCH)</w:t>
      </w:r>
    </w:p>
    <w:p w14:paraId="04499821" w14:textId="77777777" w:rsidR="003B3F79" w:rsidRPr="00E869AA" w:rsidRDefault="003B3F79" w:rsidP="005179C8">
      <w:pPr>
        <w:jc w:val="center"/>
      </w:pPr>
    </w:p>
    <w:p w14:paraId="4461C066" w14:textId="58AFEE18" w:rsidR="002934F0" w:rsidRPr="00E869AA" w:rsidRDefault="002934F0" w:rsidP="005179C8">
      <w:pPr>
        <w:jc w:val="center"/>
      </w:pPr>
      <w:r w:rsidRPr="00E869AA">
        <w:t>Release Date:</w:t>
      </w:r>
      <w:r w:rsidR="00411933" w:rsidRPr="00E869AA">
        <w:t xml:space="preserve"> </w:t>
      </w:r>
      <w:proofErr w:type="gramStart"/>
      <w:r w:rsidR="00A124A3">
        <w:rPr>
          <w:b/>
          <w:bCs/>
        </w:rPr>
        <w:t>02/2</w:t>
      </w:r>
      <w:r w:rsidR="008C3018">
        <w:rPr>
          <w:b/>
          <w:bCs/>
        </w:rPr>
        <w:t>2</w:t>
      </w:r>
      <w:r w:rsidR="00A124A3">
        <w:rPr>
          <w:b/>
          <w:bCs/>
        </w:rPr>
        <w:t>/2024</w:t>
      </w:r>
      <w:proofErr w:type="gramEnd"/>
    </w:p>
    <w:p w14:paraId="2B985DCC" w14:textId="0136D0CE" w:rsidR="003B3F79" w:rsidRPr="00E869AA" w:rsidRDefault="002934F0" w:rsidP="005179C8">
      <w:pPr>
        <w:jc w:val="center"/>
      </w:pPr>
      <w:r w:rsidRPr="00E869AA">
        <w:t>Deadline for Submission and Opening Date and Time:</w:t>
      </w:r>
      <w:r w:rsidR="00411933" w:rsidRPr="00E869AA">
        <w:t xml:space="preserve"> </w:t>
      </w:r>
      <w:r w:rsidR="00A124A3">
        <w:rPr>
          <w:b/>
          <w:bCs/>
        </w:rPr>
        <w:t>04/</w:t>
      </w:r>
      <w:r w:rsidR="00B14A8D">
        <w:rPr>
          <w:b/>
          <w:bCs/>
        </w:rPr>
        <w:t>03</w:t>
      </w:r>
      <w:r w:rsidR="00A124A3">
        <w:rPr>
          <w:b/>
          <w:bCs/>
        </w:rPr>
        <w:t>/2024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294A6D43" w:rsidR="002934F0" w:rsidRPr="00E869AA" w:rsidRDefault="00AE3F9B" w:rsidP="005179C8">
      <w:pPr>
        <w:jc w:val="center"/>
      </w:pPr>
      <w:r>
        <w:t xml:space="preserve">Courtney Dalton, Purchasing Officer II </w:t>
      </w:r>
    </w:p>
    <w:p w14:paraId="77ECED79" w14:textId="1867163F" w:rsidR="002934F0" w:rsidRPr="00E869AA" w:rsidRDefault="002934F0" w:rsidP="005179C8">
      <w:pPr>
        <w:jc w:val="center"/>
      </w:pPr>
      <w:r w:rsidRPr="00E869AA">
        <w:t>Phone</w:t>
      </w:r>
      <w:r w:rsidR="008357FE" w:rsidRPr="00E869AA">
        <w:t xml:space="preserve">, </w:t>
      </w:r>
      <w:r w:rsidR="00AE3F9B">
        <w:t>775-684-0195</w:t>
      </w:r>
    </w:p>
    <w:p w14:paraId="0E02F26B" w14:textId="20C34453" w:rsidR="003B3F79" w:rsidRPr="00E869AA" w:rsidRDefault="002934F0" w:rsidP="005179C8">
      <w:pPr>
        <w:jc w:val="center"/>
      </w:pPr>
      <w:r w:rsidRPr="00E869AA">
        <w:t>Email Address</w:t>
      </w:r>
      <w:r w:rsidR="00AE3F9B">
        <w:t>, cdalton@admin.nv.gov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8D92467" w:rsidR="002934F0" w:rsidRPr="00E869AA" w:rsidRDefault="002934F0" w:rsidP="005179C8">
      <w:pPr>
        <w:jc w:val="center"/>
      </w:pPr>
      <w:r w:rsidRPr="00E869AA">
        <w:t>Ask the relay agent to dial</w:t>
      </w:r>
      <w:r w:rsidR="003E0EAD" w:rsidRPr="00E869AA">
        <w:t xml:space="preserve">, </w:t>
      </w:r>
      <w:r w:rsidRPr="00E869AA">
        <w:t>1-775-</w:t>
      </w:r>
      <w:r w:rsidR="00A27481" w:rsidRPr="00A27481">
        <w:t>684-0197/V</w:t>
      </w:r>
      <w:r w:rsidRPr="00E869AA">
        <w:t>.)</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8C3018">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62F5DD0E" w:rsidR="001D44B2" w:rsidRPr="00E07DDD" w:rsidRDefault="001D44B2" w:rsidP="00B05314">
      <w:pPr>
        <w:pStyle w:val="Heading2"/>
      </w:pPr>
      <w:r w:rsidRPr="00E07DDD">
        <w:t>The State of Nevada Purchasing Division</w:t>
      </w:r>
      <w:r w:rsidR="00262766" w:rsidRPr="00E07DDD">
        <w:t xml:space="preserve">, on behalf of </w:t>
      </w:r>
      <w:r w:rsidR="00AE3F9B">
        <w:t>Nevada Department of Health and Human Services (DHHS), Division of Public and Behavioral Health (DPBH)</w:t>
      </w:r>
      <w:r w:rsidRPr="00E07DDD">
        <w:t xml:space="preserve"> is seeking proposals from qualified vendors to</w:t>
      </w:r>
      <w:r w:rsidR="00AE3F9B" w:rsidRPr="00AE3F9B">
        <w:t xml:space="preserve"> </w:t>
      </w:r>
      <w:r w:rsidR="00AE3F9B">
        <w:t xml:space="preserve">provide an </w:t>
      </w:r>
      <w:r w:rsidR="00AE3F9B" w:rsidRPr="00AE3F9B">
        <w:t xml:space="preserve">establishment, physical infrastructure, workforce, technology, and administration of a centralized Nevada 988 Suicide and Crisis Lifeline call center(s) that are operated 24/7/365 days to answer calls, texts, and chats routed to Nevada (NV) from National 988 Suicide and Crisis Lifeline, pursuant to NRS 433.702 through NRS 433.706. </w:t>
      </w:r>
      <w:r w:rsidR="00BB56AE" w:rsidRPr="00E07DDD">
        <w:t xml:space="preserve">as </w:t>
      </w:r>
      <w:r w:rsidR="00AE3F9B">
        <w:t xml:space="preserve">further </w:t>
      </w:r>
      <w:r w:rsidR="00BB56AE" w:rsidRPr="00E07DDD">
        <w:t>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51BE6ED4"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AE3F9B">
        <w:t xml:space="preserve">The Division of Public and Behavioral Health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00AE3F9B">
        <w:t xml:space="preserve"> with an option </w:t>
      </w:r>
      <w:r w:rsidR="00451D33">
        <w:t xml:space="preserve">to </w:t>
      </w:r>
      <w:proofErr w:type="gramStart"/>
      <w:r w:rsidR="00451D33">
        <w:t>extend</w:t>
      </w:r>
      <w:proofErr w:type="gramEnd"/>
      <w:r w:rsidR="00451D33">
        <w:t xml:space="preserve"> up to four years</w:t>
      </w:r>
      <w:r w:rsidR="004F2D52" w:rsidRPr="00E07DDD">
        <w:t>,</w:t>
      </w:r>
      <w:r w:rsidRPr="00E07DDD">
        <w:t xml:space="preserve"> subject to </w:t>
      </w:r>
      <w:r w:rsidR="00AE3F9B" w:rsidRPr="00E07DDD">
        <w:t>the Board</w:t>
      </w:r>
      <w:r w:rsidRPr="00E07DDD">
        <w:t xml:space="preserve"> of </w:t>
      </w:r>
      <w:r w:rsidR="00AE3F9B" w:rsidRPr="00E07DDD">
        <w:t>Examiners’</w:t>
      </w:r>
      <w:r w:rsidRPr="00E07DDD">
        <w:t xml:space="preserve">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5160E4DA" w14:textId="77777777" w:rsidR="00901232" w:rsidRDefault="00901232" w:rsidP="00901232">
      <w:pPr>
        <w:pStyle w:val="Heading3"/>
      </w:pPr>
      <w:r>
        <w:t>The Division of Public and Behavioral Health (DPBH) is a division of the Department of Health and Human Services (DHHS), which falls within the Executive Branch of the State of Nevada. Through funding and direction provided by the Nevada State Legislature and the federal government, DPBH carries out various missions to improve public health and behavioral health outcomes in Nevada. Positioned at the state level, DPBH primarily serves to coordinate resources for local and tribal partners in Nevada, although it also provides direct services.</w:t>
      </w:r>
    </w:p>
    <w:p w14:paraId="0D3869E6" w14:textId="77777777" w:rsidR="00901232" w:rsidRDefault="00901232" w:rsidP="00901232">
      <w:pPr>
        <w:pStyle w:val="Heading3"/>
      </w:pPr>
      <w:r>
        <w:t>DPBH consists of four branches: Administrative Services, Clinical Services, Community Services, and Regulatory and Planning Services. Each of these branches consists of bureaus and programs that provide everything from grant funding to direct behavioral health services to some of Nevada’s most vulnerable populations.</w:t>
      </w:r>
    </w:p>
    <w:p w14:paraId="2001CBB7" w14:textId="652F5ED0" w:rsidR="00025B91" w:rsidRPr="00B66FFF" w:rsidRDefault="00901232" w:rsidP="00901232">
      <w:pPr>
        <w:pStyle w:val="Heading3"/>
      </w:pPr>
      <w:r>
        <w:t xml:space="preserve">The Bureau of Behavioral Health Wellness and Prevention (BBHWP) is comprised of three branches - Substance Use, Behavioral Health, and Office of suicide prevention. Crisis Response is a program under the branch of Behavioral health. </w:t>
      </w:r>
      <w:r w:rsidR="00992876">
        <w:rPr>
          <w:rStyle w:val="ui-provider"/>
        </w:rPr>
        <w:t>Within the Crisis Response System, the purpose of 988 program is to oversee 988 Call Centers, Mobile Crisis, and Crisis Stabilization.</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23FA7818" w:rsidR="00607093" w:rsidRPr="00B66FFF" w:rsidRDefault="00AE3F9B" w:rsidP="00B05314">
      <w:pPr>
        <w:pStyle w:val="Heading2"/>
      </w:pPr>
      <w:r>
        <w:t>See Attachment</w:t>
      </w:r>
      <w:r w:rsidR="005B2CAC">
        <w:t xml:space="preserve"> 01</w:t>
      </w:r>
      <w:r>
        <w:t xml:space="preserve">, Scope of Work </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Default="00104A2B" w:rsidP="00917638">
      <w:pPr>
        <w:pStyle w:val="Heading3"/>
      </w:pPr>
      <w:r w:rsidRPr="00B66FFF">
        <w:t>Insurance Schedule</w:t>
      </w:r>
    </w:p>
    <w:p w14:paraId="02A01644" w14:textId="7F1C3940" w:rsidR="00A64D12" w:rsidRDefault="00A64D12" w:rsidP="00917638">
      <w:pPr>
        <w:pStyle w:val="Heading3"/>
      </w:pPr>
      <w:r>
        <w:t>BAA</w:t>
      </w:r>
    </w:p>
    <w:p w14:paraId="6977A0F8" w14:textId="3B7C7707" w:rsidR="00A2735A" w:rsidRDefault="00A2735A" w:rsidP="00A2735A">
      <w:pPr>
        <w:pStyle w:val="Heading3"/>
      </w:pPr>
      <w:r w:rsidRPr="00A2735A">
        <w:t xml:space="preserve">Attachment 01b Minimum Standards for Crisis Contact Centers </w:t>
      </w:r>
    </w:p>
    <w:p w14:paraId="292E99A3" w14:textId="192CAC84" w:rsidR="004A53E9" w:rsidRDefault="004A53E9" w:rsidP="00917638">
      <w:pPr>
        <w:pStyle w:val="Heading3"/>
      </w:pPr>
      <w:r>
        <w:t>Attachment 01c Lifeline Telephony Requirements</w:t>
      </w:r>
    </w:p>
    <w:p w14:paraId="5DEFC977" w14:textId="2DF01B39" w:rsidR="004A53E9" w:rsidRDefault="004A53E9" w:rsidP="00917638">
      <w:pPr>
        <w:pStyle w:val="Heading3"/>
      </w:pPr>
      <w:r>
        <w:lastRenderedPageBreak/>
        <w:t xml:space="preserve">Attachment 01d Suicide and Crisis Lifeline Suicide Safety Policy </w:t>
      </w:r>
    </w:p>
    <w:p w14:paraId="14E38532" w14:textId="7B701BC5" w:rsidR="004A53E9" w:rsidRDefault="004A53E9" w:rsidP="00917638">
      <w:pPr>
        <w:pStyle w:val="Heading3"/>
      </w:pPr>
      <w:r>
        <w:t>Attachment 01e Best Practices Toolkit</w:t>
      </w:r>
    </w:p>
    <w:p w14:paraId="031693C6" w14:textId="1BE9D1F1" w:rsidR="00A2735A" w:rsidRDefault="00A2735A" w:rsidP="00A2735A">
      <w:pPr>
        <w:pStyle w:val="Heading3"/>
      </w:pPr>
      <w:r w:rsidRPr="00A2735A">
        <w:t xml:space="preserve">Attachment 02a Public Dashboard Report Specifications </w:t>
      </w:r>
    </w:p>
    <w:p w14:paraId="6CA96ABD" w14:textId="21E15910" w:rsidR="004A53E9" w:rsidRDefault="004A53E9" w:rsidP="00917638">
      <w:pPr>
        <w:pStyle w:val="Heading3"/>
      </w:pPr>
      <w:r>
        <w:t xml:space="preserve">Attachment 02b Call Center Staff Minimum Qualifications </w:t>
      </w:r>
    </w:p>
    <w:p w14:paraId="012F3B97" w14:textId="34DDB8E7" w:rsidR="00BE3903" w:rsidRPr="00B66FFF" w:rsidRDefault="00BE3903" w:rsidP="00917638">
      <w:pPr>
        <w:pStyle w:val="Heading3"/>
      </w:pPr>
      <w:r>
        <w:t xml:space="preserve">Attachment 04a Change Contract Deliverable Management </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3A0970EC" w:rsidR="00307E07" w:rsidRDefault="005B2CAC" w:rsidP="00307E07">
      <w:pPr>
        <w:pStyle w:val="Heading3"/>
      </w:pPr>
      <w:r>
        <w:t xml:space="preserve">Attachment 06 </w:t>
      </w:r>
      <w:r w:rsidR="00307E07" w:rsidRPr="00AE3F9B">
        <w:t>Cost Schedule</w:t>
      </w:r>
      <w:r>
        <w:t xml:space="preserve"> </w:t>
      </w:r>
    </w:p>
    <w:p w14:paraId="1BE5F5C0" w14:textId="77777777" w:rsidR="005B2CAC" w:rsidRDefault="005B2CAC" w:rsidP="00307E07">
      <w:pPr>
        <w:pStyle w:val="Heading3"/>
      </w:pPr>
      <w:r>
        <w:t>Attachment 01a Vendor Minimum Qualifications Form</w:t>
      </w:r>
    </w:p>
    <w:p w14:paraId="225A28F7" w14:textId="3929AF45" w:rsidR="005B2CAC" w:rsidRDefault="005B2CAC" w:rsidP="00307E07">
      <w:pPr>
        <w:pStyle w:val="Heading3"/>
      </w:pPr>
      <w:r>
        <w:t xml:space="preserve">Attachment 02 NBHCCH Functionality Requirements Traceability Matrix </w:t>
      </w:r>
    </w:p>
    <w:p w14:paraId="11A5283E" w14:textId="0C284E93" w:rsidR="004A53E9" w:rsidRDefault="004A53E9" w:rsidP="00307E07">
      <w:pPr>
        <w:pStyle w:val="Heading3"/>
      </w:pPr>
      <w:r>
        <w:t>Attachment 03 Security Requirements Traceability Matrix</w:t>
      </w:r>
    </w:p>
    <w:p w14:paraId="1DE29691" w14:textId="2CDEA666" w:rsidR="004A53E9" w:rsidRDefault="004A53E9" w:rsidP="00307E07">
      <w:pPr>
        <w:pStyle w:val="Heading3"/>
      </w:pPr>
      <w:r>
        <w:t>Attachment 03a Cloud Hosting Checklist</w:t>
      </w:r>
    </w:p>
    <w:p w14:paraId="12CCC12A" w14:textId="470796A8" w:rsidR="004A53E9" w:rsidRPr="00AE3F9B" w:rsidRDefault="004A53E9" w:rsidP="00307E07">
      <w:pPr>
        <w:pStyle w:val="Heading3"/>
      </w:pPr>
      <w:r>
        <w:t xml:space="preserve">Attachment 04 OIT Operations Standard Requirements </w:t>
      </w:r>
    </w:p>
    <w:p w14:paraId="7597E67C" w14:textId="66979EB0" w:rsidR="00307E07" w:rsidRDefault="00BA54B3" w:rsidP="00307E07">
      <w:pPr>
        <w:pStyle w:val="Heading3"/>
      </w:pPr>
      <w:r>
        <w:t xml:space="preserve">Attachment 07 </w:t>
      </w:r>
      <w:r w:rsidR="00307E07" w:rsidRPr="00B66FFF">
        <w:t xml:space="preserve">Proposed </w:t>
      </w:r>
      <w:r>
        <w:t xml:space="preserve">Implementation </w:t>
      </w:r>
      <w:r w:rsidR="00307E07" w:rsidRPr="00B66FFF">
        <w:t>Staff Resume</w:t>
      </w:r>
      <w:r w:rsidR="00A05781">
        <w:t>s</w:t>
      </w:r>
    </w:p>
    <w:p w14:paraId="506C5F6E" w14:textId="6CC898B7" w:rsidR="00A05781" w:rsidRDefault="00A05781" w:rsidP="00307E07">
      <w:pPr>
        <w:pStyle w:val="Heading3"/>
      </w:pPr>
      <w:r>
        <w:t xml:space="preserve">Attachment 07 Proposed Operational Staff Resumes </w:t>
      </w:r>
    </w:p>
    <w:p w14:paraId="08B0F97B" w14:textId="08A558E6" w:rsidR="006C5A6F" w:rsidRPr="00B66FFF" w:rsidRDefault="006C5A6F" w:rsidP="00307E07">
      <w:pPr>
        <w:pStyle w:val="Heading3"/>
      </w:pPr>
      <w:r>
        <w:t xml:space="preserve">Attachment 07 Proposed Key Personnel Resumes </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2EDE1494" w:rsidR="000A5780" w:rsidRPr="009B21A9" w:rsidRDefault="000A5780" w:rsidP="009B21A9">
      <w:pPr>
        <w:pStyle w:val="Heading4"/>
      </w:pPr>
      <w:r w:rsidRPr="009B21A9">
        <w:t>Deadline for Questions</w:t>
      </w:r>
      <w:r w:rsidRPr="009B21A9">
        <w:tab/>
        <w:t xml:space="preserve">No later than 5:00 pm on </w:t>
      </w:r>
      <w:r w:rsidR="00C56B61">
        <w:t>03/06/2024</w:t>
      </w:r>
    </w:p>
    <w:p w14:paraId="3743F8DD" w14:textId="74CD71C8" w:rsidR="000A5780" w:rsidRPr="009B21A9" w:rsidRDefault="000A5780" w:rsidP="009B21A9">
      <w:pPr>
        <w:pStyle w:val="Heading4"/>
      </w:pPr>
      <w:r w:rsidRPr="009B21A9">
        <w:t>Answers Posted</w:t>
      </w:r>
      <w:r w:rsidRPr="009B21A9">
        <w:tab/>
        <w:t xml:space="preserve">On or about </w:t>
      </w:r>
      <w:r w:rsidR="00DF22A2">
        <w:t>03/13/2024.</w:t>
      </w:r>
    </w:p>
    <w:p w14:paraId="45AEFC31" w14:textId="5B64964E" w:rsidR="000A5780" w:rsidRPr="009B21A9" w:rsidRDefault="000A5780" w:rsidP="009B21A9">
      <w:pPr>
        <w:pStyle w:val="Heading4"/>
      </w:pPr>
      <w:r w:rsidRPr="009B21A9">
        <w:t>Deadline for References</w:t>
      </w:r>
      <w:r w:rsidRPr="009B21A9">
        <w:tab/>
        <w:t xml:space="preserve">No later than 5:00 pm on </w:t>
      </w:r>
      <w:r w:rsidR="00C56B61">
        <w:t>0</w:t>
      </w:r>
      <w:r w:rsidR="00B14A8D">
        <w:t>4/01</w:t>
      </w:r>
      <w:r w:rsidR="00C56B61">
        <w:t>/2024</w:t>
      </w:r>
    </w:p>
    <w:p w14:paraId="650DCFB2" w14:textId="081A220A" w:rsidR="000A5780" w:rsidRPr="009B21A9" w:rsidRDefault="000A5780" w:rsidP="009B21A9">
      <w:pPr>
        <w:pStyle w:val="Heading4"/>
      </w:pPr>
      <w:r w:rsidRPr="009B21A9">
        <w:t>Deadline Proposal Submission and Opening</w:t>
      </w:r>
      <w:r w:rsidRPr="009B21A9">
        <w:tab/>
        <w:t xml:space="preserve">No later than 2:00 pm on </w:t>
      </w:r>
      <w:r w:rsidR="00DF22A2">
        <w:t>04/</w:t>
      </w:r>
      <w:r w:rsidR="00B14A8D">
        <w:t>03</w:t>
      </w:r>
      <w:r w:rsidR="00DF22A2">
        <w:t>/2024.</w:t>
      </w:r>
    </w:p>
    <w:p w14:paraId="5DE5CF15" w14:textId="677FC32B" w:rsidR="000A5780" w:rsidRPr="009B21A9" w:rsidRDefault="000A5780" w:rsidP="009B21A9">
      <w:pPr>
        <w:pStyle w:val="Heading4"/>
      </w:pPr>
      <w:r w:rsidRPr="009B21A9">
        <w:t>Evaluation Period (estimated)</w:t>
      </w:r>
      <w:r w:rsidRPr="009B21A9">
        <w:tab/>
      </w:r>
      <w:r w:rsidR="00C56B61">
        <w:t>04/</w:t>
      </w:r>
      <w:r w:rsidR="00B14A8D">
        <w:t>03</w:t>
      </w:r>
      <w:r w:rsidR="00C56B61">
        <w:t>/2024</w:t>
      </w:r>
      <w:r w:rsidRPr="009B21A9">
        <w:t xml:space="preserve">- </w:t>
      </w:r>
      <w:r w:rsidR="00DF22A2">
        <w:t>04/</w:t>
      </w:r>
      <w:r w:rsidR="00B14A8D">
        <w:t>24</w:t>
      </w:r>
      <w:r w:rsidR="00DF22A2">
        <w:t>/2024.</w:t>
      </w:r>
    </w:p>
    <w:p w14:paraId="5446364A" w14:textId="67243A01" w:rsidR="000A5780" w:rsidRPr="009B21A9" w:rsidRDefault="000A5780" w:rsidP="009B21A9">
      <w:pPr>
        <w:pStyle w:val="Heading4"/>
      </w:pPr>
      <w:r w:rsidRPr="009B21A9">
        <w:t>Vendor Presentations (if applicable) (estimated)</w:t>
      </w:r>
      <w:r w:rsidRPr="009B21A9">
        <w:tab/>
      </w:r>
      <w:r w:rsidR="00C56B61">
        <w:t>05/01/2024</w:t>
      </w:r>
      <w:r w:rsidRPr="009B21A9">
        <w:t xml:space="preserve"> </w:t>
      </w:r>
      <w:r w:rsidR="00C56B61">
        <w:t>–</w:t>
      </w:r>
      <w:r w:rsidRPr="009B21A9">
        <w:t xml:space="preserve"> </w:t>
      </w:r>
      <w:r w:rsidR="00DF22A2">
        <w:t>05/0</w:t>
      </w:r>
      <w:r w:rsidR="00B14A8D">
        <w:t>8</w:t>
      </w:r>
      <w:r w:rsidR="00DF22A2">
        <w:t>/2024.</w:t>
      </w:r>
    </w:p>
    <w:p w14:paraId="53E748E8" w14:textId="5F476D15" w:rsidR="002519E8" w:rsidRPr="009B21A9" w:rsidRDefault="002519E8" w:rsidP="002519E8">
      <w:pPr>
        <w:pStyle w:val="Heading4"/>
      </w:pPr>
      <w:r>
        <w:t>Notice of Intent</w:t>
      </w:r>
      <w:r w:rsidRPr="009B21A9">
        <w:t xml:space="preserve"> (estimated)</w:t>
      </w:r>
      <w:r w:rsidRPr="009B21A9">
        <w:tab/>
        <w:t xml:space="preserve">On or about </w:t>
      </w:r>
      <w:r w:rsidR="00DF22A2">
        <w:t>05/0</w:t>
      </w:r>
      <w:r w:rsidR="00B14A8D">
        <w:t>9</w:t>
      </w:r>
      <w:r w:rsidR="00DF22A2">
        <w:t>/2024.</w:t>
      </w:r>
    </w:p>
    <w:p w14:paraId="249D90AC" w14:textId="7EA0B4FC"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DF22A2">
        <w:t>0</w:t>
      </w:r>
      <w:r w:rsidR="00B14A8D">
        <w:t>5/29</w:t>
      </w:r>
      <w:r w:rsidR="00DF22A2">
        <w:t>/2024.</w:t>
      </w:r>
    </w:p>
    <w:p w14:paraId="4BC3DD84" w14:textId="08D4EE64" w:rsidR="000A5780" w:rsidRPr="009B21A9" w:rsidRDefault="000A5780" w:rsidP="009B21A9">
      <w:pPr>
        <w:pStyle w:val="Heading4"/>
      </w:pPr>
      <w:r w:rsidRPr="009B21A9">
        <w:t>BOE Approval (estimated)</w:t>
      </w:r>
      <w:r w:rsidRPr="009B21A9">
        <w:tab/>
      </w:r>
      <w:r w:rsidR="00DF22A2">
        <w:t>07/09/2024.</w:t>
      </w:r>
    </w:p>
    <w:p w14:paraId="3415F249" w14:textId="0655CFA7" w:rsidR="000A5780" w:rsidRPr="009B21A9" w:rsidRDefault="000A5780" w:rsidP="009B21A9">
      <w:pPr>
        <w:pStyle w:val="Heading4"/>
      </w:pPr>
      <w:r w:rsidRPr="009B21A9">
        <w:t>Contract start date (estimated)</w:t>
      </w:r>
      <w:r w:rsidRPr="009B21A9">
        <w:tab/>
      </w:r>
      <w:r w:rsidR="00C56B61">
        <w:t xml:space="preserve">Upon BOE Approval </w:t>
      </w:r>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53D0299D" w:rsidR="00104A2B" w:rsidRPr="001324B9" w:rsidRDefault="00C77F59" w:rsidP="009B21A9">
      <w:pPr>
        <w:pStyle w:val="Heading4"/>
      </w:pPr>
      <w:r w:rsidRPr="00C77F59">
        <w:t>Demonstrated Competence and experience to establish and administer 988 Crisis Call Center operations that includes Workforce Management, Call Triage process/workflow.</w:t>
      </w:r>
      <w:r w:rsidR="00104A2B" w:rsidRPr="001324B9">
        <w:tab/>
      </w:r>
      <w:r>
        <w:t>100</w:t>
      </w:r>
    </w:p>
    <w:p w14:paraId="73BA5567" w14:textId="68747489" w:rsidR="00104A2B" w:rsidRPr="001324B9" w:rsidRDefault="00C77F59" w:rsidP="009B21A9">
      <w:pPr>
        <w:pStyle w:val="Heading4"/>
      </w:pPr>
      <w:r w:rsidRPr="00C77F59">
        <w:lastRenderedPageBreak/>
        <w:t>Demonstrated Competence and experience to provide and manage DMCT technology and DMCT dispatch, and law enforcement dispatch</w:t>
      </w:r>
      <w:r w:rsidR="00104A2B" w:rsidRPr="001324B9">
        <w:tab/>
      </w:r>
      <w:r>
        <w:t>70</w:t>
      </w:r>
    </w:p>
    <w:p w14:paraId="4E6B54BE" w14:textId="55525721" w:rsidR="00104A2B" w:rsidRPr="001324B9" w:rsidRDefault="00C77F59" w:rsidP="009B21A9">
      <w:pPr>
        <w:pStyle w:val="Heading4"/>
      </w:pPr>
      <w:r w:rsidRPr="00C77F59">
        <w:t>Demonstrated Competence and experience in establishing and managing Community Partnerships.</w:t>
      </w:r>
      <w:r w:rsidR="00104A2B" w:rsidRPr="001324B9">
        <w:tab/>
      </w:r>
      <w:r>
        <w:t>70</w:t>
      </w:r>
    </w:p>
    <w:p w14:paraId="069ECE79" w14:textId="193534FE" w:rsidR="00104A2B" w:rsidRPr="001324B9" w:rsidRDefault="00C77F59" w:rsidP="009B21A9">
      <w:pPr>
        <w:pStyle w:val="Heading4"/>
      </w:pPr>
      <w:r w:rsidRPr="00C77F59">
        <w:t>Demonstrated competence and experience in providing Crisis Call Center related training to staff and community partners.</w:t>
      </w:r>
      <w:r w:rsidR="00104A2B" w:rsidRPr="001324B9">
        <w:tab/>
      </w:r>
      <w:r>
        <w:t>70</w:t>
      </w:r>
    </w:p>
    <w:p w14:paraId="1B0DCED6" w14:textId="5D5008BF" w:rsidR="00C77F59" w:rsidRDefault="00C77F59" w:rsidP="009B21A9">
      <w:pPr>
        <w:pStyle w:val="Heading4"/>
      </w:pPr>
      <w:r w:rsidRPr="00C77F59">
        <w:t>Demonstrated competence in establishing, monitoring, and improving Quality of Service using Continuous Quality Improvement (CQI)</w:t>
      </w:r>
      <w:r w:rsidR="00A64D12">
        <w:t>………………………………………………………………………………………………</w:t>
      </w:r>
      <w:proofErr w:type="gramStart"/>
      <w:r w:rsidR="00A64D12">
        <w:t>.70</w:t>
      </w:r>
      <w:proofErr w:type="gramEnd"/>
    </w:p>
    <w:p w14:paraId="1563BC72" w14:textId="003F12FC" w:rsidR="00104A2B" w:rsidRDefault="00C77F59" w:rsidP="009B21A9">
      <w:pPr>
        <w:pStyle w:val="Heading4"/>
      </w:pPr>
      <w:r w:rsidRPr="00C77F59">
        <w:t>Technology - Demonstrated competence and experience to meet Security and OIT Operations Standard Requirements Traceability Matrix. All proposed components are fully integrated and preserve data integrity.</w:t>
      </w:r>
      <w:r w:rsidR="00104A2B" w:rsidRPr="001324B9">
        <w:tab/>
      </w:r>
      <w:r>
        <w:t>90</w:t>
      </w:r>
    </w:p>
    <w:p w14:paraId="2A940C94" w14:textId="401CB8D9" w:rsidR="00C77F59" w:rsidRDefault="00C77F59" w:rsidP="009B21A9">
      <w:pPr>
        <w:pStyle w:val="Heading4"/>
      </w:pPr>
      <w:r w:rsidRPr="00C77F59">
        <w:t>Experience in performance of comparable engagements</w:t>
      </w:r>
      <w:r>
        <w:t>………………………………………………………...</w:t>
      </w:r>
      <w:proofErr w:type="gramStart"/>
      <w:r>
        <w:t>80</w:t>
      </w:r>
      <w:proofErr w:type="gramEnd"/>
    </w:p>
    <w:p w14:paraId="21600B95" w14:textId="78F6C5C8" w:rsidR="00C77F59" w:rsidRPr="001324B9" w:rsidRDefault="00C77F59" w:rsidP="009B21A9">
      <w:pPr>
        <w:pStyle w:val="Heading4"/>
      </w:pPr>
      <w:r w:rsidRPr="00C77F59">
        <w:t>Expertise and availability of key Project and Operations Personnel</w:t>
      </w:r>
      <w:r>
        <w:t>………………………………</w:t>
      </w:r>
      <w:proofErr w:type="gramStart"/>
      <w:r>
        <w:t>…..</w:t>
      </w:r>
      <w:proofErr w:type="gramEnd"/>
      <w:r>
        <w:t>…………70</w:t>
      </w:r>
    </w:p>
    <w:p w14:paraId="2E4115A4" w14:textId="3DA2B077" w:rsidR="00104A2B" w:rsidRDefault="00C77F59" w:rsidP="009B21A9">
      <w:pPr>
        <w:pStyle w:val="Heading4"/>
      </w:pPr>
      <w:r w:rsidRPr="00C77F59">
        <w:t>Value of the proposed solution is reflected in the cost</w:t>
      </w:r>
      <w:r w:rsidR="00104A2B" w:rsidRPr="001324B9">
        <w:tab/>
      </w:r>
      <w:r>
        <w:t>80</w:t>
      </w:r>
    </w:p>
    <w:p w14:paraId="5082F6D8" w14:textId="2249DABC" w:rsidR="00C77F59" w:rsidRDefault="00C77F59" w:rsidP="00C77F59">
      <w:pPr>
        <w:pStyle w:val="Heading4"/>
        <w:numPr>
          <w:ilvl w:val="0"/>
          <w:numId w:val="0"/>
        </w:numPr>
        <w:ind w:left="1080"/>
      </w:pPr>
    </w:p>
    <w:p w14:paraId="53992A2F" w14:textId="2CE2AD60" w:rsidR="00C77F59" w:rsidRDefault="00C77F59" w:rsidP="00C77F59">
      <w:pPr>
        <w:pStyle w:val="Heading3"/>
      </w:pPr>
      <w:r>
        <w:t xml:space="preserve">Presentation Factors </w:t>
      </w:r>
    </w:p>
    <w:p w14:paraId="23E31565" w14:textId="77777777" w:rsidR="00C77F59" w:rsidRPr="001324B9" w:rsidRDefault="00C77F59" w:rsidP="00C77F59">
      <w:pPr>
        <w:pStyle w:val="Heading3"/>
        <w:numPr>
          <w:ilvl w:val="0"/>
          <w:numId w:val="0"/>
        </w:numPr>
        <w:ind w:left="720"/>
      </w:pPr>
    </w:p>
    <w:p w14:paraId="11E7FF36" w14:textId="01EB708F" w:rsidR="00104A2B" w:rsidRPr="001324B9" w:rsidRDefault="00C77F59" w:rsidP="009B21A9">
      <w:pPr>
        <w:pStyle w:val="Heading4"/>
      </w:pPr>
      <w:r w:rsidRPr="00C77F59">
        <w:t>Demonstrated features of the proposed system successfully comply with the requirements of the RFP and are fully functional. The Demo should be live system, not a recorded demo.</w:t>
      </w:r>
      <w:r w:rsidR="00104A2B" w:rsidRPr="001324B9">
        <w:tab/>
      </w:r>
      <w:r>
        <w:t>20</w:t>
      </w:r>
    </w:p>
    <w:p w14:paraId="0C366ACD" w14:textId="4A942FBE" w:rsidR="00104A2B" w:rsidRDefault="00C77F59" w:rsidP="009B21A9">
      <w:pPr>
        <w:pStyle w:val="Heading4"/>
      </w:pPr>
      <w:r w:rsidRPr="00C77F59">
        <w:t xml:space="preserve">Demonstrated features of the proposed system displayed DMCT dispatch capabilities as well as DMCT technology </w:t>
      </w:r>
      <w:r w:rsidRPr="00C77F59">
        <w:tab/>
      </w:r>
      <w:r>
        <w:t>10</w:t>
      </w:r>
    </w:p>
    <w:p w14:paraId="68A85973" w14:textId="14AF97E1" w:rsidR="00C77F59" w:rsidRDefault="00C77F59" w:rsidP="009B21A9">
      <w:pPr>
        <w:pStyle w:val="Heading4"/>
      </w:pPr>
      <w:r w:rsidRPr="00C77F59">
        <w:t>The proposed system is intuitive, easy to use, and has capabilities to integrate with other EHR and related systems mentioned in RFP</w:t>
      </w:r>
      <w:r>
        <w:t>…………………………………………………………………………………………...……15.</w:t>
      </w:r>
    </w:p>
    <w:p w14:paraId="0C9BA1E0" w14:textId="4AE4AACD" w:rsidR="00C77F59" w:rsidRDefault="00C77F59" w:rsidP="009B21A9">
      <w:pPr>
        <w:pStyle w:val="Heading4"/>
      </w:pPr>
      <w:r w:rsidRPr="00C77F59">
        <w:t>Solution highlights how it creatively and effectively meets the needs and requirements of the RFP</w:t>
      </w:r>
      <w:r>
        <w:t>…………….5.</w:t>
      </w:r>
    </w:p>
    <w:p w14:paraId="5FBFC7FF" w14:textId="3445DE95" w:rsidR="00C77F59" w:rsidRDefault="00C77F59" w:rsidP="009B21A9">
      <w:pPr>
        <w:pStyle w:val="Heading4"/>
      </w:pPr>
      <w:r w:rsidRPr="00C77F59">
        <w:t>Presentation displays follow up procedures and workflow of call triage</w:t>
      </w:r>
      <w:r>
        <w:t>……………………………………. ….15.</w:t>
      </w:r>
    </w:p>
    <w:p w14:paraId="2B6A1867" w14:textId="4B36302C" w:rsidR="00C77F59" w:rsidRDefault="00C77F59" w:rsidP="009B21A9">
      <w:pPr>
        <w:pStyle w:val="Heading4"/>
        <w:rPr>
          <w:rStyle w:val="ui-provider"/>
        </w:rPr>
      </w:pPr>
      <w:r>
        <w:rPr>
          <w:rStyle w:val="ui-provider"/>
        </w:rPr>
        <w:t>Reporting capabilities are consistent with the RFP requirements………………………………………….…….10.</w:t>
      </w:r>
    </w:p>
    <w:p w14:paraId="6FED33D6" w14:textId="1F6D6F08" w:rsidR="00C77F59" w:rsidRDefault="00C77F59" w:rsidP="009B21A9">
      <w:pPr>
        <w:pStyle w:val="Heading4"/>
      </w:pPr>
      <w:r w:rsidRPr="00C77F59">
        <w:t>Vendor staff demonstrating the system are knowledgeable about 988 call center services, case management, mental health protocols, and the proposed system; and respond to questions in a knowledgeable manner</w:t>
      </w:r>
      <w:r>
        <w:t>……….…….15.</w:t>
      </w:r>
    </w:p>
    <w:p w14:paraId="09A6744F" w14:textId="7FE122D6" w:rsidR="00C77F59" w:rsidRPr="001324B9" w:rsidRDefault="00C77F59" w:rsidP="009B21A9">
      <w:pPr>
        <w:pStyle w:val="Heading4"/>
      </w:pPr>
      <w:r w:rsidRPr="00C77F59">
        <w:t>Presentation is organized, easy to understand, and without technical problems</w:t>
      </w:r>
      <w:r>
        <w:t>…………………………………</w:t>
      </w:r>
      <w:proofErr w:type="gramStart"/>
      <w:r>
        <w:t>10</w:t>
      </w:r>
      <w:proofErr w:type="gramEnd"/>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2356A012" w14:textId="77777777" w:rsidR="00104A2B" w:rsidRPr="00111CB9" w:rsidRDefault="00104A2B" w:rsidP="00104A2B"/>
    <w:p w14:paraId="2BD66B70" w14:textId="4105F5A4" w:rsidR="00C0347B" w:rsidRPr="00B66FFF" w:rsidRDefault="00C0347B" w:rsidP="00A33A03">
      <w:pPr>
        <w:pStyle w:val="Heading1"/>
      </w:pPr>
      <w:bookmarkStart w:id="25" w:name="_Toc106965216"/>
      <w:r w:rsidRPr="00B66FFF">
        <w:t xml:space="preserve">MANDATORY </w:t>
      </w:r>
      <w:r w:rsidR="00CF52F6" w:rsidRPr="00B66FFF">
        <w:t>MINIMUM REQUIREMENTS</w:t>
      </w:r>
      <w:bookmarkEnd w:id="19"/>
      <w:bookmarkEnd w:id="20"/>
      <w:bookmarkEnd w:id="25"/>
    </w:p>
    <w:p w14:paraId="5F50D9BF" w14:textId="3BBE67A1" w:rsidR="00C0347B" w:rsidRPr="00B66FFF" w:rsidRDefault="00C0347B" w:rsidP="00C371BD"/>
    <w:p w14:paraId="129A4CE7" w14:textId="48DF7F99"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0F60F5">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w:t>
      </w:r>
      <w:r w:rsidR="00323303">
        <w:lastRenderedPageBreak/>
        <w:t xml:space="preserve">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9775510"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C5735B" w:rsidRPr="000A10EC">
        <w:t>The contract</w:t>
      </w:r>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6" w:name="_Toc70363818"/>
      <w:bookmarkStart w:id="27" w:name="_Toc70367353"/>
      <w:bookmarkStart w:id="28" w:name="_Toc106965217"/>
      <w:r w:rsidRPr="00B66FFF">
        <w:t>CRITICAL ITEMS</w:t>
      </w:r>
      <w:bookmarkEnd w:id="26"/>
      <w:bookmarkEnd w:id="27"/>
      <w:bookmarkEnd w:id="28"/>
    </w:p>
    <w:p w14:paraId="2717C761" w14:textId="5648A11D" w:rsidR="004D7D81" w:rsidRPr="00B66FFF" w:rsidRDefault="004D7D81" w:rsidP="00C371BD"/>
    <w:p w14:paraId="78AF30DD" w14:textId="0D4EC2BC"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FC7E6E" w:rsidRPr="00E07DDD">
        <w:t>proposals</w:t>
      </w:r>
      <w:r w:rsidR="000B0713" w:rsidRPr="00E07DDD">
        <w:t xml:space="preserve"> should address items in this section in </w:t>
      </w:r>
      <w:r w:rsidR="00A06F83" w:rsidRPr="00E07DDD">
        <w:t>enough</w:t>
      </w:r>
      <w:r w:rsidR="000B0713" w:rsidRPr="00E07DDD">
        <w:t xml:space="preserve"> detail to provide </w:t>
      </w:r>
      <w:r w:rsidR="00FC7E6E"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5C534204"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FC7E6E" w:rsidRPr="00E07DDD">
        <w:t>The ability</w:t>
      </w:r>
      <w:r w:rsidR="007574FF" w:rsidRPr="00E07DDD">
        <w:t xml:space="preserve"> to agree to contract terms is a high priority </w:t>
      </w:r>
      <w:r w:rsidR="00FC7E6E" w:rsidRPr="00E07DDD">
        <w:t>for</w:t>
      </w:r>
      <w:r w:rsidR="007574FF" w:rsidRPr="00E07DDD">
        <w:t xml:space="preserve">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06BF2187" w:rsidR="006F6504" w:rsidRDefault="000F60F5" w:rsidP="00917638">
      <w:pPr>
        <w:pStyle w:val="Heading3"/>
      </w:pPr>
      <w:r>
        <w:t>The awarded</w:t>
      </w:r>
      <w:r w:rsidR="002727A2" w:rsidRPr="002727A2">
        <w:t xml:space="preserve"> vendor shall maintain, for the duration of the contract, insurance coverages as set forth in the fully executed contract.</w:t>
      </w:r>
    </w:p>
    <w:p w14:paraId="4F858D24" w14:textId="609F7610" w:rsidR="0007400C" w:rsidRDefault="0007400C" w:rsidP="00917638">
      <w:pPr>
        <w:pStyle w:val="Heading3"/>
      </w:pPr>
      <w:r>
        <w:t xml:space="preserve">Work on the contract shall not begin until after the awarded vendor has submitted acceptable evidence of the required insurance </w:t>
      </w:r>
      <w:r w:rsidR="000F60F5">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w:t>
      </w:r>
      <w:r>
        <w:lastRenderedPageBreak/>
        <w:t>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8028A5A" w:rsidR="00875B0F" w:rsidRPr="00070397" w:rsidRDefault="00875B0F" w:rsidP="00875B0F">
      <w:pPr>
        <w:pStyle w:val="Heading3"/>
        <w:rPr>
          <w:iCs/>
        </w:rPr>
      </w:pPr>
      <w:r w:rsidRPr="00111CB9">
        <w:t xml:space="preserve">A resume shall be </w:t>
      </w:r>
      <w:r w:rsidR="00070397">
        <w:t>provided for the following individuals</w:t>
      </w:r>
      <w:r>
        <w:t>,</w:t>
      </w:r>
      <w:r w:rsidRPr="00111CB9">
        <w:t xml:space="preserve"> </w:t>
      </w:r>
      <w:r>
        <w:t>see</w:t>
      </w:r>
      <w:r w:rsidRPr="00111CB9">
        <w:t xml:space="preserve"> </w:t>
      </w:r>
      <w:r w:rsidRPr="007600DB">
        <w:rPr>
          <w:i/>
        </w:rPr>
        <w:t>Proposed Staff Resume</w:t>
      </w:r>
      <w:r>
        <w:rPr>
          <w:i/>
        </w:rPr>
        <w:t>.</w:t>
      </w:r>
    </w:p>
    <w:p w14:paraId="09FD9120" w14:textId="77777777" w:rsidR="00070397" w:rsidRPr="00111CB9" w:rsidRDefault="00070397" w:rsidP="00070397">
      <w:pPr>
        <w:pStyle w:val="Heading3"/>
        <w:numPr>
          <w:ilvl w:val="0"/>
          <w:numId w:val="0"/>
        </w:numPr>
        <w:ind w:left="720"/>
        <w:rPr>
          <w:iCs/>
        </w:rPr>
      </w:pPr>
    </w:p>
    <w:p w14:paraId="23F2B2D4" w14:textId="221FDCE4" w:rsidR="00875B0F" w:rsidRDefault="00070397" w:rsidP="00070397">
      <w:pPr>
        <w:pStyle w:val="Heading4"/>
      </w:pPr>
      <w:r>
        <w:t>P</w:t>
      </w:r>
      <w:r w:rsidR="00875B0F" w:rsidRPr="00111CB9">
        <w:t xml:space="preserve">roposed </w:t>
      </w:r>
      <w:r w:rsidR="00CC794C">
        <w:t>operational staff</w:t>
      </w:r>
      <w:r w:rsidR="00875B0F">
        <w:t>.</w:t>
      </w:r>
    </w:p>
    <w:p w14:paraId="18575BDF" w14:textId="68121B02" w:rsidR="008A48AF" w:rsidRDefault="00070397" w:rsidP="00070397">
      <w:pPr>
        <w:pStyle w:val="Heading4"/>
      </w:pPr>
      <w:r>
        <w:t>K</w:t>
      </w:r>
      <w:r w:rsidR="008A48AF">
        <w:t xml:space="preserve">ey personnel. </w:t>
      </w:r>
    </w:p>
    <w:p w14:paraId="2F0EEA11" w14:textId="59A47947" w:rsidR="00070397" w:rsidRDefault="00070397" w:rsidP="00070397">
      <w:pPr>
        <w:pStyle w:val="Heading4"/>
      </w:pPr>
      <w:r>
        <w:t xml:space="preserve">Proposed Implementation Staff. </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35745EB2" w:rsidR="00EC5E9E" w:rsidRDefault="000F60F5"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5A20C2AA" w:rsidR="00B27BFE" w:rsidRDefault="001760B6" w:rsidP="001760B6">
      <w:pPr>
        <w:pStyle w:val="Heading3"/>
      </w:pPr>
      <w:r>
        <w:t>T</w:t>
      </w:r>
      <w:r w:rsidR="00B27BFE">
        <w:t xml:space="preserve">he State will not disclose submitted </w:t>
      </w:r>
      <w:r w:rsidR="000F60F5">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29" w:name="_Toc65138429"/>
      <w:bookmarkStart w:id="30" w:name="_Toc66176037"/>
      <w:bookmarkStart w:id="31" w:name="_Toc70363820"/>
      <w:bookmarkStart w:id="32" w:name="_Toc70367355"/>
      <w:bookmarkStart w:id="33" w:name="_Toc106965218"/>
      <w:r w:rsidRPr="00111CB9">
        <w:t>SUBMISSION CHECKLIST</w:t>
      </w:r>
      <w:bookmarkEnd w:id="29"/>
      <w:bookmarkEnd w:id="30"/>
      <w:bookmarkEnd w:id="31"/>
      <w:bookmarkEnd w:id="32"/>
      <w:bookmarkEnd w:id="33"/>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lastRenderedPageBreak/>
        <w:t xml:space="preserve">Cost proposal attachment shall not be flagged as confidential in </w:t>
      </w:r>
      <w:proofErr w:type="spellStart"/>
      <w:r>
        <w:t>NevadaEPro</w:t>
      </w:r>
      <w:proofErr w:type="spellEnd"/>
      <w:r>
        <w:t>.</w:t>
      </w:r>
    </w:p>
    <w:p w14:paraId="2C3F75D8" w14:textId="521C8FA1" w:rsidR="004D3B3F" w:rsidRPr="00E07DDD" w:rsidRDefault="004D3B3F" w:rsidP="005179C8">
      <w:pPr>
        <w:pStyle w:val="Heading3"/>
      </w:pPr>
      <w:r w:rsidRPr="00E07DDD">
        <w:t xml:space="preserve">Additional attachments may be </w:t>
      </w:r>
      <w:r w:rsidR="000F60F5"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3A0D3E61" w:rsidR="004D3B3F" w:rsidRDefault="002F7107" w:rsidP="002458DB">
      <w:pPr>
        <w:pStyle w:val="Heading4"/>
      </w:pPr>
      <w:r>
        <w:t xml:space="preserve">Response to </w:t>
      </w:r>
      <w:r w:rsidR="004D3B3F">
        <w:t>Mandatory Minimum Requirements</w:t>
      </w:r>
      <w:r w:rsidR="00002067">
        <w:t xml:space="preserve"> (RFP Section 07)</w:t>
      </w:r>
    </w:p>
    <w:p w14:paraId="05ED3F6E" w14:textId="07A9BE57" w:rsidR="004D3B3F" w:rsidRDefault="002F7107" w:rsidP="002458DB">
      <w:pPr>
        <w:pStyle w:val="Heading4"/>
      </w:pPr>
      <w:r>
        <w:t xml:space="preserve">Response to </w:t>
      </w:r>
      <w:r w:rsidR="004D3B3F">
        <w:t>Critical Items</w:t>
      </w:r>
      <w:r w:rsidR="007F5657">
        <w:t xml:space="preserve"> (RFP Section 8)</w:t>
      </w:r>
    </w:p>
    <w:p w14:paraId="79A70326" w14:textId="3C98F9C7" w:rsidR="004D3B3F" w:rsidRDefault="004D3B3F" w:rsidP="002458DB">
      <w:pPr>
        <w:pStyle w:val="Heading4"/>
      </w:pPr>
      <w:r>
        <w:t>Response to Scope of Work</w:t>
      </w:r>
      <w:r w:rsidR="007F5657">
        <w:t xml:space="preserve"> (RFP Section 3)</w:t>
      </w:r>
    </w:p>
    <w:p w14:paraId="60F9F764" w14:textId="53CD0C84" w:rsidR="007F5657" w:rsidRPr="00A87677" w:rsidRDefault="007F5657" w:rsidP="002458DB">
      <w:pPr>
        <w:pStyle w:val="Heading4"/>
      </w:pPr>
      <w:r>
        <w:t>Response to Proposal Attachments (RFP Section 4)</w:t>
      </w:r>
    </w:p>
    <w:p w14:paraId="414D63F1" w14:textId="526C315D" w:rsidR="00785D00" w:rsidRDefault="00785D00" w:rsidP="002458DB">
      <w:pPr>
        <w:pStyle w:val="Heading4"/>
      </w:pPr>
      <w:r>
        <w:t xml:space="preserve">Proposed </w:t>
      </w:r>
      <w:r w:rsidR="00BA54B3">
        <w:t xml:space="preserve">Implementation </w:t>
      </w:r>
      <w:r>
        <w:t xml:space="preserve">Staff </w:t>
      </w:r>
      <w:r w:rsidR="00440CEA">
        <w:t xml:space="preserve">and Operational Staff </w:t>
      </w:r>
      <w:r>
        <w:t>Resumes</w:t>
      </w:r>
      <w:r w:rsidR="00BA54B3">
        <w:t xml:space="preserve"> (State Attachment 07)</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4C47CB46" w:rsidR="004D3B3F" w:rsidRPr="000B70E9" w:rsidRDefault="006700EC" w:rsidP="00B05314">
      <w:pPr>
        <w:pStyle w:val="Heading2"/>
      </w:pPr>
      <w:r>
        <w:t>PROPRIETARY INFORMATION. I</w:t>
      </w:r>
      <w:r w:rsidR="004D3B3F">
        <w:t xml:space="preserve">f </w:t>
      </w:r>
      <w:r w:rsidR="007270C7">
        <w:t>necessary</w:t>
      </w:r>
      <w:r>
        <w:t>.</w:t>
      </w:r>
      <w:r w:rsidR="004D3B3F">
        <w:t xml:space="preserve"> </w:t>
      </w:r>
      <w:r w:rsidR="000F60F5">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4163730E" w:rsidR="004D3B3F" w:rsidRDefault="004D3B3F" w:rsidP="002458DB">
      <w:pPr>
        <w:pStyle w:val="Heading4"/>
      </w:pPr>
      <w:r>
        <w:t xml:space="preserve">Trade Secret information, cross </w:t>
      </w:r>
      <w:r w:rsidR="00C5735B">
        <w:t>reference</w:t>
      </w:r>
      <w:r>
        <w:t xml:space="preserve"> to the technical </w:t>
      </w:r>
      <w:r w:rsidR="000F60F5">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0619DC83" w:rsidR="004D3B3F" w:rsidRDefault="006700EC" w:rsidP="00B05314">
      <w:pPr>
        <w:pStyle w:val="Heading2"/>
      </w:pPr>
      <w:r>
        <w:t xml:space="preserve">VENDOR FINANCIAL INFORMATION. </w:t>
      </w:r>
      <w:r w:rsidR="000F60F5">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0E5E"/>
    <w:rsid w:val="00002067"/>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0397"/>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0F60F5"/>
    <w:rsid w:val="000F6DF4"/>
    <w:rsid w:val="0010495B"/>
    <w:rsid w:val="00104A2B"/>
    <w:rsid w:val="001265EB"/>
    <w:rsid w:val="001324B9"/>
    <w:rsid w:val="00147EE8"/>
    <w:rsid w:val="00152455"/>
    <w:rsid w:val="001530A7"/>
    <w:rsid w:val="001539A4"/>
    <w:rsid w:val="00153BCB"/>
    <w:rsid w:val="001543A1"/>
    <w:rsid w:val="00160372"/>
    <w:rsid w:val="001658B9"/>
    <w:rsid w:val="00174D02"/>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0CEA"/>
    <w:rsid w:val="00442A39"/>
    <w:rsid w:val="00447B89"/>
    <w:rsid w:val="00451D33"/>
    <w:rsid w:val="00452DAB"/>
    <w:rsid w:val="00464CE1"/>
    <w:rsid w:val="00470B98"/>
    <w:rsid w:val="00473394"/>
    <w:rsid w:val="00480878"/>
    <w:rsid w:val="00485BEA"/>
    <w:rsid w:val="0048612E"/>
    <w:rsid w:val="004A53E9"/>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2CAC"/>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5A6F"/>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130C"/>
    <w:rsid w:val="007F278A"/>
    <w:rsid w:val="007F5657"/>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A48AF"/>
    <w:rsid w:val="008B2AAF"/>
    <w:rsid w:val="008B3202"/>
    <w:rsid w:val="008B4C30"/>
    <w:rsid w:val="008B77CB"/>
    <w:rsid w:val="008B7EA8"/>
    <w:rsid w:val="008C3018"/>
    <w:rsid w:val="008C7154"/>
    <w:rsid w:val="008D4B2D"/>
    <w:rsid w:val="008E2147"/>
    <w:rsid w:val="008E44AD"/>
    <w:rsid w:val="008E6ECA"/>
    <w:rsid w:val="008F2098"/>
    <w:rsid w:val="008F5CF1"/>
    <w:rsid w:val="00901232"/>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2876"/>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5781"/>
    <w:rsid w:val="00A06F83"/>
    <w:rsid w:val="00A124A3"/>
    <w:rsid w:val="00A159A8"/>
    <w:rsid w:val="00A209FF"/>
    <w:rsid w:val="00A2121F"/>
    <w:rsid w:val="00A22012"/>
    <w:rsid w:val="00A2321A"/>
    <w:rsid w:val="00A26320"/>
    <w:rsid w:val="00A2735A"/>
    <w:rsid w:val="00A27481"/>
    <w:rsid w:val="00A27835"/>
    <w:rsid w:val="00A33A03"/>
    <w:rsid w:val="00A37DE5"/>
    <w:rsid w:val="00A41228"/>
    <w:rsid w:val="00A42319"/>
    <w:rsid w:val="00A42AC7"/>
    <w:rsid w:val="00A474EA"/>
    <w:rsid w:val="00A477DD"/>
    <w:rsid w:val="00A539C5"/>
    <w:rsid w:val="00A55DAB"/>
    <w:rsid w:val="00A6408C"/>
    <w:rsid w:val="00A64D12"/>
    <w:rsid w:val="00A828BC"/>
    <w:rsid w:val="00A86042"/>
    <w:rsid w:val="00AA1D99"/>
    <w:rsid w:val="00AA49B0"/>
    <w:rsid w:val="00AA52B8"/>
    <w:rsid w:val="00AA799D"/>
    <w:rsid w:val="00AB4168"/>
    <w:rsid w:val="00AB7A0B"/>
    <w:rsid w:val="00AC3167"/>
    <w:rsid w:val="00AC390B"/>
    <w:rsid w:val="00AE01EE"/>
    <w:rsid w:val="00AE0ED5"/>
    <w:rsid w:val="00AE3F7D"/>
    <w:rsid w:val="00AE3F9B"/>
    <w:rsid w:val="00AE607B"/>
    <w:rsid w:val="00B00C2E"/>
    <w:rsid w:val="00B01158"/>
    <w:rsid w:val="00B02D12"/>
    <w:rsid w:val="00B05314"/>
    <w:rsid w:val="00B07447"/>
    <w:rsid w:val="00B07887"/>
    <w:rsid w:val="00B105BB"/>
    <w:rsid w:val="00B14A8D"/>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A54B3"/>
    <w:rsid w:val="00BB56AE"/>
    <w:rsid w:val="00BB6AA2"/>
    <w:rsid w:val="00BB7679"/>
    <w:rsid w:val="00BC0CAF"/>
    <w:rsid w:val="00BC78F5"/>
    <w:rsid w:val="00BC7EBF"/>
    <w:rsid w:val="00BD05A2"/>
    <w:rsid w:val="00BD06DA"/>
    <w:rsid w:val="00BD075A"/>
    <w:rsid w:val="00BE1A21"/>
    <w:rsid w:val="00BE3903"/>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56B61"/>
    <w:rsid w:val="00C5735B"/>
    <w:rsid w:val="00C65313"/>
    <w:rsid w:val="00C72CD8"/>
    <w:rsid w:val="00C77F59"/>
    <w:rsid w:val="00C77F5D"/>
    <w:rsid w:val="00C80730"/>
    <w:rsid w:val="00C80787"/>
    <w:rsid w:val="00C812C1"/>
    <w:rsid w:val="00C8235B"/>
    <w:rsid w:val="00C83CBC"/>
    <w:rsid w:val="00C96F08"/>
    <w:rsid w:val="00CA0951"/>
    <w:rsid w:val="00CA42A7"/>
    <w:rsid w:val="00CA71ED"/>
    <w:rsid w:val="00CB0601"/>
    <w:rsid w:val="00CB0D80"/>
    <w:rsid w:val="00CC6879"/>
    <w:rsid w:val="00CC794C"/>
    <w:rsid w:val="00CD7AE2"/>
    <w:rsid w:val="00CE3D28"/>
    <w:rsid w:val="00CE4363"/>
    <w:rsid w:val="00CE6F3F"/>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22A2"/>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196B"/>
    <w:rsid w:val="00F6215A"/>
    <w:rsid w:val="00F678DD"/>
    <w:rsid w:val="00F734D3"/>
    <w:rsid w:val="00F74E88"/>
    <w:rsid w:val="00F809BE"/>
    <w:rsid w:val="00F84966"/>
    <w:rsid w:val="00F9184D"/>
    <w:rsid w:val="00F97191"/>
    <w:rsid w:val="00FB21EE"/>
    <w:rsid w:val="00FB5CB5"/>
    <w:rsid w:val="00FB75D9"/>
    <w:rsid w:val="00FC1A52"/>
    <w:rsid w:val="00FC5A83"/>
    <w:rsid w:val="00FC64DA"/>
    <w:rsid w:val="00FC7E6E"/>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customStyle="1" w:styleId="ui-provider">
    <w:name w:val="ui-provider"/>
    <w:basedOn w:val="DefaultParagraphFont"/>
    <w:rsid w:val="00C77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80</TotalTime>
  <Pages>7</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Courtney Dalton</cp:lastModifiedBy>
  <cp:revision>37</cp:revision>
  <cp:lastPrinted>2021-03-03T00:07:00Z</cp:lastPrinted>
  <dcterms:created xsi:type="dcterms:W3CDTF">2024-02-13T22:47:00Z</dcterms:created>
  <dcterms:modified xsi:type="dcterms:W3CDTF">2024-02-22T15:18:00Z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