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4FEDD143" w:rsidR="002934F0" w:rsidRPr="00E869AA" w:rsidRDefault="00D12E1A" w:rsidP="005179C8">
      <w:pPr>
        <w:jc w:val="center"/>
      </w:pPr>
      <w:r>
        <w:t>Solicitation</w:t>
      </w:r>
      <w:r w:rsidR="002934F0" w:rsidRPr="00E869AA">
        <w:t>:</w:t>
      </w:r>
      <w:r w:rsidR="00782341">
        <w:t xml:space="preserve">  81DMV-S2681</w:t>
      </w:r>
    </w:p>
    <w:p w14:paraId="54E63840" w14:textId="53089180" w:rsidR="002934F0" w:rsidRPr="00E869AA" w:rsidRDefault="002934F0" w:rsidP="005179C8">
      <w:pPr>
        <w:jc w:val="center"/>
      </w:pPr>
      <w:r w:rsidRPr="00E869AA">
        <w:t>For</w:t>
      </w:r>
    </w:p>
    <w:p w14:paraId="6C09ACE3" w14:textId="334B25CC" w:rsidR="002934F0" w:rsidRPr="00B07887" w:rsidRDefault="00782341" w:rsidP="005179C8">
      <w:pPr>
        <w:jc w:val="center"/>
        <w:rPr>
          <w:b/>
          <w:bCs/>
        </w:rPr>
      </w:pPr>
      <w:r>
        <w:rPr>
          <w:b/>
          <w:bCs/>
        </w:rPr>
        <w:t>LICENSE PLATE SHEETING</w:t>
      </w:r>
      <w:r w:rsidR="000271B8">
        <w:rPr>
          <w:b/>
          <w:bCs/>
        </w:rPr>
        <w:t xml:space="preserve"> MATERIALS</w:t>
      </w:r>
    </w:p>
    <w:p w14:paraId="04499821" w14:textId="77777777" w:rsidR="003B3F79" w:rsidRPr="00E869AA" w:rsidRDefault="003B3F79" w:rsidP="005179C8">
      <w:pPr>
        <w:jc w:val="center"/>
      </w:pPr>
    </w:p>
    <w:p w14:paraId="4461C066" w14:textId="5A6BC470" w:rsidR="002934F0" w:rsidRPr="00F34CA8" w:rsidRDefault="002934F0" w:rsidP="005179C8">
      <w:pPr>
        <w:jc w:val="center"/>
      </w:pPr>
      <w:r w:rsidRPr="00E869AA">
        <w:t>Release Date</w:t>
      </w:r>
      <w:r w:rsidRPr="00F34CA8">
        <w:t>:</w:t>
      </w:r>
      <w:r w:rsidR="00411933" w:rsidRPr="00F34CA8">
        <w:t xml:space="preserve"> </w:t>
      </w:r>
      <w:proofErr w:type="gramStart"/>
      <w:r w:rsidR="00F34CA8" w:rsidRPr="00F34CA8">
        <w:rPr>
          <w:b/>
          <w:bCs/>
        </w:rPr>
        <w:t>03</w:t>
      </w:r>
      <w:r w:rsidR="000A5C45" w:rsidRPr="00F34CA8">
        <w:rPr>
          <w:b/>
          <w:bCs/>
        </w:rPr>
        <w:t>/</w:t>
      </w:r>
      <w:r w:rsidR="00F34CA8" w:rsidRPr="00F34CA8">
        <w:rPr>
          <w:b/>
          <w:bCs/>
        </w:rPr>
        <w:t>14</w:t>
      </w:r>
      <w:r w:rsidR="000A5C45" w:rsidRPr="00F34CA8">
        <w:rPr>
          <w:b/>
          <w:bCs/>
        </w:rPr>
        <w:t>/</w:t>
      </w:r>
      <w:r w:rsidR="00F34CA8" w:rsidRPr="00F34CA8">
        <w:rPr>
          <w:b/>
          <w:bCs/>
        </w:rPr>
        <w:t>2024</w:t>
      </w:r>
      <w:proofErr w:type="gramEnd"/>
    </w:p>
    <w:p w14:paraId="2B985DCC" w14:textId="35A7CF8B" w:rsidR="003B3F79" w:rsidRPr="00E869AA" w:rsidRDefault="002934F0" w:rsidP="005179C8">
      <w:pPr>
        <w:jc w:val="center"/>
      </w:pPr>
      <w:r w:rsidRPr="00F34CA8">
        <w:t>Deadline for Submission and Opening Date and Time:</w:t>
      </w:r>
      <w:r w:rsidR="00411933" w:rsidRPr="00F34CA8">
        <w:t xml:space="preserve"> </w:t>
      </w:r>
      <w:r w:rsidR="00F34CA8" w:rsidRPr="00F34CA8">
        <w:rPr>
          <w:b/>
          <w:bCs/>
        </w:rPr>
        <w:t>05</w:t>
      </w:r>
      <w:r w:rsidR="000A5C45" w:rsidRPr="00F34CA8">
        <w:rPr>
          <w:b/>
          <w:bCs/>
        </w:rPr>
        <w:t>/</w:t>
      </w:r>
      <w:r w:rsidR="00F34CA8" w:rsidRPr="00F34CA8">
        <w:rPr>
          <w:b/>
          <w:bCs/>
        </w:rPr>
        <w:t>02</w:t>
      </w:r>
      <w:r w:rsidR="000A5C45" w:rsidRPr="00F34CA8">
        <w:rPr>
          <w:b/>
          <w:bCs/>
        </w:rPr>
        <w:t>/</w:t>
      </w:r>
      <w:r w:rsidR="00F34CA8" w:rsidRPr="00F34CA8">
        <w:rPr>
          <w:b/>
          <w:bCs/>
        </w:rPr>
        <w:t>2024</w:t>
      </w:r>
      <w:r w:rsidRPr="00F34CA8">
        <w:rPr>
          <w:b/>
          <w:bCs/>
        </w:rPr>
        <w:t xml:space="preserve"> @ </w:t>
      </w:r>
      <w:r w:rsidR="000A5C45" w:rsidRPr="00F34CA8">
        <w:rPr>
          <w:b/>
          <w:bCs/>
        </w:rPr>
        <w:t>2:00</w:t>
      </w:r>
      <w:r w:rsidRPr="00F34CA8">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49D11999" w:rsidR="002934F0" w:rsidRPr="00E869AA" w:rsidRDefault="00782341" w:rsidP="005179C8">
      <w:pPr>
        <w:jc w:val="center"/>
      </w:pPr>
      <w:r>
        <w:t>Heather Moon, Purchasing Officer II</w:t>
      </w:r>
    </w:p>
    <w:p w14:paraId="77ECED79" w14:textId="36461D29" w:rsidR="002934F0" w:rsidRPr="00E869AA" w:rsidRDefault="002934F0" w:rsidP="005179C8">
      <w:pPr>
        <w:jc w:val="center"/>
      </w:pPr>
      <w:r w:rsidRPr="00E869AA">
        <w:t>Phone</w:t>
      </w:r>
      <w:r w:rsidR="00782341">
        <w:t>:  775-684-0179</w:t>
      </w:r>
    </w:p>
    <w:p w14:paraId="0E02F26B" w14:textId="49340CD2" w:rsidR="003B3F79" w:rsidRPr="00E869AA" w:rsidRDefault="002934F0" w:rsidP="005179C8">
      <w:pPr>
        <w:jc w:val="center"/>
      </w:pPr>
      <w:r w:rsidRPr="00E869AA">
        <w:t>Email Address</w:t>
      </w:r>
      <w:r w:rsidR="00782341">
        <w:t xml:space="preserve">:  </w:t>
      </w:r>
      <w:hyperlink r:id="rId12" w:history="1">
        <w:r w:rsidR="00782341" w:rsidRPr="00407402">
          <w:rPr>
            <w:rStyle w:val="Hyperlink"/>
          </w:rPr>
          <w:t>hmoon@admin.nv.gov</w:t>
        </w:r>
      </w:hyperlink>
      <w:r w:rsidR="00782341">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30721EE7" w:rsidR="002934F0" w:rsidRPr="00E869AA" w:rsidRDefault="002934F0" w:rsidP="005179C8">
      <w:pPr>
        <w:jc w:val="center"/>
      </w:pPr>
      <w:r w:rsidRPr="00E869AA">
        <w:t>Ask the relay agent to dial</w:t>
      </w:r>
      <w:r w:rsidR="003E0EAD" w:rsidRPr="00E869AA">
        <w:t xml:space="preserve">, </w:t>
      </w:r>
      <w:r w:rsidRPr="00E869AA">
        <w:t>1-775-</w:t>
      </w:r>
      <w:r w:rsidR="00782341">
        <w:t>684-0179</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5310E73A"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1A79F453" w14:textId="0BEE288A" w:rsidR="00051D94" w:rsidRDefault="00837E07">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39EC933" w14:textId="7CAB152F" w:rsidR="00051D94" w:rsidRDefault="00837E07">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0D999A73" w14:textId="66F9A9A3" w:rsidR="00051D94" w:rsidRDefault="00837E07">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8C6D6FD" w14:textId="619648F4" w:rsidR="00051D94" w:rsidRDefault="00837E07">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F327E00" w14:textId="5B3505A0" w:rsidR="00051D94" w:rsidRDefault="00837E07">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051D94">
          <w:rPr>
            <w:noProof/>
            <w:webHidden/>
          </w:rPr>
          <w:t>3</w:t>
        </w:r>
        <w:r w:rsidR="00051D94">
          <w:rPr>
            <w:noProof/>
            <w:webHidden/>
          </w:rPr>
          <w:fldChar w:fldCharType="end"/>
        </w:r>
      </w:hyperlink>
    </w:p>
    <w:p w14:paraId="2F18BAE4" w14:textId="418C7F7C" w:rsidR="00051D94" w:rsidRDefault="00837E07">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62C67E17" w14:textId="36A002BA" w:rsidR="00051D94" w:rsidRDefault="00837E07">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73E01A35" w14:textId="023BD6A1" w:rsidR="00051D94" w:rsidRDefault="00837E07">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051D94">
          <w:rPr>
            <w:noProof/>
            <w:webHidden/>
          </w:rPr>
          <w:t>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56358D3E" w14:textId="77777777" w:rsidR="00782341" w:rsidRDefault="00782341" w:rsidP="00782341"/>
    <w:p w14:paraId="297CD392" w14:textId="7F2F5290" w:rsidR="00782341" w:rsidRDefault="00782341" w:rsidP="00782341">
      <w:pPr>
        <w:pStyle w:val="Heading2"/>
      </w:pPr>
      <w:r w:rsidRPr="00E07DDD">
        <w:t xml:space="preserve">The State of Nevada Purchasing Division, on behalf of </w:t>
      </w:r>
      <w:r>
        <w:t>the Nevada Department of Motor Vehicles (NV DMV)</w:t>
      </w:r>
      <w:r w:rsidRPr="00E07DDD">
        <w:t xml:space="preserve"> is seeking proposals from qualified vendors to </w:t>
      </w:r>
      <w:r>
        <w:t xml:space="preserve">provide retro-reflective license plate sheeting and support services necessary to produce finished license plates for both the conventional license plate production method and the digital imaged license plate production methods and supportive materials in both passenger and motorcycle sizes (i.e. dry roll coat foil, thermal ribbon for digital license plate production, protective laminate over-lay, </w:t>
      </w:r>
      <w:proofErr w:type="spellStart"/>
      <w:r>
        <w:t>etc</w:t>
      </w:r>
      <w:proofErr w:type="spellEnd"/>
      <w:r>
        <w:t xml:space="preserve">).  </w:t>
      </w:r>
    </w:p>
    <w:p w14:paraId="34CD3FC9" w14:textId="77777777" w:rsidR="00782341" w:rsidRDefault="00782341" w:rsidP="00782341"/>
    <w:p w14:paraId="4114E141" w14:textId="3C5B2BBF" w:rsidR="00782341" w:rsidRPr="000C3876" w:rsidRDefault="00782341" w:rsidP="00782341">
      <w:pPr>
        <w:pStyle w:val="Heading2"/>
      </w:pPr>
      <w:r>
        <w:t>This RFP is being r</w:t>
      </w:r>
      <w:r w:rsidR="00EE6E0C">
        <w:t xml:space="preserve">un </w:t>
      </w:r>
      <w:r w:rsidR="00F34CA8">
        <w:t>concurrently</w:t>
      </w:r>
      <w:r w:rsidR="00EE6E0C">
        <w:t xml:space="preserve"> </w:t>
      </w:r>
      <w:r>
        <w:t>with RFP 81DMV-S2678 – License Plate Equipment.</w:t>
      </w:r>
      <w:r w:rsidR="00EE6E0C">
        <w:t xml:space="preserve">  The awarded vendor </w:t>
      </w:r>
      <w:proofErr w:type="gramStart"/>
      <w:r w:rsidR="00EE6E0C">
        <w:t>as a result of</w:t>
      </w:r>
      <w:proofErr w:type="gramEnd"/>
      <w:r w:rsidR="00EE6E0C">
        <w:t xml:space="preserve"> RFP 81DMV-S2678 and RFP 81DMV-S2681 agree to work together to ensure a successful project plan for NV DMV.</w:t>
      </w:r>
    </w:p>
    <w:p w14:paraId="59124F48" w14:textId="77777777" w:rsidR="00782341" w:rsidRPr="00B66FFF" w:rsidRDefault="00782341" w:rsidP="00782341"/>
    <w:p w14:paraId="2E7860BD" w14:textId="196C3802" w:rsidR="00782341" w:rsidRPr="00E07DDD" w:rsidRDefault="00782341" w:rsidP="00782341">
      <w:pPr>
        <w:pStyle w:val="Heading2"/>
      </w:pPr>
      <w:r w:rsidRPr="00E07DDD">
        <w:t xml:space="preserve">The State intends to award one (1) contract in conjunction with this Request for Proposals (RFP), as determined in the best interests of the State. </w:t>
      </w:r>
      <w:r>
        <w:t xml:space="preserve">The NV DMV </w:t>
      </w:r>
      <w:r w:rsidRPr="00E07DDD">
        <w:t xml:space="preserve">shall administer contract(s) resulting from this </w:t>
      </w:r>
      <w:r>
        <w:t>solicitation</w:t>
      </w:r>
      <w:r w:rsidRPr="00E07DDD">
        <w:t xml:space="preserve">. The resulting contract(s) are </w:t>
      </w:r>
      <w:r>
        <w:t xml:space="preserve">anticipated </w:t>
      </w:r>
      <w:r w:rsidRPr="00E07DDD">
        <w:t>to be</w:t>
      </w:r>
      <w:r>
        <w:t>gin</w:t>
      </w:r>
      <w:r w:rsidR="00446BF7">
        <w:t xml:space="preserve"> May</w:t>
      </w:r>
      <w:r>
        <w:t xml:space="preserve"> </w:t>
      </w:r>
      <w:r w:rsidR="00446BF7">
        <w:t>1</w:t>
      </w:r>
      <w:r>
        <w:t xml:space="preserve">, </w:t>
      </w:r>
      <w:proofErr w:type="gramStart"/>
      <w:r>
        <w:t>2025</w:t>
      </w:r>
      <w:proofErr w:type="gramEnd"/>
      <w:r>
        <w:t xml:space="preserve"> to April 30, 2029 with two (2) – two (2) year renewal options sub</w:t>
      </w:r>
      <w:r w:rsidRPr="00E07DDD">
        <w:t>ject to Board of Examiners approval.</w:t>
      </w:r>
    </w:p>
    <w:p w14:paraId="3844FAEF" w14:textId="77777777" w:rsidR="001D44B2" w:rsidRPr="00B66FFF" w:rsidRDefault="001D44B2" w:rsidP="00C371BD"/>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031FD8E9" w14:textId="77777777" w:rsidR="00782341" w:rsidRPr="00746AFC" w:rsidRDefault="00782341" w:rsidP="00782341">
      <w:pPr>
        <w:pStyle w:val="Heading3"/>
      </w:pPr>
      <w:r w:rsidRPr="00746AFC">
        <w:t>The goal of this RFP is to obtain the best product solution to produce finished license plates for both the conventional license plate production method and the digital imaged license plate production system and supportive materials.</w:t>
      </w:r>
    </w:p>
    <w:p w14:paraId="11C681CC" w14:textId="3F538B9D" w:rsidR="002B726B" w:rsidRPr="00B66FFF" w:rsidRDefault="002B726B" w:rsidP="00782341">
      <w:pPr>
        <w:pStyle w:val="Heading3"/>
        <w:numPr>
          <w:ilvl w:val="0"/>
          <w:numId w:val="0"/>
        </w:numPr>
      </w:pPr>
    </w:p>
    <w:p w14:paraId="67630081" w14:textId="77777777" w:rsidR="00D91DEB" w:rsidRPr="00B66FFF" w:rsidRDefault="00D91DEB" w:rsidP="00C371BD"/>
    <w:p w14:paraId="125A3A6F" w14:textId="1EF22EE0" w:rsidR="00C56046" w:rsidRPr="00B66FFF" w:rsidRDefault="00C56046" w:rsidP="00A33A03">
      <w:pPr>
        <w:pStyle w:val="Heading1"/>
      </w:pPr>
      <w:bookmarkStart w:id="6" w:name="_Toc70363816"/>
      <w:bookmarkStart w:id="7" w:name="_Toc70367351"/>
      <w:bookmarkStart w:id="8" w:name="_Toc106965212"/>
      <w:r w:rsidRPr="00B66FFF">
        <w:t>SCOPE OF WORK</w:t>
      </w:r>
      <w:bookmarkEnd w:id="6"/>
      <w:bookmarkEnd w:id="7"/>
      <w:bookmarkEnd w:id="8"/>
    </w:p>
    <w:p w14:paraId="0042AC3D" w14:textId="18D65C8E" w:rsidR="00C56046" w:rsidRPr="00B66FFF" w:rsidRDefault="00C56046" w:rsidP="00C371BD"/>
    <w:p w14:paraId="1E834205" w14:textId="77777777" w:rsidR="00870D63" w:rsidRPr="00FE476A" w:rsidRDefault="00870D63" w:rsidP="00870D63">
      <w:pPr>
        <w:pStyle w:val="Heading2"/>
      </w:pPr>
      <w:r w:rsidRPr="00FE476A">
        <w:t>CONVENTIONAL LICENSE PLATES</w:t>
      </w:r>
    </w:p>
    <w:p w14:paraId="2C886CFE" w14:textId="77777777" w:rsidR="00870D63" w:rsidRPr="00FE476A" w:rsidRDefault="00870D63" w:rsidP="00870D63"/>
    <w:p w14:paraId="08CA2870" w14:textId="77777777" w:rsidR="00870D63" w:rsidRPr="00FE476A" w:rsidRDefault="00870D63" w:rsidP="00870D63">
      <w:pPr>
        <w:pStyle w:val="Heading3"/>
      </w:pPr>
      <w:r w:rsidRPr="00FE476A">
        <w:t>To provide retro-reflective sheeting, consumables (I.e., Dry Roll Coat Foils, Thermal Ribbon, Laminate Overlay, etc.) and supportive services necessary to produce conventional embossed license plates, digital license plates and print to emboss (P2E) license plates with supportive consumables.</w:t>
      </w:r>
    </w:p>
    <w:p w14:paraId="4E7E1433" w14:textId="77777777" w:rsidR="00870D63" w:rsidRPr="00FE476A" w:rsidRDefault="00870D63" w:rsidP="00870D63"/>
    <w:p w14:paraId="55D9B541" w14:textId="77777777" w:rsidR="00870D63" w:rsidRPr="00FE476A" w:rsidRDefault="00870D63" w:rsidP="00870D63">
      <w:pPr>
        <w:pStyle w:val="Heading3"/>
      </w:pPr>
      <w:r w:rsidRPr="00FE476A">
        <w:t>The retro-reflective license plate shall consist of retro-reflective sheeting laminated to a specified aluminum substrate which is then blanked and embossed with a dry roll coat process to color the plate message according to the manufacturer’s recommendations.</w:t>
      </w:r>
    </w:p>
    <w:p w14:paraId="1C0B5874" w14:textId="77777777" w:rsidR="00870D63" w:rsidRPr="00FE476A" w:rsidRDefault="00870D63" w:rsidP="00870D63"/>
    <w:p w14:paraId="7A4D2BCF" w14:textId="77777777" w:rsidR="00870D63" w:rsidRPr="00FE476A" w:rsidRDefault="00870D63" w:rsidP="00870D63">
      <w:pPr>
        <w:pStyle w:val="Heading3"/>
      </w:pPr>
      <w:r w:rsidRPr="00FE476A">
        <w:t>The retro-reflective sheeting, when applied to the license plate substrate and blanked to finished size, shall contain identifying marks for purposes of on-vehicle traceability, warranty enforcement and anti-counterfeiting in accordance with these specifications. The warranty marks shall be embedded in the sheeting in such a way to allow for durability and shall incorporate the manufacturer’s production run number that designates the source of manufacture, year of manufacture and specific lot from which the material was supplied. The warranty marks shall not interfere or detract from the graphic design or reduce sheeting reflectivity.</w:t>
      </w:r>
    </w:p>
    <w:p w14:paraId="7D96A3F3" w14:textId="77777777" w:rsidR="00870D63" w:rsidRPr="00FE476A" w:rsidRDefault="00870D63" w:rsidP="00870D63"/>
    <w:p w14:paraId="171C95F2" w14:textId="77777777" w:rsidR="00870D63" w:rsidRDefault="00870D63" w:rsidP="00870D63">
      <w:pPr>
        <w:pStyle w:val="Heading3"/>
      </w:pPr>
      <w:r w:rsidRPr="00FE476A">
        <w:t>Pre-printed retro-reflective sheeting shall conform to the design, colors and sheeting type as approved by the Nevada Department of Motor Vehicles.</w:t>
      </w:r>
    </w:p>
    <w:p w14:paraId="6A960012" w14:textId="77777777" w:rsidR="00870D63" w:rsidRDefault="00870D63" w:rsidP="00870D63">
      <w:pPr>
        <w:pStyle w:val="ListParagraph"/>
      </w:pPr>
    </w:p>
    <w:p w14:paraId="7708A2DE" w14:textId="77777777" w:rsidR="00870D63" w:rsidRDefault="00870D63" w:rsidP="00870D63"/>
    <w:p w14:paraId="5E1A8D52" w14:textId="77777777" w:rsidR="004F28AF" w:rsidRDefault="004F28AF" w:rsidP="00870D63"/>
    <w:p w14:paraId="0D8396CA" w14:textId="77777777" w:rsidR="00870D63" w:rsidRPr="00870D63" w:rsidRDefault="00870D63" w:rsidP="00870D63"/>
    <w:p w14:paraId="3EB11159" w14:textId="77777777" w:rsidR="00870D63" w:rsidRPr="00FE476A" w:rsidRDefault="00870D63" w:rsidP="00870D63"/>
    <w:p w14:paraId="29F35229" w14:textId="77777777" w:rsidR="00870D63" w:rsidRPr="00FE476A" w:rsidRDefault="00870D63" w:rsidP="00870D63">
      <w:pPr>
        <w:pStyle w:val="Heading3"/>
      </w:pPr>
      <w:r w:rsidRPr="00FE476A">
        <w:t>The Department’s current graphic requirements are:</w:t>
      </w:r>
    </w:p>
    <w:p w14:paraId="76A3A5AA" w14:textId="77777777" w:rsidR="00870D63" w:rsidRPr="00FE476A" w:rsidRDefault="00870D63" w:rsidP="00870D63">
      <w:r w:rsidRPr="00FE476A">
        <w:tab/>
      </w:r>
      <w:r w:rsidRPr="00FE476A">
        <w:tab/>
      </w:r>
    </w:p>
    <w:tbl>
      <w:tblPr>
        <w:tblStyle w:val="TableGrid"/>
        <w:tblW w:w="0" w:type="auto"/>
        <w:tblLook w:val="04A0" w:firstRow="1" w:lastRow="0" w:firstColumn="1" w:lastColumn="0" w:noHBand="0" w:noVBand="1"/>
      </w:tblPr>
      <w:tblGrid>
        <w:gridCol w:w="4945"/>
        <w:gridCol w:w="5107"/>
      </w:tblGrid>
      <w:tr w:rsidR="00870D63" w:rsidRPr="00FE476A" w14:paraId="35D4CF25" w14:textId="77777777" w:rsidTr="009A4F54">
        <w:tc>
          <w:tcPr>
            <w:tcW w:w="4945" w:type="dxa"/>
          </w:tcPr>
          <w:p w14:paraId="7F17627D" w14:textId="77777777" w:rsidR="00870D63" w:rsidRPr="00FE476A" w:rsidRDefault="00870D63" w:rsidP="009A4F54">
            <w:r w:rsidRPr="00FE476A">
              <w:t xml:space="preserve">Long Run (Large passenger vehicle 11 15/16”) </w:t>
            </w:r>
          </w:p>
        </w:tc>
        <w:tc>
          <w:tcPr>
            <w:tcW w:w="5107" w:type="dxa"/>
          </w:tcPr>
          <w:p w14:paraId="3F2A5FCE" w14:textId="77777777" w:rsidR="00870D63" w:rsidRPr="00FE476A" w:rsidRDefault="00870D63" w:rsidP="009A4F54">
            <w:r w:rsidRPr="00FE476A">
              <w:t>Large passenger vehicle 11 15/16” x 300 yds; 4-color; with tic marks; Unwind direction to customer: Bottom.</w:t>
            </w:r>
          </w:p>
          <w:p w14:paraId="57AA2831" w14:textId="77777777" w:rsidR="00870D63" w:rsidRPr="00FE476A" w:rsidRDefault="00870D63" w:rsidP="009A4F54"/>
        </w:tc>
      </w:tr>
      <w:tr w:rsidR="00870D63" w:rsidRPr="00FE476A" w14:paraId="6CD1366B" w14:textId="77777777" w:rsidTr="009A4F54">
        <w:tc>
          <w:tcPr>
            <w:tcW w:w="4945" w:type="dxa"/>
          </w:tcPr>
          <w:p w14:paraId="401B9522" w14:textId="77777777" w:rsidR="00870D63" w:rsidRPr="00FE476A" w:rsidRDefault="00870D63" w:rsidP="009A4F54">
            <w:r w:rsidRPr="00FE476A">
              <w:t>White with tick marks, clear laminate and thermal transfer ribbons, and Dry Roll Coat Foil:</w:t>
            </w:r>
          </w:p>
          <w:tbl>
            <w:tblPr>
              <w:tblStyle w:val="TableGrid"/>
              <w:tblW w:w="0" w:type="auto"/>
              <w:tblLook w:val="04A0" w:firstRow="1" w:lastRow="0" w:firstColumn="1" w:lastColumn="0" w:noHBand="0" w:noVBand="1"/>
            </w:tblPr>
            <w:tblGrid>
              <w:gridCol w:w="2065"/>
              <w:gridCol w:w="2610"/>
            </w:tblGrid>
            <w:tr w:rsidR="00870D63" w:rsidRPr="00FE476A" w14:paraId="7E824C90" w14:textId="77777777" w:rsidTr="009A4F54">
              <w:tc>
                <w:tcPr>
                  <w:tcW w:w="2065" w:type="dxa"/>
                </w:tcPr>
                <w:p w14:paraId="7D351942" w14:textId="77777777" w:rsidR="00870D63" w:rsidRPr="00FE476A" w:rsidRDefault="00870D63" w:rsidP="009A4F54">
                  <w:r w:rsidRPr="00FE476A">
                    <w:t>Cyan</w:t>
                  </w:r>
                </w:p>
              </w:tc>
              <w:tc>
                <w:tcPr>
                  <w:tcW w:w="2610" w:type="dxa"/>
                </w:tcPr>
                <w:p w14:paraId="7916E5FE" w14:textId="77777777" w:rsidR="00870D63" w:rsidRPr="00FE476A" w:rsidRDefault="00870D63" w:rsidP="009A4F54">
                  <w:r w:rsidRPr="00FE476A">
                    <w:t>MAT-AR12PC560</w:t>
                  </w:r>
                </w:p>
              </w:tc>
            </w:tr>
            <w:tr w:rsidR="00870D63" w:rsidRPr="00FE476A" w14:paraId="17D57AC2" w14:textId="77777777" w:rsidTr="009A4F54">
              <w:tc>
                <w:tcPr>
                  <w:tcW w:w="2065" w:type="dxa"/>
                </w:tcPr>
                <w:p w14:paraId="67C023ED" w14:textId="77777777" w:rsidR="00870D63" w:rsidRPr="00FE476A" w:rsidRDefault="00870D63" w:rsidP="009A4F54">
                  <w:r w:rsidRPr="00FE476A">
                    <w:t>Magenta</w:t>
                  </w:r>
                </w:p>
              </w:tc>
              <w:tc>
                <w:tcPr>
                  <w:tcW w:w="2610" w:type="dxa"/>
                </w:tcPr>
                <w:p w14:paraId="512F1F6D" w14:textId="77777777" w:rsidR="00870D63" w:rsidRPr="00FE476A" w:rsidRDefault="00870D63" w:rsidP="009A4F54">
                  <w:r w:rsidRPr="00FE476A">
                    <w:t>MAT-AR12PM560</w:t>
                  </w:r>
                </w:p>
              </w:tc>
            </w:tr>
            <w:tr w:rsidR="00870D63" w:rsidRPr="00FE476A" w14:paraId="0F26BE4C" w14:textId="77777777" w:rsidTr="009A4F54">
              <w:tc>
                <w:tcPr>
                  <w:tcW w:w="2065" w:type="dxa"/>
                </w:tcPr>
                <w:p w14:paraId="73D31600" w14:textId="77777777" w:rsidR="00870D63" w:rsidRPr="00FE476A" w:rsidRDefault="00870D63" w:rsidP="009A4F54">
                  <w:r w:rsidRPr="00FE476A">
                    <w:t>Yellow</w:t>
                  </w:r>
                </w:p>
              </w:tc>
              <w:tc>
                <w:tcPr>
                  <w:tcW w:w="2610" w:type="dxa"/>
                </w:tcPr>
                <w:p w14:paraId="040000AE" w14:textId="77777777" w:rsidR="00870D63" w:rsidRPr="00FE476A" w:rsidRDefault="00870D63" w:rsidP="009A4F54">
                  <w:r w:rsidRPr="00FE476A">
                    <w:t>MAT-AR12PY560</w:t>
                  </w:r>
                </w:p>
              </w:tc>
            </w:tr>
            <w:tr w:rsidR="00870D63" w:rsidRPr="00FE476A" w14:paraId="7ED58653" w14:textId="77777777" w:rsidTr="009A4F54">
              <w:tc>
                <w:tcPr>
                  <w:tcW w:w="2065" w:type="dxa"/>
                </w:tcPr>
                <w:p w14:paraId="5C5F2E18" w14:textId="77777777" w:rsidR="00870D63" w:rsidRPr="00FE476A" w:rsidRDefault="00870D63" w:rsidP="009A4F54">
                  <w:r w:rsidRPr="00FE476A">
                    <w:t xml:space="preserve">Black </w:t>
                  </w:r>
                </w:p>
              </w:tc>
              <w:tc>
                <w:tcPr>
                  <w:tcW w:w="2610" w:type="dxa"/>
                </w:tcPr>
                <w:p w14:paraId="4A78294F" w14:textId="77777777" w:rsidR="00870D63" w:rsidRPr="00FE476A" w:rsidRDefault="00870D63" w:rsidP="009A4F54">
                  <w:r w:rsidRPr="00FE476A">
                    <w:t>MAT-AR12PK560</w:t>
                  </w:r>
                </w:p>
              </w:tc>
            </w:tr>
            <w:tr w:rsidR="00870D63" w:rsidRPr="00FE476A" w14:paraId="486A3E01" w14:textId="77777777" w:rsidTr="009A4F54">
              <w:tc>
                <w:tcPr>
                  <w:tcW w:w="2065" w:type="dxa"/>
                </w:tcPr>
                <w:p w14:paraId="608F1B0E" w14:textId="77777777" w:rsidR="00870D63" w:rsidRPr="00FE476A" w:rsidRDefault="00870D63" w:rsidP="009A4F54">
                  <w:r w:rsidRPr="00FE476A">
                    <w:t>Sapphire Blue</w:t>
                  </w:r>
                </w:p>
              </w:tc>
              <w:tc>
                <w:tcPr>
                  <w:tcW w:w="2610" w:type="dxa"/>
                </w:tcPr>
                <w:p w14:paraId="6D0DE07E" w14:textId="77777777" w:rsidR="00870D63" w:rsidRPr="00FE476A" w:rsidRDefault="00870D63" w:rsidP="009A4F54">
                  <w:r w:rsidRPr="00FE476A">
                    <w:t>MAT-AR12SSB560</w:t>
                  </w:r>
                </w:p>
              </w:tc>
            </w:tr>
          </w:tbl>
          <w:p w14:paraId="2ED98C7F" w14:textId="77777777" w:rsidR="00870D63" w:rsidRPr="00FE476A" w:rsidRDefault="00870D63" w:rsidP="009A4F54"/>
          <w:p w14:paraId="6AEFBFB2" w14:textId="77777777" w:rsidR="00870D63" w:rsidRPr="00FE476A" w:rsidRDefault="00870D63" w:rsidP="009A4F54">
            <w:r w:rsidRPr="00FE476A">
              <w:t>Dry Roll Coat Foil</w:t>
            </w:r>
          </w:p>
          <w:tbl>
            <w:tblPr>
              <w:tblStyle w:val="TableGrid"/>
              <w:tblW w:w="0" w:type="auto"/>
              <w:tblLook w:val="04A0" w:firstRow="1" w:lastRow="0" w:firstColumn="1" w:lastColumn="0" w:noHBand="0" w:noVBand="1"/>
            </w:tblPr>
            <w:tblGrid>
              <w:gridCol w:w="2359"/>
              <w:gridCol w:w="2360"/>
            </w:tblGrid>
            <w:tr w:rsidR="00870D63" w:rsidRPr="00FE476A" w14:paraId="52335604" w14:textId="77777777" w:rsidTr="009A4F54">
              <w:tc>
                <w:tcPr>
                  <w:tcW w:w="2359" w:type="dxa"/>
                </w:tcPr>
                <w:p w14:paraId="0A9A0E85" w14:textId="77777777" w:rsidR="00870D63" w:rsidRPr="00FE476A" w:rsidRDefault="00870D63" w:rsidP="009A4F54">
                  <w:r w:rsidRPr="00FE476A">
                    <w:t>Black Gloss Opaque</w:t>
                  </w:r>
                </w:p>
              </w:tc>
              <w:tc>
                <w:tcPr>
                  <w:tcW w:w="2360" w:type="dxa"/>
                </w:tcPr>
                <w:p w14:paraId="532BCBB9" w14:textId="77777777" w:rsidR="00870D63" w:rsidRPr="00FE476A" w:rsidRDefault="00870D63" w:rsidP="009A4F54">
                  <w:r w:rsidRPr="00FE476A">
                    <w:t>HSF105G</w:t>
                  </w:r>
                </w:p>
              </w:tc>
            </w:tr>
            <w:tr w:rsidR="00870D63" w:rsidRPr="00FE476A" w14:paraId="67F7D094" w14:textId="77777777" w:rsidTr="009A4F54">
              <w:tc>
                <w:tcPr>
                  <w:tcW w:w="2359" w:type="dxa"/>
                </w:tcPr>
                <w:p w14:paraId="1677C12E" w14:textId="77777777" w:rsidR="00870D63" w:rsidRPr="00FE476A" w:rsidRDefault="00870D63" w:rsidP="009A4F54">
                  <w:r w:rsidRPr="00FE476A">
                    <w:t>Blue Opaque</w:t>
                  </w:r>
                </w:p>
              </w:tc>
              <w:tc>
                <w:tcPr>
                  <w:tcW w:w="2360" w:type="dxa"/>
                </w:tcPr>
                <w:p w14:paraId="0B3AC081" w14:textId="77777777" w:rsidR="00870D63" w:rsidRPr="00FE476A" w:rsidRDefault="00870D63" w:rsidP="009A4F54">
                  <w:r w:rsidRPr="00FE476A">
                    <w:t>HSF106</w:t>
                  </w:r>
                </w:p>
              </w:tc>
            </w:tr>
            <w:tr w:rsidR="00870D63" w:rsidRPr="00FE476A" w14:paraId="1107939B" w14:textId="77777777" w:rsidTr="009A4F54">
              <w:tc>
                <w:tcPr>
                  <w:tcW w:w="2359" w:type="dxa"/>
                </w:tcPr>
                <w:p w14:paraId="2909B50E" w14:textId="77777777" w:rsidR="00870D63" w:rsidRPr="00FE476A" w:rsidRDefault="00870D63" w:rsidP="009A4F54">
                  <w:r w:rsidRPr="00FE476A">
                    <w:t>Green Gloss</w:t>
                  </w:r>
                </w:p>
              </w:tc>
              <w:tc>
                <w:tcPr>
                  <w:tcW w:w="2360" w:type="dxa"/>
                </w:tcPr>
                <w:p w14:paraId="74739427" w14:textId="77777777" w:rsidR="00870D63" w:rsidRPr="00FE476A" w:rsidRDefault="00870D63" w:rsidP="009A4F54">
                  <w:r w:rsidRPr="00FE476A">
                    <w:t>HSF203</w:t>
                  </w:r>
                </w:p>
              </w:tc>
            </w:tr>
            <w:tr w:rsidR="00870D63" w:rsidRPr="00FE476A" w14:paraId="4E76AD83" w14:textId="77777777" w:rsidTr="009A4F54">
              <w:tc>
                <w:tcPr>
                  <w:tcW w:w="2359" w:type="dxa"/>
                </w:tcPr>
                <w:p w14:paraId="6AB66976" w14:textId="77777777" w:rsidR="00870D63" w:rsidRPr="00FE476A" w:rsidRDefault="00870D63" w:rsidP="009A4F54">
                  <w:r w:rsidRPr="00FE476A">
                    <w:t>Red Gloss Transparent:</w:t>
                  </w:r>
                </w:p>
              </w:tc>
              <w:tc>
                <w:tcPr>
                  <w:tcW w:w="2360" w:type="dxa"/>
                </w:tcPr>
                <w:p w14:paraId="72F8D0FF" w14:textId="77777777" w:rsidR="00870D63" w:rsidRPr="00FE476A" w:rsidRDefault="00870D63" w:rsidP="009A4F54">
                  <w:r w:rsidRPr="00FE476A">
                    <w:t>HSF112G</w:t>
                  </w:r>
                </w:p>
              </w:tc>
            </w:tr>
          </w:tbl>
          <w:p w14:paraId="39EB6391" w14:textId="77777777" w:rsidR="00870D63" w:rsidRPr="00FE476A" w:rsidRDefault="00870D63" w:rsidP="009A4F54"/>
        </w:tc>
        <w:tc>
          <w:tcPr>
            <w:tcW w:w="5107" w:type="dxa"/>
          </w:tcPr>
          <w:p w14:paraId="16577783" w14:textId="77777777" w:rsidR="00870D63" w:rsidRPr="00FE476A" w:rsidRDefault="00870D63" w:rsidP="009A4F54">
            <w:r w:rsidRPr="00FE476A">
              <w:t>Non-graphic White: Large passenger vehicle 11 15/16” x 200 yds; with tic marks; Unwind direction to customer: Top First.</w:t>
            </w:r>
          </w:p>
          <w:p w14:paraId="34909B28" w14:textId="77777777" w:rsidR="00870D63" w:rsidRPr="00FE476A" w:rsidRDefault="00870D63" w:rsidP="009A4F54"/>
          <w:p w14:paraId="2A9D1AB6" w14:textId="77777777" w:rsidR="00870D63" w:rsidRPr="00FE476A" w:rsidRDefault="00870D63" w:rsidP="009A4F54">
            <w:r w:rsidRPr="00FE476A">
              <w:t>Non-graphic White: Motorcycle 6 15/16” x 200 yds; with tic marks; Unwind direction to customer: Top First.</w:t>
            </w:r>
          </w:p>
          <w:p w14:paraId="68166F0A" w14:textId="77777777" w:rsidR="00870D63" w:rsidRPr="00FE476A" w:rsidRDefault="00870D63" w:rsidP="009A4F54"/>
          <w:p w14:paraId="3FAEB1F1" w14:textId="77777777" w:rsidR="00870D63" w:rsidRPr="00FE476A" w:rsidRDefault="00870D63" w:rsidP="009A4F54">
            <w:r w:rsidRPr="00FE476A">
              <w:t>Laminate over-lay:</w:t>
            </w:r>
          </w:p>
          <w:p w14:paraId="2BED4631" w14:textId="77777777" w:rsidR="00870D63" w:rsidRPr="00FE476A" w:rsidRDefault="00870D63" w:rsidP="009A4F54">
            <w:r w:rsidRPr="00FE476A">
              <w:t>Large passenger vehicle: 11 13/16” x 200 yds</w:t>
            </w:r>
          </w:p>
          <w:p w14:paraId="48AA7EE5" w14:textId="77777777" w:rsidR="00870D63" w:rsidRPr="00FE476A" w:rsidRDefault="00870D63" w:rsidP="009A4F54">
            <w:r w:rsidRPr="00FE476A">
              <w:t>Motorcycle: 6 13/16” x 200 yds</w:t>
            </w:r>
          </w:p>
          <w:p w14:paraId="4FD300C4" w14:textId="77777777" w:rsidR="00870D63" w:rsidRPr="00FE476A" w:rsidRDefault="00870D63" w:rsidP="009A4F54"/>
        </w:tc>
      </w:tr>
    </w:tbl>
    <w:p w14:paraId="31219132" w14:textId="77777777" w:rsidR="00870D63" w:rsidRPr="00FE476A" w:rsidRDefault="00870D63" w:rsidP="00870D63"/>
    <w:p w14:paraId="6FCBFB69" w14:textId="2A4E3328" w:rsidR="00870D63" w:rsidRPr="00FE476A" w:rsidRDefault="00870D63" w:rsidP="00870D63">
      <w:pPr>
        <w:pStyle w:val="Heading3"/>
      </w:pPr>
      <w:r w:rsidRPr="00FE476A">
        <w:t xml:space="preserve">In addition to a linear foot price for pre-printed reflective sheeting, each vendor shall include pricing of unprinted white reflective sheeting and any colored sheeting offered. </w:t>
      </w:r>
      <w:r w:rsidR="00A55AB6" w:rsidRPr="00FE476A">
        <w:t>The price</w:t>
      </w:r>
      <w:r w:rsidRPr="00FE476A">
        <w:t xml:space="preserve"> of linear </w:t>
      </w:r>
      <w:proofErr w:type="gramStart"/>
      <w:r w:rsidRPr="00FE476A">
        <w:t>foot of</w:t>
      </w:r>
      <w:proofErr w:type="gramEnd"/>
      <w:r w:rsidRPr="00FE476A">
        <w:t xml:space="preserve"> sheeting must also include all dry roll coat materials needed to manufacture a license plate. The specifications contained herein shall apply to all standard size plate classifications and are inclusive of all special category plates issued by the NV DMV wherein reflective material is required.</w:t>
      </w:r>
    </w:p>
    <w:p w14:paraId="7F78D996" w14:textId="77777777" w:rsidR="00870D63" w:rsidRPr="00FE476A" w:rsidRDefault="00870D63" w:rsidP="00870D63"/>
    <w:p w14:paraId="5A4045CD" w14:textId="77777777" w:rsidR="00870D63" w:rsidRPr="00FE476A" w:rsidRDefault="00870D63" w:rsidP="00870D63">
      <w:pPr>
        <w:pStyle w:val="Heading2"/>
      </w:pPr>
      <w:r w:rsidRPr="00FE476A">
        <w:t>DIGITALLY IMAGED LICENSE PLATES</w:t>
      </w:r>
    </w:p>
    <w:p w14:paraId="6EC2C27B" w14:textId="77777777" w:rsidR="00870D63" w:rsidRPr="00FE476A" w:rsidRDefault="00870D63" w:rsidP="00870D63"/>
    <w:p w14:paraId="40ABCFEF" w14:textId="77777777" w:rsidR="00870D63" w:rsidRPr="00FE476A" w:rsidRDefault="00870D63" w:rsidP="00870D63">
      <w:pPr>
        <w:pStyle w:val="Heading3"/>
      </w:pPr>
      <w:r w:rsidRPr="00FE476A">
        <w:t>The retro-reflective license plate shall consist of retro-reflective sheeting that is digitally printed (with thermal transfer ribbons or other) and then applied to an aluminum substrate according to the manufacturer’s recommendations.</w:t>
      </w:r>
    </w:p>
    <w:p w14:paraId="1A54E95B" w14:textId="77777777" w:rsidR="00870D63" w:rsidRPr="00FE476A" w:rsidRDefault="00870D63" w:rsidP="00870D63"/>
    <w:p w14:paraId="46890041" w14:textId="77777777" w:rsidR="00870D63" w:rsidRPr="00FE476A" w:rsidRDefault="00870D63" w:rsidP="00870D63">
      <w:pPr>
        <w:pStyle w:val="Heading3"/>
      </w:pPr>
      <w:r w:rsidRPr="00FE476A">
        <w:t xml:space="preserve">The reflective sheeting, when applied to the license plate substrate and blanked to finished size, shall contain identifying marks for purposes of on-vehicle traceability, warranty enforcement and anti-counterfeiting, in accordance with these specifications. The warranty marks shall be buried below the sheeting surface for durability and shall incorporate the manufacturer’s production run number that designates the source of manufacture, year of manufacture, and specific lot from which the material was supplied. The warranty marks shall not </w:t>
      </w:r>
      <w:proofErr w:type="gramStart"/>
      <w:r w:rsidRPr="00FE476A">
        <w:t>interfere</w:t>
      </w:r>
      <w:proofErr w:type="gramEnd"/>
      <w:r w:rsidRPr="00FE476A">
        <w:t xml:space="preserve"> or detract from the graphic design or reduce sheeting brightness.</w:t>
      </w:r>
    </w:p>
    <w:p w14:paraId="10DBA04C" w14:textId="77777777" w:rsidR="00870D63" w:rsidRPr="00FE476A" w:rsidRDefault="00870D63" w:rsidP="00870D63"/>
    <w:p w14:paraId="54A13F8D" w14:textId="65B35063" w:rsidR="00870D63" w:rsidRPr="00FE476A" w:rsidRDefault="00A55AB6" w:rsidP="00870D63">
      <w:pPr>
        <w:pStyle w:val="Heading3"/>
      </w:pPr>
      <w:r w:rsidRPr="00FE476A">
        <w:t>The price</w:t>
      </w:r>
      <w:r w:rsidR="00870D63" w:rsidRPr="00FE476A">
        <w:t xml:space="preserve"> of sheeting used in digital license plate manufacturing must also include all ribbons and over laminate sheeting.</w:t>
      </w:r>
    </w:p>
    <w:p w14:paraId="490FEA0D" w14:textId="77777777" w:rsidR="00870D63" w:rsidRPr="00FE476A" w:rsidRDefault="00870D63" w:rsidP="00870D63"/>
    <w:p w14:paraId="0292C8CC" w14:textId="77777777" w:rsidR="00870D63" w:rsidRPr="00FE476A" w:rsidRDefault="00870D63" w:rsidP="00870D63">
      <w:pPr>
        <w:pStyle w:val="Heading3"/>
      </w:pPr>
      <w:r w:rsidRPr="00FE476A">
        <w:t>White 7” and 12” wide ± .0 x 200 yards; to include all dry roll coat materials necessary for processing this material onto aluminum substrate.</w:t>
      </w:r>
    </w:p>
    <w:p w14:paraId="542DE5F1" w14:textId="77777777" w:rsidR="00870D63" w:rsidRPr="00FE476A" w:rsidRDefault="00870D63" w:rsidP="00870D63"/>
    <w:p w14:paraId="7FDB325B" w14:textId="77777777" w:rsidR="00870D63" w:rsidRPr="00FE476A" w:rsidRDefault="00870D63" w:rsidP="00870D63">
      <w:pPr>
        <w:pStyle w:val="Heading3"/>
      </w:pPr>
      <w:r w:rsidRPr="00FE476A">
        <w:t xml:space="preserve">The Department’s current graphic requirements are: </w:t>
      </w:r>
      <w:r w:rsidRPr="00FE476A">
        <w:tab/>
      </w:r>
    </w:p>
    <w:p w14:paraId="1727BBCE" w14:textId="77777777" w:rsidR="00870D63" w:rsidRPr="00FE476A" w:rsidRDefault="00870D63" w:rsidP="00870D63"/>
    <w:tbl>
      <w:tblPr>
        <w:tblStyle w:val="TableGrid"/>
        <w:tblW w:w="0" w:type="auto"/>
        <w:tblLook w:val="04A0" w:firstRow="1" w:lastRow="0" w:firstColumn="1" w:lastColumn="0" w:noHBand="0" w:noVBand="1"/>
      </w:tblPr>
      <w:tblGrid>
        <w:gridCol w:w="4945"/>
        <w:gridCol w:w="5107"/>
      </w:tblGrid>
      <w:tr w:rsidR="00870D63" w:rsidRPr="00FE476A" w14:paraId="1B7D72E7" w14:textId="77777777" w:rsidTr="009A4F54">
        <w:tc>
          <w:tcPr>
            <w:tcW w:w="4945" w:type="dxa"/>
          </w:tcPr>
          <w:p w14:paraId="6A5C934B" w14:textId="77777777" w:rsidR="00870D63" w:rsidRPr="00FE476A" w:rsidRDefault="00870D63" w:rsidP="009A4F54">
            <w:r w:rsidRPr="00FE476A">
              <w:t xml:space="preserve">Long Run (Large passenger vehicle 11 15/16”) </w:t>
            </w:r>
          </w:p>
        </w:tc>
        <w:tc>
          <w:tcPr>
            <w:tcW w:w="5107" w:type="dxa"/>
          </w:tcPr>
          <w:p w14:paraId="7C8B8CB1" w14:textId="77777777" w:rsidR="00870D63" w:rsidRPr="00FE476A" w:rsidRDefault="00870D63" w:rsidP="009A4F54">
            <w:r w:rsidRPr="00FE476A">
              <w:t>Large passenger vehicle 11 15/16” x 300 yds; 4-color; with tic marks; Unwind direction to customer: Bottom.</w:t>
            </w:r>
          </w:p>
          <w:p w14:paraId="10A16A73" w14:textId="77777777" w:rsidR="00870D63" w:rsidRPr="00FE476A" w:rsidRDefault="00870D63" w:rsidP="009A4F54"/>
        </w:tc>
      </w:tr>
      <w:tr w:rsidR="00870D63" w:rsidRPr="00FE476A" w14:paraId="292AE28A" w14:textId="77777777" w:rsidTr="009A4F54">
        <w:tc>
          <w:tcPr>
            <w:tcW w:w="4945" w:type="dxa"/>
          </w:tcPr>
          <w:p w14:paraId="36ADD971" w14:textId="77777777" w:rsidR="00870D63" w:rsidRPr="00FE476A" w:rsidRDefault="00870D63" w:rsidP="009A4F54">
            <w:r w:rsidRPr="00FE476A">
              <w:t>White with tick marks, clear laminate and thermal transfer ribbons, and Dry Roll Coat Foil:</w:t>
            </w:r>
          </w:p>
          <w:tbl>
            <w:tblPr>
              <w:tblStyle w:val="TableGrid"/>
              <w:tblW w:w="0" w:type="auto"/>
              <w:tblLook w:val="04A0" w:firstRow="1" w:lastRow="0" w:firstColumn="1" w:lastColumn="0" w:noHBand="0" w:noVBand="1"/>
            </w:tblPr>
            <w:tblGrid>
              <w:gridCol w:w="2065"/>
              <w:gridCol w:w="2610"/>
            </w:tblGrid>
            <w:tr w:rsidR="00870D63" w:rsidRPr="00FE476A" w14:paraId="7CC16DE1" w14:textId="77777777" w:rsidTr="009A4F54">
              <w:tc>
                <w:tcPr>
                  <w:tcW w:w="2065" w:type="dxa"/>
                </w:tcPr>
                <w:p w14:paraId="467B8F81" w14:textId="77777777" w:rsidR="00870D63" w:rsidRPr="00FE476A" w:rsidRDefault="00870D63" w:rsidP="009A4F54">
                  <w:r w:rsidRPr="00FE476A">
                    <w:t>Cyan</w:t>
                  </w:r>
                </w:p>
              </w:tc>
              <w:tc>
                <w:tcPr>
                  <w:tcW w:w="2610" w:type="dxa"/>
                </w:tcPr>
                <w:p w14:paraId="0D3D1E55" w14:textId="77777777" w:rsidR="00870D63" w:rsidRPr="00FE476A" w:rsidRDefault="00870D63" w:rsidP="009A4F54">
                  <w:r w:rsidRPr="00FE476A">
                    <w:t>MAT-AR12PC560</w:t>
                  </w:r>
                </w:p>
              </w:tc>
            </w:tr>
            <w:tr w:rsidR="00870D63" w:rsidRPr="00FE476A" w14:paraId="4E06630C" w14:textId="77777777" w:rsidTr="009A4F54">
              <w:tc>
                <w:tcPr>
                  <w:tcW w:w="2065" w:type="dxa"/>
                </w:tcPr>
                <w:p w14:paraId="23A14A20" w14:textId="77777777" w:rsidR="00870D63" w:rsidRPr="00FE476A" w:rsidRDefault="00870D63" w:rsidP="009A4F54">
                  <w:r w:rsidRPr="00FE476A">
                    <w:t>Magenta</w:t>
                  </w:r>
                </w:p>
              </w:tc>
              <w:tc>
                <w:tcPr>
                  <w:tcW w:w="2610" w:type="dxa"/>
                </w:tcPr>
                <w:p w14:paraId="7DA56AFD" w14:textId="77777777" w:rsidR="00870D63" w:rsidRPr="00FE476A" w:rsidRDefault="00870D63" w:rsidP="009A4F54">
                  <w:r w:rsidRPr="00FE476A">
                    <w:t>MAT-AR12PM560</w:t>
                  </w:r>
                </w:p>
              </w:tc>
            </w:tr>
            <w:tr w:rsidR="00870D63" w:rsidRPr="00FE476A" w14:paraId="2625EB6A" w14:textId="77777777" w:rsidTr="009A4F54">
              <w:tc>
                <w:tcPr>
                  <w:tcW w:w="2065" w:type="dxa"/>
                </w:tcPr>
                <w:p w14:paraId="66129601" w14:textId="77777777" w:rsidR="00870D63" w:rsidRPr="00FE476A" w:rsidRDefault="00870D63" w:rsidP="009A4F54">
                  <w:r w:rsidRPr="00FE476A">
                    <w:t>Yellow</w:t>
                  </w:r>
                </w:p>
              </w:tc>
              <w:tc>
                <w:tcPr>
                  <w:tcW w:w="2610" w:type="dxa"/>
                </w:tcPr>
                <w:p w14:paraId="72118B9D" w14:textId="77777777" w:rsidR="00870D63" w:rsidRPr="00FE476A" w:rsidRDefault="00870D63" w:rsidP="009A4F54">
                  <w:r w:rsidRPr="00FE476A">
                    <w:t>MAT-AR12PY560</w:t>
                  </w:r>
                </w:p>
              </w:tc>
            </w:tr>
            <w:tr w:rsidR="00870D63" w:rsidRPr="00FE476A" w14:paraId="1BA04418" w14:textId="77777777" w:rsidTr="009A4F54">
              <w:tc>
                <w:tcPr>
                  <w:tcW w:w="2065" w:type="dxa"/>
                </w:tcPr>
                <w:p w14:paraId="17C51235" w14:textId="77777777" w:rsidR="00870D63" w:rsidRPr="00FE476A" w:rsidRDefault="00870D63" w:rsidP="009A4F54">
                  <w:r w:rsidRPr="00FE476A">
                    <w:t xml:space="preserve">Black </w:t>
                  </w:r>
                </w:p>
              </w:tc>
              <w:tc>
                <w:tcPr>
                  <w:tcW w:w="2610" w:type="dxa"/>
                </w:tcPr>
                <w:p w14:paraId="7E5846C7" w14:textId="77777777" w:rsidR="00870D63" w:rsidRPr="00FE476A" w:rsidRDefault="00870D63" w:rsidP="009A4F54">
                  <w:r w:rsidRPr="00FE476A">
                    <w:t>MAT-AR12PK560</w:t>
                  </w:r>
                </w:p>
              </w:tc>
            </w:tr>
            <w:tr w:rsidR="00870D63" w:rsidRPr="00FE476A" w14:paraId="3BF429DB" w14:textId="77777777" w:rsidTr="009A4F54">
              <w:tc>
                <w:tcPr>
                  <w:tcW w:w="2065" w:type="dxa"/>
                </w:tcPr>
                <w:p w14:paraId="6E6113AC" w14:textId="77777777" w:rsidR="00870D63" w:rsidRPr="00FE476A" w:rsidRDefault="00870D63" w:rsidP="009A4F54">
                  <w:r w:rsidRPr="00FE476A">
                    <w:t>Sapphire Blue</w:t>
                  </w:r>
                </w:p>
              </w:tc>
              <w:tc>
                <w:tcPr>
                  <w:tcW w:w="2610" w:type="dxa"/>
                </w:tcPr>
                <w:p w14:paraId="1D3CAE37" w14:textId="77777777" w:rsidR="00870D63" w:rsidRPr="00FE476A" w:rsidRDefault="00870D63" w:rsidP="009A4F54">
                  <w:r w:rsidRPr="00FE476A">
                    <w:t>MAT-AR12SSB560</w:t>
                  </w:r>
                </w:p>
              </w:tc>
            </w:tr>
          </w:tbl>
          <w:p w14:paraId="20F6810A" w14:textId="77777777" w:rsidR="00870D63" w:rsidRPr="00FE476A" w:rsidRDefault="00870D63" w:rsidP="009A4F54"/>
          <w:p w14:paraId="2BC1253D" w14:textId="77777777" w:rsidR="00870D63" w:rsidRPr="00FE476A" w:rsidRDefault="00870D63" w:rsidP="009A4F54">
            <w:r w:rsidRPr="00FE476A">
              <w:t>Dry Roll Coat Foil</w:t>
            </w:r>
          </w:p>
          <w:tbl>
            <w:tblPr>
              <w:tblStyle w:val="TableGrid"/>
              <w:tblW w:w="0" w:type="auto"/>
              <w:tblLook w:val="04A0" w:firstRow="1" w:lastRow="0" w:firstColumn="1" w:lastColumn="0" w:noHBand="0" w:noVBand="1"/>
            </w:tblPr>
            <w:tblGrid>
              <w:gridCol w:w="2359"/>
              <w:gridCol w:w="2360"/>
            </w:tblGrid>
            <w:tr w:rsidR="00870D63" w:rsidRPr="00FE476A" w14:paraId="3EACC554" w14:textId="77777777" w:rsidTr="009A4F54">
              <w:tc>
                <w:tcPr>
                  <w:tcW w:w="2359" w:type="dxa"/>
                </w:tcPr>
                <w:p w14:paraId="2BBE6F60" w14:textId="77777777" w:rsidR="00870D63" w:rsidRPr="00FE476A" w:rsidRDefault="00870D63" w:rsidP="009A4F54">
                  <w:r w:rsidRPr="00FE476A">
                    <w:t>Black Gloss Opaque</w:t>
                  </w:r>
                </w:p>
              </w:tc>
              <w:tc>
                <w:tcPr>
                  <w:tcW w:w="2360" w:type="dxa"/>
                </w:tcPr>
                <w:p w14:paraId="43C38406" w14:textId="77777777" w:rsidR="00870D63" w:rsidRPr="00FE476A" w:rsidRDefault="00870D63" w:rsidP="009A4F54">
                  <w:r w:rsidRPr="00FE476A">
                    <w:t>HSF105G</w:t>
                  </w:r>
                </w:p>
              </w:tc>
            </w:tr>
            <w:tr w:rsidR="00870D63" w:rsidRPr="00FE476A" w14:paraId="122C068A" w14:textId="77777777" w:rsidTr="009A4F54">
              <w:tc>
                <w:tcPr>
                  <w:tcW w:w="2359" w:type="dxa"/>
                </w:tcPr>
                <w:p w14:paraId="051AF79E" w14:textId="77777777" w:rsidR="00870D63" w:rsidRPr="00FE476A" w:rsidRDefault="00870D63" w:rsidP="009A4F54">
                  <w:r w:rsidRPr="00FE476A">
                    <w:t>Blue Opaque</w:t>
                  </w:r>
                </w:p>
              </w:tc>
              <w:tc>
                <w:tcPr>
                  <w:tcW w:w="2360" w:type="dxa"/>
                </w:tcPr>
                <w:p w14:paraId="769A228A" w14:textId="77777777" w:rsidR="00870D63" w:rsidRPr="00FE476A" w:rsidRDefault="00870D63" w:rsidP="009A4F54">
                  <w:r w:rsidRPr="00FE476A">
                    <w:t>HAF106</w:t>
                  </w:r>
                </w:p>
              </w:tc>
            </w:tr>
            <w:tr w:rsidR="00870D63" w:rsidRPr="00FE476A" w14:paraId="1D8D7A4E" w14:textId="77777777" w:rsidTr="009A4F54">
              <w:tc>
                <w:tcPr>
                  <w:tcW w:w="2359" w:type="dxa"/>
                </w:tcPr>
                <w:p w14:paraId="3E03A018" w14:textId="77777777" w:rsidR="00870D63" w:rsidRPr="00FE476A" w:rsidRDefault="00870D63" w:rsidP="009A4F54">
                  <w:r w:rsidRPr="00FE476A">
                    <w:t>Green Gloss</w:t>
                  </w:r>
                </w:p>
              </w:tc>
              <w:tc>
                <w:tcPr>
                  <w:tcW w:w="2360" w:type="dxa"/>
                </w:tcPr>
                <w:p w14:paraId="2C2188E5" w14:textId="77777777" w:rsidR="00870D63" w:rsidRPr="00FE476A" w:rsidRDefault="00870D63" w:rsidP="009A4F54">
                  <w:r w:rsidRPr="00FE476A">
                    <w:t>HSF203</w:t>
                  </w:r>
                </w:p>
              </w:tc>
            </w:tr>
            <w:tr w:rsidR="00870D63" w:rsidRPr="00FE476A" w14:paraId="5407F7D8" w14:textId="77777777" w:rsidTr="009A4F54">
              <w:tc>
                <w:tcPr>
                  <w:tcW w:w="2359" w:type="dxa"/>
                </w:tcPr>
                <w:p w14:paraId="5799D641" w14:textId="77777777" w:rsidR="00870D63" w:rsidRPr="00FE476A" w:rsidRDefault="00870D63" w:rsidP="009A4F54">
                  <w:r w:rsidRPr="00FE476A">
                    <w:t>Red Gloss Transparent:</w:t>
                  </w:r>
                </w:p>
              </w:tc>
              <w:tc>
                <w:tcPr>
                  <w:tcW w:w="2360" w:type="dxa"/>
                </w:tcPr>
                <w:p w14:paraId="43BD663D" w14:textId="77777777" w:rsidR="00870D63" w:rsidRPr="00FE476A" w:rsidRDefault="00870D63" w:rsidP="009A4F54">
                  <w:r w:rsidRPr="00FE476A">
                    <w:t>HSF112G</w:t>
                  </w:r>
                </w:p>
              </w:tc>
            </w:tr>
          </w:tbl>
          <w:p w14:paraId="50BBF076" w14:textId="77777777" w:rsidR="00870D63" w:rsidRPr="00FE476A" w:rsidRDefault="00870D63" w:rsidP="009A4F54"/>
          <w:p w14:paraId="5504B449" w14:textId="77777777" w:rsidR="00870D63" w:rsidRPr="00FE476A" w:rsidRDefault="00870D63" w:rsidP="009A4F54"/>
          <w:p w14:paraId="3085310F" w14:textId="77777777" w:rsidR="00870D63" w:rsidRPr="00FE476A" w:rsidRDefault="00870D63" w:rsidP="009A4F54"/>
        </w:tc>
        <w:tc>
          <w:tcPr>
            <w:tcW w:w="5107" w:type="dxa"/>
          </w:tcPr>
          <w:p w14:paraId="00B7CC71" w14:textId="77777777" w:rsidR="00870D63" w:rsidRPr="00FE476A" w:rsidRDefault="00870D63" w:rsidP="009A4F54">
            <w:r w:rsidRPr="00FE476A">
              <w:t>Non-graphic White: Large passenger vehicle 11 15/16” x 200 yds; with tic marks; Unwind direction to customer: Top First.</w:t>
            </w:r>
          </w:p>
          <w:p w14:paraId="262AC32D" w14:textId="77777777" w:rsidR="00870D63" w:rsidRPr="00FE476A" w:rsidRDefault="00870D63" w:rsidP="009A4F54"/>
          <w:p w14:paraId="518E4AB2" w14:textId="77777777" w:rsidR="00870D63" w:rsidRPr="00FE476A" w:rsidRDefault="00870D63" w:rsidP="009A4F54">
            <w:r w:rsidRPr="00FE476A">
              <w:t>Non-graphic White: Motorcycle 6 15/16” x 200 yds; with tic marks; Unwind direction to customer: Top First.</w:t>
            </w:r>
          </w:p>
          <w:p w14:paraId="5AD48097" w14:textId="77777777" w:rsidR="00870D63" w:rsidRPr="00FE476A" w:rsidRDefault="00870D63" w:rsidP="009A4F54"/>
          <w:p w14:paraId="255614FF" w14:textId="77777777" w:rsidR="00870D63" w:rsidRPr="00FE476A" w:rsidRDefault="00870D63" w:rsidP="009A4F54">
            <w:r w:rsidRPr="00FE476A">
              <w:t>Laminate over-lay:</w:t>
            </w:r>
          </w:p>
          <w:p w14:paraId="727042F1" w14:textId="77777777" w:rsidR="00870D63" w:rsidRPr="00FE476A" w:rsidRDefault="00870D63" w:rsidP="009A4F54">
            <w:r w:rsidRPr="00FE476A">
              <w:t>Large passenger vehicle: 11 13/16” x 200 yds</w:t>
            </w:r>
          </w:p>
          <w:p w14:paraId="57C4FC41" w14:textId="77777777" w:rsidR="00870D63" w:rsidRPr="00FE476A" w:rsidRDefault="00870D63" w:rsidP="009A4F54">
            <w:r w:rsidRPr="00FE476A">
              <w:t>Motorcycle: 6 13/16” x 200 yds</w:t>
            </w:r>
          </w:p>
          <w:p w14:paraId="3B0E2840" w14:textId="77777777" w:rsidR="00870D63" w:rsidRPr="00FE476A" w:rsidRDefault="00870D63" w:rsidP="009A4F54"/>
        </w:tc>
      </w:tr>
    </w:tbl>
    <w:p w14:paraId="6D417FF4" w14:textId="77777777" w:rsidR="00870D63" w:rsidRPr="00FE476A" w:rsidRDefault="00870D63" w:rsidP="00870D63"/>
    <w:p w14:paraId="04D699D9" w14:textId="77777777" w:rsidR="00870D63" w:rsidRPr="00FE476A" w:rsidRDefault="00870D63" w:rsidP="00870D63">
      <w:pPr>
        <w:pStyle w:val="Heading2"/>
      </w:pPr>
      <w:r w:rsidRPr="00FE476A">
        <w:t>PREQUALIFICATION</w:t>
      </w:r>
    </w:p>
    <w:p w14:paraId="37D8C404" w14:textId="77777777" w:rsidR="00870D63" w:rsidRPr="00FE476A" w:rsidRDefault="00870D63" w:rsidP="00870D63"/>
    <w:p w14:paraId="11E4B169" w14:textId="77777777" w:rsidR="00870D63" w:rsidRPr="00FE476A" w:rsidRDefault="00870D63" w:rsidP="00870D63">
      <w:pPr>
        <w:ind w:firstLine="720"/>
      </w:pPr>
      <w:r w:rsidRPr="00FE476A">
        <w:t xml:space="preserve">For any proposal to be considered, the vendor must meet certain criteria.  </w:t>
      </w:r>
    </w:p>
    <w:p w14:paraId="0D76C876" w14:textId="77777777" w:rsidR="00870D63" w:rsidRPr="00FE476A" w:rsidRDefault="00870D63" w:rsidP="00870D63"/>
    <w:p w14:paraId="20F51D01" w14:textId="77777777" w:rsidR="00870D63" w:rsidRPr="00FE476A" w:rsidRDefault="00870D63" w:rsidP="00870D63">
      <w:pPr>
        <w:pStyle w:val="Heading3"/>
      </w:pPr>
      <w:r w:rsidRPr="00FE476A">
        <w:t>Conventional License Plates</w:t>
      </w:r>
    </w:p>
    <w:p w14:paraId="7666636F" w14:textId="77777777" w:rsidR="00870D63" w:rsidRPr="00FE476A" w:rsidRDefault="00870D63" w:rsidP="00870D63"/>
    <w:p w14:paraId="5101A2BE" w14:textId="77777777" w:rsidR="00870D63" w:rsidRPr="00FE476A" w:rsidRDefault="00870D63" w:rsidP="00870D63">
      <w:pPr>
        <w:pStyle w:val="Heading4"/>
      </w:pPr>
      <w:r w:rsidRPr="00FE476A">
        <w:t>Ship sheeting rolls via “bulk-pack” configuration per layer for ease of handling in the license plate factory.</w:t>
      </w:r>
    </w:p>
    <w:p w14:paraId="4902632A" w14:textId="77777777" w:rsidR="00870D63" w:rsidRPr="00FE476A" w:rsidRDefault="00870D63" w:rsidP="00870D63">
      <w:pPr>
        <w:pStyle w:val="Heading4"/>
      </w:pPr>
      <w:r w:rsidRPr="00FE476A">
        <w:t xml:space="preserve">Provide independent lab data demonstrating that the vendor’s products conform to all performance requirements of this specification as specified in Section </w:t>
      </w:r>
      <w:r w:rsidRPr="00EE63F6">
        <w:t>3.4.</w:t>
      </w:r>
    </w:p>
    <w:p w14:paraId="39A811B5" w14:textId="77777777" w:rsidR="00870D63" w:rsidRPr="00FE476A" w:rsidRDefault="00870D63" w:rsidP="00870D63">
      <w:pPr>
        <w:pStyle w:val="Heading4"/>
      </w:pPr>
      <w:r w:rsidRPr="00FE476A">
        <w:t xml:space="preserve">Provide buried directional warranty mark in the sheeting in accordance with Section </w:t>
      </w:r>
      <w:r w:rsidRPr="00EE63F6">
        <w:t>3.4,</w:t>
      </w:r>
      <w:r w:rsidRPr="00FE476A">
        <w:t xml:space="preserve"> which facilitates on-vehicle traceability and warranty enforcement.</w:t>
      </w:r>
    </w:p>
    <w:p w14:paraId="6CA08F3D" w14:textId="77777777" w:rsidR="00870D63" w:rsidRPr="00FE476A" w:rsidRDefault="00870D63" w:rsidP="00870D63">
      <w:pPr>
        <w:pStyle w:val="Heading4"/>
      </w:pPr>
      <w:r w:rsidRPr="00FE476A">
        <w:t>The vendor shall submit technical data exhibiting characteristics of all materials proposed. Information submitted shall include detailed processing conditions for each phase of license plate manufacture. Such information shall include times required for curing dry roll coat used in the production of completed license plates.</w:t>
      </w:r>
    </w:p>
    <w:p w14:paraId="3D4CBD1F" w14:textId="77777777" w:rsidR="00870D63" w:rsidRPr="00FE476A" w:rsidRDefault="00870D63" w:rsidP="00870D63">
      <w:pPr>
        <w:pStyle w:val="Heading4"/>
      </w:pPr>
      <w:bookmarkStart w:id="9" w:name="_Hlk136343928"/>
      <w:r w:rsidRPr="00FE476A">
        <w:t xml:space="preserve">The NV DMV reserves the right to periodically evaluate the performance of materials. Samples for periodic evaluation of performance will be selected at random from materials submitted on State purchase orders. Failure of materials to comply with the requirements of this specification shall be cause for removal. </w:t>
      </w:r>
    </w:p>
    <w:bookmarkEnd w:id="9"/>
    <w:p w14:paraId="5670CF36" w14:textId="77777777" w:rsidR="00870D63" w:rsidRPr="00FE476A" w:rsidRDefault="00870D63" w:rsidP="00870D63">
      <w:pPr>
        <w:pStyle w:val="Heading4"/>
      </w:pPr>
      <w:r w:rsidRPr="00FE476A">
        <w:t>The vendor may, with agreement of the NV DMV, incorporate technological improvements that better optimize the license plate production process and/or license plate performance.</w:t>
      </w:r>
    </w:p>
    <w:p w14:paraId="40CA1BD7" w14:textId="77777777" w:rsidR="00870D63" w:rsidRPr="00FE476A" w:rsidRDefault="00870D63" w:rsidP="00870D63"/>
    <w:p w14:paraId="249ADD0D" w14:textId="77777777" w:rsidR="00870D63" w:rsidRPr="00FE476A" w:rsidRDefault="00870D63" w:rsidP="00870D63">
      <w:pPr>
        <w:pStyle w:val="Heading3"/>
      </w:pPr>
      <w:r w:rsidRPr="00FE476A">
        <w:t>Personal Experience</w:t>
      </w:r>
    </w:p>
    <w:p w14:paraId="641EFC4F" w14:textId="77777777" w:rsidR="00870D63" w:rsidRPr="00FE476A" w:rsidRDefault="00870D63" w:rsidP="00870D63"/>
    <w:p w14:paraId="13C25292" w14:textId="77777777" w:rsidR="00870D63" w:rsidRPr="00FE476A" w:rsidRDefault="00870D63" w:rsidP="00870D63">
      <w:pPr>
        <w:pStyle w:val="Heading4"/>
      </w:pPr>
      <w:r w:rsidRPr="00FE476A">
        <w:t>Vendor(s) provide a list and qualifications of experience, customer service and technical service.</w:t>
      </w:r>
    </w:p>
    <w:p w14:paraId="41DB9315" w14:textId="77777777" w:rsidR="00870D63" w:rsidRPr="00FE476A" w:rsidRDefault="00870D63" w:rsidP="00870D63">
      <w:pPr>
        <w:pStyle w:val="Heading4"/>
      </w:pPr>
      <w:r w:rsidRPr="00FE476A">
        <w:t>A corporate officer of the vendor shall certify that all license plate sheeting and dry roll coating supplied to NV DMV are covered by the manufacturer’s warranty.</w:t>
      </w:r>
    </w:p>
    <w:p w14:paraId="4B3A97D9" w14:textId="77777777" w:rsidR="00870D63" w:rsidRPr="00FE476A" w:rsidRDefault="00870D63" w:rsidP="00870D63">
      <w:pPr>
        <w:pStyle w:val="Heading4"/>
      </w:pPr>
      <w:r w:rsidRPr="00FE476A">
        <w:t>Vendors failing to conform to any of these prequalification requirements shall be disqualified.</w:t>
      </w:r>
    </w:p>
    <w:p w14:paraId="21E02F42" w14:textId="77777777" w:rsidR="00870D63" w:rsidRPr="00FE476A" w:rsidRDefault="00870D63" w:rsidP="00870D63"/>
    <w:p w14:paraId="3081BF22" w14:textId="77777777" w:rsidR="00870D63" w:rsidRPr="00FE476A" w:rsidRDefault="00870D63" w:rsidP="00870D63">
      <w:pPr>
        <w:pStyle w:val="Heading3"/>
      </w:pPr>
      <w:r w:rsidRPr="00FE476A">
        <w:t>Digitally Imaged License Plates</w:t>
      </w:r>
    </w:p>
    <w:p w14:paraId="7C8E521D" w14:textId="77777777" w:rsidR="00870D63" w:rsidRPr="00FE476A" w:rsidRDefault="00870D63" w:rsidP="00870D63"/>
    <w:p w14:paraId="7AF12FC6" w14:textId="77777777" w:rsidR="00870D63" w:rsidRPr="00FE476A" w:rsidRDefault="00870D63" w:rsidP="00BF761F">
      <w:pPr>
        <w:pStyle w:val="Heading4"/>
      </w:pPr>
      <w:r w:rsidRPr="00FE476A">
        <w:t>Show evidence of successful manufacture and application of reflective sheeting, thermal transfer ribbons and protective clear over laminate as part of a totally integrated license plate system.</w:t>
      </w:r>
    </w:p>
    <w:p w14:paraId="73B03530" w14:textId="77777777" w:rsidR="00870D63" w:rsidRPr="00FE476A" w:rsidRDefault="00870D63" w:rsidP="00BF761F">
      <w:pPr>
        <w:pStyle w:val="Heading4"/>
      </w:pPr>
      <w:r w:rsidRPr="00FE476A">
        <w:t>Ship sheeting rolls via “bulk-pack” configuration per layer for ease of handling in the license plate factory.</w:t>
      </w:r>
    </w:p>
    <w:p w14:paraId="6530D24C" w14:textId="77777777" w:rsidR="00870D63" w:rsidRPr="00FE476A" w:rsidRDefault="00870D63" w:rsidP="00BF761F">
      <w:pPr>
        <w:pStyle w:val="Heading4"/>
      </w:pPr>
      <w:r w:rsidRPr="00FE476A">
        <w:t>Provide independent lab data demonstrating that the vendor’s products conform to all performance requirements of this specification as specified in Section 3.5.</w:t>
      </w:r>
    </w:p>
    <w:p w14:paraId="38EBB1DB" w14:textId="77777777" w:rsidR="00870D63" w:rsidRPr="00FE476A" w:rsidRDefault="00870D63" w:rsidP="00BF761F">
      <w:pPr>
        <w:pStyle w:val="Heading4"/>
      </w:pPr>
      <w:r w:rsidRPr="00FE476A">
        <w:t>Provide buried directional warranty mark in the sheeting in accordance with Section 3.5., which facilitates on-vehicle traceability and warranty enforcement.</w:t>
      </w:r>
    </w:p>
    <w:p w14:paraId="4512E597" w14:textId="77777777" w:rsidR="00870D63" w:rsidRPr="00FE476A" w:rsidRDefault="00870D63" w:rsidP="00BF761F">
      <w:pPr>
        <w:pStyle w:val="Heading4"/>
      </w:pPr>
      <w:r w:rsidRPr="00FE476A">
        <w:t>Supply sample rolls of sheeting printed with graphic designs to be designated by the NV DMV to demonstrate the vendor’s production capability to providing general issue and special graphic designs.</w:t>
      </w:r>
    </w:p>
    <w:p w14:paraId="462D1067" w14:textId="77777777" w:rsidR="00870D63" w:rsidRPr="00FE476A" w:rsidRDefault="00870D63" w:rsidP="00BF761F">
      <w:pPr>
        <w:pStyle w:val="Heading4"/>
      </w:pPr>
      <w:r w:rsidRPr="00FE476A">
        <w:t>A corporate officer of the vendor shall certify that all license plate sheeting thermal transfer ribbons and protective clear laminate purchased by the NV DMV are covered by the manufacturer’s plant ISO 9002 Registration.</w:t>
      </w:r>
    </w:p>
    <w:p w14:paraId="76CF05D0" w14:textId="77777777" w:rsidR="00870D63" w:rsidRPr="00FE476A" w:rsidRDefault="00870D63" w:rsidP="00BF761F">
      <w:pPr>
        <w:pStyle w:val="Heading4"/>
      </w:pPr>
      <w:r w:rsidRPr="00FE476A">
        <w:t>The vendor shall submit technical data exhibiting characteristics of all materials proposed. Information submitted shall include detailed processing conditions for each phase of license plate manufacture.</w:t>
      </w:r>
    </w:p>
    <w:p w14:paraId="643B0CB5" w14:textId="77777777" w:rsidR="00870D63" w:rsidRPr="00FE476A" w:rsidRDefault="00870D63" w:rsidP="00BF761F">
      <w:pPr>
        <w:pStyle w:val="Heading4"/>
      </w:pPr>
      <w:r w:rsidRPr="00FE476A">
        <w:t>Vendors failing to conform to any of these prequalification requirements shall be disqualified.</w:t>
      </w:r>
    </w:p>
    <w:p w14:paraId="291354A5" w14:textId="77777777" w:rsidR="00870D63" w:rsidRPr="00FE476A" w:rsidRDefault="00870D63" w:rsidP="00BF761F">
      <w:pPr>
        <w:pStyle w:val="Heading4"/>
      </w:pPr>
      <w:r w:rsidRPr="00FE476A">
        <w:t>The NV DMV reserves the right to periodically evaluate the performance of materials. Samples for periodic evaluation of performance will be selected at random from materials submitted on NV DMV purchase orders. Failure of materials to comply with the requirements of this specification shall be cause for removal.</w:t>
      </w:r>
    </w:p>
    <w:p w14:paraId="3D1EE1F7" w14:textId="77777777" w:rsidR="00870D63" w:rsidRPr="00FE476A" w:rsidRDefault="00870D63" w:rsidP="00BF761F">
      <w:pPr>
        <w:pStyle w:val="Heading4"/>
      </w:pPr>
      <w:r w:rsidRPr="00FE476A">
        <w:t>The vendor may, with agreement of the NV DMV, incorporate technological improvements that better optimize the license plate production process and/or license plate performance.</w:t>
      </w:r>
    </w:p>
    <w:p w14:paraId="0C8917C8" w14:textId="77777777" w:rsidR="00870D63" w:rsidRPr="00FE476A" w:rsidRDefault="00870D63" w:rsidP="009567AD">
      <w:pPr>
        <w:pStyle w:val="Heading2"/>
      </w:pPr>
      <w:bookmarkStart w:id="10" w:name="_Toc376790670"/>
      <w:r w:rsidRPr="00FE476A">
        <w:t>PERFORMANCE REQUIREMENTS FOR CONVENTIONAL LICENSE PLATES</w:t>
      </w:r>
      <w:bookmarkEnd w:id="10"/>
    </w:p>
    <w:p w14:paraId="02621094" w14:textId="77777777" w:rsidR="00870D63" w:rsidRPr="00FE476A" w:rsidRDefault="00870D63" w:rsidP="00870D63"/>
    <w:p w14:paraId="0722A4BB" w14:textId="77777777" w:rsidR="00870D63" w:rsidRPr="00FE476A" w:rsidRDefault="00870D63" w:rsidP="009567AD">
      <w:pPr>
        <w:pStyle w:val="Heading3"/>
      </w:pPr>
      <w:r w:rsidRPr="00FE476A">
        <w:t>Substrate</w:t>
      </w:r>
    </w:p>
    <w:p w14:paraId="57165ECB" w14:textId="77777777" w:rsidR="00870D63" w:rsidRPr="00FE476A" w:rsidRDefault="00870D63" w:rsidP="00870D63"/>
    <w:p w14:paraId="103F7FCF" w14:textId="77777777" w:rsidR="00870D63" w:rsidRPr="00FE476A" w:rsidRDefault="00870D63" w:rsidP="009567AD">
      <w:pPr>
        <w:pStyle w:val="Heading4"/>
      </w:pPr>
      <w:r w:rsidRPr="00FE476A">
        <w:t>The sheeting shall be laminated to properly conversion coated aluminum substrate recommended by the sheeting manufacturer.</w:t>
      </w:r>
    </w:p>
    <w:p w14:paraId="6F16EC3B" w14:textId="77777777" w:rsidR="00870D63" w:rsidRPr="00FE476A" w:rsidRDefault="00870D63" w:rsidP="00870D63"/>
    <w:p w14:paraId="5D7190F0" w14:textId="77777777" w:rsidR="00870D63" w:rsidRPr="00FE476A" w:rsidRDefault="00870D63" w:rsidP="009567AD">
      <w:pPr>
        <w:pStyle w:val="Heading3"/>
      </w:pPr>
      <w:r w:rsidRPr="00FE476A">
        <w:t>Diffuse Daytime Color</w:t>
      </w:r>
    </w:p>
    <w:p w14:paraId="68D22A9D" w14:textId="77777777" w:rsidR="00870D63" w:rsidRPr="00FE476A" w:rsidRDefault="00870D63" w:rsidP="00870D63"/>
    <w:p w14:paraId="61B9CAA9" w14:textId="77777777" w:rsidR="00870D63" w:rsidRPr="00FE476A" w:rsidRDefault="00870D63" w:rsidP="009567AD">
      <w:pPr>
        <w:pStyle w:val="Heading4"/>
      </w:pPr>
      <w:r w:rsidRPr="00FE476A">
        <w:t xml:space="preserve">Through instrumental color testing, the diffuse daytime color of the reflective sheeting shall conform to color requirements as determined spectrophotometrically in accordance with ASTM E-1164 and E-1349, utilizing either </w:t>
      </w:r>
      <w:proofErr w:type="gramStart"/>
      <w:r w:rsidRPr="00FE476A">
        <w:t>45/0 or 0/45 degree</w:t>
      </w:r>
      <w:proofErr w:type="gramEnd"/>
      <w:r w:rsidRPr="00FE476A">
        <w:t xml:space="preserve"> illumination/viewing conditions as described in E-1164 and E-1349 for retro-reflective materials. Chromaticity and the Luminance Factor based on CIE tristimulus values for the 2° observer and illuminant D65 shall be calculated in accordance with ASTM E-308.</w:t>
      </w:r>
    </w:p>
    <w:p w14:paraId="3F0272B1" w14:textId="77777777" w:rsidR="00870D63" w:rsidRPr="00FE476A" w:rsidRDefault="00870D63" w:rsidP="009567AD">
      <w:pPr>
        <w:pStyle w:val="Heading4"/>
      </w:pPr>
      <w:r w:rsidRPr="00FE476A">
        <w:t xml:space="preserve">The color specification limits for white license plate sheeting are listed on the following chart. </w:t>
      </w:r>
    </w:p>
    <w:p w14:paraId="5BF6C5A5" w14:textId="77777777" w:rsidR="00870D63" w:rsidRPr="00FE476A" w:rsidRDefault="00870D63" w:rsidP="00870D63"/>
    <w:tbl>
      <w:tblPr>
        <w:tblW w:w="0" w:type="auto"/>
        <w:tblInd w:w="1098" w:type="dxa"/>
        <w:tblLayout w:type="fixed"/>
        <w:tblLook w:val="0000" w:firstRow="0" w:lastRow="0" w:firstColumn="0" w:lastColumn="0" w:noHBand="0" w:noVBand="0"/>
      </w:tblPr>
      <w:tblGrid>
        <w:gridCol w:w="2007"/>
        <w:gridCol w:w="2007"/>
        <w:gridCol w:w="2196"/>
        <w:gridCol w:w="1818"/>
      </w:tblGrid>
      <w:tr w:rsidR="00870D63" w:rsidRPr="00FE476A" w14:paraId="4DC7DA05" w14:textId="77777777" w:rsidTr="009567AD">
        <w:tc>
          <w:tcPr>
            <w:tcW w:w="8028" w:type="dxa"/>
            <w:gridSpan w:val="4"/>
          </w:tcPr>
          <w:p w14:paraId="6A3105B3" w14:textId="0DBADAC8" w:rsidR="00870D63" w:rsidRPr="00FE476A" w:rsidRDefault="00870D63" w:rsidP="009A4F54">
            <w:r w:rsidRPr="00FE476A">
              <w:br w:type="page"/>
            </w:r>
            <w:r w:rsidRPr="00FE476A">
              <w:br w:type="page"/>
            </w:r>
            <w:r w:rsidRPr="00FE476A">
              <w:br w:type="page"/>
            </w:r>
            <w:r w:rsidRPr="00FE476A">
              <w:br w:type="page"/>
              <w:t>COLOR SPECIFICATION</w:t>
            </w:r>
          </w:p>
          <w:p w14:paraId="75B48222" w14:textId="77777777" w:rsidR="00870D63" w:rsidRPr="00FE476A" w:rsidRDefault="00870D63" w:rsidP="009A4F54">
            <w:r w:rsidRPr="00FE476A">
              <w:t>Chromaticity Coordinates</w:t>
            </w:r>
          </w:p>
          <w:p w14:paraId="28F157F3" w14:textId="77777777" w:rsidR="00870D63" w:rsidRPr="00FE476A" w:rsidRDefault="00870D63" w:rsidP="009A4F54"/>
        </w:tc>
      </w:tr>
      <w:tr w:rsidR="00870D63" w:rsidRPr="00FE476A" w14:paraId="3079C637" w14:textId="77777777" w:rsidTr="009567AD">
        <w:trPr>
          <w:cantSplit/>
        </w:trPr>
        <w:tc>
          <w:tcPr>
            <w:tcW w:w="2007" w:type="dxa"/>
            <w:vMerge w:val="restart"/>
            <w:tcBorders>
              <w:top w:val="single" w:sz="6" w:space="0" w:color="auto"/>
              <w:left w:val="single" w:sz="6" w:space="0" w:color="auto"/>
              <w:right w:val="single" w:sz="6" w:space="0" w:color="auto"/>
            </w:tcBorders>
          </w:tcPr>
          <w:p w14:paraId="0703DC5E" w14:textId="77777777" w:rsidR="00870D63" w:rsidRPr="00FE476A" w:rsidRDefault="00870D63" w:rsidP="009A4F54">
            <w:r w:rsidRPr="00FE476A">
              <w:t>Pairs</w:t>
            </w:r>
          </w:p>
        </w:tc>
        <w:tc>
          <w:tcPr>
            <w:tcW w:w="4203" w:type="dxa"/>
            <w:gridSpan w:val="2"/>
            <w:tcBorders>
              <w:top w:val="single" w:sz="6" w:space="0" w:color="auto"/>
              <w:left w:val="single" w:sz="6" w:space="0" w:color="auto"/>
              <w:bottom w:val="single" w:sz="6" w:space="0" w:color="auto"/>
              <w:right w:val="single" w:sz="6" w:space="0" w:color="auto"/>
            </w:tcBorders>
          </w:tcPr>
          <w:p w14:paraId="3A29C0DD" w14:textId="77777777" w:rsidR="00870D63" w:rsidRPr="00FE476A" w:rsidRDefault="00870D63" w:rsidP="009A4F54">
            <w:r w:rsidRPr="00FE476A">
              <w:t>White</w:t>
            </w:r>
          </w:p>
          <w:p w14:paraId="6ED8B965" w14:textId="77777777" w:rsidR="00870D63" w:rsidRPr="00FE476A" w:rsidRDefault="00870D63" w:rsidP="009A4F54">
            <w:r w:rsidRPr="00FE476A">
              <w:t>Corner Points</w:t>
            </w:r>
          </w:p>
        </w:tc>
        <w:tc>
          <w:tcPr>
            <w:tcW w:w="1818" w:type="dxa"/>
            <w:tcBorders>
              <w:top w:val="single" w:sz="6" w:space="0" w:color="auto"/>
              <w:left w:val="single" w:sz="6" w:space="0" w:color="auto"/>
              <w:bottom w:val="single" w:sz="6" w:space="0" w:color="auto"/>
              <w:right w:val="single" w:sz="6" w:space="0" w:color="auto"/>
            </w:tcBorders>
          </w:tcPr>
          <w:p w14:paraId="0B4D531A" w14:textId="77777777" w:rsidR="00870D63" w:rsidRPr="00FE476A" w:rsidRDefault="00870D63" w:rsidP="009A4F54">
            <w:r w:rsidRPr="00FE476A">
              <w:t>Luminance Factor</w:t>
            </w:r>
          </w:p>
        </w:tc>
      </w:tr>
      <w:tr w:rsidR="00870D63" w:rsidRPr="00FE476A" w14:paraId="46F9E6A1" w14:textId="77777777" w:rsidTr="009567AD">
        <w:trPr>
          <w:cantSplit/>
        </w:trPr>
        <w:tc>
          <w:tcPr>
            <w:tcW w:w="2007" w:type="dxa"/>
            <w:vMerge/>
            <w:tcBorders>
              <w:left w:val="single" w:sz="6" w:space="0" w:color="auto"/>
              <w:right w:val="single" w:sz="6" w:space="0" w:color="auto"/>
            </w:tcBorders>
          </w:tcPr>
          <w:p w14:paraId="4AB6078B" w14:textId="77777777" w:rsidR="00870D63" w:rsidRPr="00FE476A" w:rsidRDefault="00870D63" w:rsidP="009A4F54"/>
        </w:tc>
        <w:tc>
          <w:tcPr>
            <w:tcW w:w="2007" w:type="dxa"/>
            <w:tcBorders>
              <w:top w:val="single" w:sz="6" w:space="0" w:color="auto"/>
              <w:left w:val="single" w:sz="6" w:space="0" w:color="auto"/>
              <w:bottom w:val="single" w:sz="6" w:space="0" w:color="auto"/>
              <w:right w:val="single" w:sz="6" w:space="0" w:color="auto"/>
            </w:tcBorders>
          </w:tcPr>
          <w:p w14:paraId="444C37FD" w14:textId="77777777" w:rsidR="00870D63" w:rsidRPr="00FE476A" w:rsidRDefault="00870D63" w:rsidP="009A4F54">
            <w:r w:rsidRPr="00FE476A">
              <w:t>x</w:t>
            </w:r>
          </w:p>
        </w:tc>
        <w:tc>
          <w:tcPr>
            <w:tcW w:w="2196" w:type="dxa"/>
            <w:tcBorders>
              <w:top w:val="single" w:sz="6" w:space="0" w:color="auto"/>
              <w:left w:val="single" w:sz="6" w:space="0" w:color="auto"/>
              <w:bottom w:val="single" w:sz="6" w:space="0" w:color="auto"/>
              <w:right w:val="single" w:sz="6" w:space="0" w:color="auto"/>
            </w:tcBorders>
          </w:tcPr>
          <w:p w14:paraId="3B0CAC3E" w14:textId="77777777" w:rsidR="00870D63" w:rsidRPr="00FE476A" w:rsidRDefault="00870D63" w:rsidP="009A4F54">
            <w:r w:rsidRPr="00FE476A">
              <w:t>Y</w:t>
            </w:r>
          </w:p>
        </w:tc>
        <w:tc>
          <w:tcPr>
            <w:tcW w:w="1818" w:type="dxa"/>
            <w:tcBorders>
              <w:top w:val="single" w:sz="6" w:space="0" w:color="auto"/>
              <w:left w:val="single" w:sz="6" w:space="0" w:color="auto"/>
              <w:bottom w:val="single" w:sz="6" w:space="0" w:color="auto"/>
              <w:right w:val="single" w:sz="6" w:space="0" w:color="auto"/>
            </w:tcBorders>
          </w:tcPr>
          <w:p w14:paraId="70389D5D" w14:textId="77777777" w:rsidR="00870D63" w:rsidRPr="00FE476A" w:rsidRDefault="00870D63" w:rsidP="009A4F54">
            <w:r w:rsidRPr="00FE476A">
              <w:t>Y%</w:t>
            </w:r>
          </w:p>
        </w:tc>
      </w:tr>
      <w:tr w:rsidR="00870D63" w:rsidRPr="00FE476A" w14:paraId="3E87BDAB" w14:textId="77777777" w:rsidTr="009567AD">
        <w:trPr>
          <w:cantSplit/>
        </w:trPr>
        <w:tc>
          <w:tcPr>
            <w:tcW w:w="2007" w:type="dxa"/>
            <w:tcBorders>
              <w:top w:val="single" w:sz="6" w:space="0" w:color="auto"/>
              <w:left w:val="single" w:sz="6" w:space="0" w:color="auto"/>
              <w:right w:val="single" w:sz="6" w:space="0" w:color="auto"/>
            </w:tcBorders>
          </w:tcPr>
          <w:p w14:paraId="7C11936A" w14:textId="77777777" w:rsidR="00870D63" w:rsidRPr="00FE476A" w:rsidRDefault="00870D63" w:rsidP="009A4F54">
            <w:r w:rsidRPr="00FE476A">
              <w:t>1</w:t>
            </w:r>
          </w:p>
        </w:tc>
        <w:tc>
          <w:tcPr>
            <w:tcW w:w="2007" w:type="dxa"/>
            <w:tcBorders>
              <w:top w:val="single" w:sz="6" w:space="0" w:color="auto"/>
              <w:left w:val="single" w:sz="6" w:space="0" w:color="auto"/>
              <w:bottom w:val="single" w:sz="6" w:space="0" w:color="auto"/>
              <w:right w:val="single" w:sz="6" w:space="0" w:color="auto"/>
            </w:tcBorders>
          </w:tcPr>
          <w:p w14:paraId="49513D0C" w14:textId="77777777" w:rsidR="00870D63" w:rsidRPr="00FE476A" w:rsidRDefault="00870D63" w:rsidP="009A4F54">
            <w:r w:rsidRPr="00FE476A">
              <w:t>.303</w:t>
            </w:r>
          </w:p>
        </w:tc>
        <w:tc>
          <w:tcPr>
            <w:tcW w:w="2196" w:type="dxa"/>
            <w:tcBorders>
              <w:top w:val="single" w:sz="6" w:space="0" w:color="auto"/>
              <w:left w:val="single" w:sz="6" w:space="0" w:color="auto"/>
              <w:bottom w:val="single" w:sz="6" w:space="0" w:color="auto"/>
              <w:right w:val="single" w:sz="6" w:space="0" w:color="auto"/>
            </w:tcBorders>
          </w:tcPr>
          <w:p w14:paraId="4C9FD2CB" w14:textId="77777777" w:rsidR="00870D63" w:rsidRPr="00FE476A" w:rsidRDefault="00870D63" w:rsidP="009A4F54">
            <w:r w:rsidRPr="00FE476A">
              <w:t>.287</w:t>
            </w:r>
          </w:p>
        </w:tc>
        <w:tc>
          <w:tcPr>
            <w:tcW w:w="1818" w:type="dxa"/>
            <w:tcBorders>
              <w:top w:val="single" w:sz="6" w:space="0" w:color="auto"/>
              <w:left w:val="single" w:sz="6" w:space="0" w:color="auto"/>
              <w:bottom w:val="single" w:sz="6" w:space="0" w:color="auto"/>
              <w:right w:val="single" w:sz="6" w:space="0" w:color="auto"/>
            </w:tcBorders>
          </w:tcPr>
          <w:p w14:paraId="2A66A2FE" w14:textId="77777777" w:rsidR="00870D63" w:rsidRPr="00FE476A" w:rsidRDefault="00870D63" w:rsidP="009A4F54">
            <w:r w:rsidRPr="00FE476A">
              <w:t>42 min.</w:t>
            </w:r>
          </w:p>
        </w:tc>
      </w:tr>
      <w:tr w:rsidR="00870D63" w:rsidRPr="00FE476A" w14:paraId="39B3CB49" w14:textId="77777777" w:rsidTr="009567AD">
        <w:trPr>
          <w:cantSplit/>
        </w:trPr>
        <w:tc>
          <w:tcPr>
            <w:tcW w:w="2007" w:type="dxa"/>
            <w:tcBorders>
              <w:top w:val="single" w:sz="4" w:space="0" w:color="auto"/>
              <w:left w:val="single" w:sz="6" w:space="0" w:color="auto"/>
              <w:right w:val="single" w:sz="6" w:space="0" w:color="auto"/>
            </w:tcBorders>
          </w:tcPr>
          <w:p w14:paraId="78842953" w14:textId="77777777" w:rsidR="00870D63" w:rsidRPr="00FE476A" w:rsidRDefault="00870D63" w:rsidP="009A4F54">
            <w:r w:rsidRPr="00FE476A">
              <w:t>2</w:t>
            </w:r>
          </w:p>
        </w:tc>
        <w:tc>
          <w:tcPr>
            <w:tcW w:w="2007" w:type="dxa"/>
            <w:tcBorders>
              <w:top w:val="single" w:sz="6" w:space="0" w:color="auto"/>
              <w:left w:val="single" w:sz="6" w:space="0" w:color="auto"/>
              <w:bottom w:val="single" w:sz="6" w:space="0" w:color="auto"/>
              <w:right w:val="single" w:sz="6" w:space="0" w:color="auto"/>
            </w:tcBorders>
          </w:tcPr>
          <w:p w14:paraId="01325E0D" w14:textId="77777777" w:rsidR="00870D63" w:rsidRPr="00FE476A" w:rsidRDefault="00870D63" w:rsidP="009A4F54">
            <w:r w:rsidRPr="00FE476A">
              <w:t>.368</w:t>
            </w:r>
          </w:p>
        </w:tc>
        <w:tc>
          <w:tcPr>
            <w:tcW w:w="2196" w:type="dxa"/>
            <w:tcBorders>
              <w:top w:val="single" w:sz="6" w:space="0" w:color="auto"/>
              <w:left w:val="single" w:sz="6" w:space="0" w:color="auto"/>
              <w:bottom w:val="single" w:sz="6" w:space="0" w:color="auto"/>
              <w:right w:val="single" w:sz="6" w:space="0" w:color="auto"/>
            </w:tcBorders>
          </w:tcPr>
          <w:p w14:paraId="044EC6CF" w14:textId="77777777" w:rsidR="00870D63" w:rsidRPr="00FE476A" w:rsidRDefault="00870D63" w:rsidP="009A4F54">
            <w:r w:rsidRPr="00FE476A">
              <w:t>.353</w:t>
            </w:r>
          </w:p>
        </w:tc>
        <w:tc>
          <w:tcPr>
            <w:tcW w:w="1818" w:type="dxa"/>
            <w:tcBorders>
              <w:top w:val="single" w:sz="6" w:space="0" w:color="auto"/>
              <w:left w:val="single" w:sz="6" w:space="0" w:color="auto"/>
              <w:bottom w:val="single" w:sz="6" w:space="0" w:color="auto"/>
              <w:right w:val="single" w:sz="6" w:space="0" w:color="auto"/>
            </w:tcBorders>
          </w:tcPr>
          <w:p w14:paraId="5D2D9B83" w14:textId="77777777" w:rsidR="00870D63" w:rsidRPr="00FE476A" w:rsidRDefault="00870D63" w:rsidP="009A4F54"/>
        </w:tc>
      </w:tr>
      <w:tr w:rsidR="00870D63" w:rsidRPr="00FE476A" w14:paraId="345F0563" w14:textId="77777777" w:rsidTr="009567AD">
        <w:trPr>
          <w:cantSplit/>
        </w:trPr>
        <w:tc>
          <w:tcPr>
            <w:tcW w:w="2007" w:type="dxa"/>
            <w:tcBorders>
              <w:top w:val="single" w:sz="4" w:space="0" w:color="auto"/>
              <w:left w:val="single" w:sz="6" w:space="0" w:color="auto"/>
              <w:bottom w:val="single" w:sz="4" w:space="0" w:color="auto"/>
              <w:right w:val="single" w:sz="6" w:space="0" w:color="auto"/>
            </w:tcBorders>
          </w:tcPr>
          <w:p w14:paraId="418A902D" w14:textId="77777777" w:rsidR="00870D63" w:rsidRPr="00FE476A" w:rsidRDefault="00870D63" w:rsidP="009A4F54">
            <w:r w:rsidRPr="00FE476A">
              <w:t>3</w:t>
            </w:r>
          </w:p>
        </w:tc>
        <w:tc>
          <w:tcPr>
            <w:tcW w:w="2007" w:type="dxa"/>
            <w:tcBorders>
              <w:top w:val="single" w:sz="6" w:space="0" w:color="auto"/>
              <w:left w:val="single" w:sz="6" w:space="0" w:color="auto"/>
              <w:bottom w:val="single" w:sz="6" w:space="0" w:color="auto"/>
              <w:right w:val="single" w:sz="6" w:space="0" w:color="auto"/>
            </w:tcBorders>
          </w:tcPr>
          <w:p w14:paraId="7BC9F452" w14:textId="77777777" w:rsidR="00870D63" w:rsidRPr="00FE476A" w:rsidRDefault="00870D63" w:rsidP="009A4F54">
            <w:r w:rsidRPr="00FE476A">
              <w:t>.340</w:t>
            </w:r>
          </w:p>
        </w:tc>
        <w:tc>
          <w:tcPr>
            <w:tcW w:w="2196" w:type="dxa"/>
            <w:tcBorders>
              <w:top w:val="single" w:sz="6" w:space="0" w:color="auto"/>
              <w:left w:val="single" w:sz="6" w:space="0" w:color="auto"/>
              <w:bottom w:val="single" w:sz="6" w:space="0" w:color="auto"/>
              <w:right w:val="single" w:sz="6" w:space="0" w:color="auto"/>
            </w:tcBorders>
          </w:tcPr>
          <w:p w14:paraId="0DAEF629" w14:textId="77777777" w:rsidR="00870D63" w:rsidRPr="00FE476A" w:rsidRDefault="00870D63" w:rsidP="009A4F54">
            <w:r w:rsidRPr="00FE476A">
              <w:t>.380</w:t>
            </w:r>
          </w:p>
        </w:tc>
        <w:tc>
          <w:tcPr>
            <w:tcW w:w="1818" w:type="dxa"/>
            <w:tcBorders>
              <w:top w:val="single" w:sz="6" w:space="0" w:color="auto"/>
              <w:left w:val="single" w:sz="6" w:space="0" w:color="auto"/>
              <w:bottom w:val="single" w:sz="6" w:space="0" w:color="auto"/>
              <w:right w:val="single" w:sz="6" w:space="0" w:color="auto"/>
            </w:tcBorders>
          </w:tcPr>
          <w:p w14:paraId="0C264CDA" w14:textId="77777777" w:rsidR="00870D63" w:rsidRPr="00FE476A" w:rsidRDefault="00870D63" w:rsidP="009A4F54"/>
        </w:tc>
      </w:tr>
      <w:tr w:rsidR="00870D63" w:rsidRPr="00FE476A" w14:paraId="1767B5DD" w14:textId="77777777" w:rsidTr="009567AD">
        <w:trPr>
          <w:cantSplit/>
        </w:trPr>
        <w:tc>
          <w:tcPr>
            <w:tcW w:w="2007" w:type="dxa"/>
            <w:tcBorders>
              <w:left w:val="single" w:sz="6" w:space="0" w:color="auto"/>
              <w:bottom w:val="single" w:sz="4" w:space="0" w:color="auto"/>
              <w:right w:val="single" w:sz="6" w:space="0" w:color="auto"/>
            </w:tcBorders>
          </w:tcPr>
          <w:p w14:paraId="3C5E77AA" w14:textId="77777777" w:rsidR="00870D63" w:rsidRPr="00FE476A" w:rsidRDefault="00870D63" w:rsidP="009A4F54">
            <w:r w:rsidRPr="00FE476A">
              <w:t>4</w:t>
            </w:r>
          </w:p>
        </w:tc>
        <w:tc>
          <w:tcPr>
            <w:tcW w:w="2007" w:type="dxa"/>
            <w:tcBorders>
              <w:top w:val="single" w:sz="6" w:space="0" w:color="auto"/>
              <w:left w:val="single" w:sz="6" w:space="0" w:color="auto"/>
              <w:bottom w:val="single" w:sz="6" w:space="0" w:color="auto"/>
              <w:right w:val="single" w:sz="6" w:space="0" w:color="auto"/>
            </w:tcBorders>
          </w:tcPr>
          <w:p w14:paraId="0F21804A" w14:textId="77777777" w:rsidR="00870D63" w:rsidRPr="00FE476A" w:rsidRDefault="00870D63" w:rsidP="009A4F54">
            <w:r w:rsidRPr="00FE476A">
              <w:t>.274</w:t>
            </w:r>
          </w:p>
        </w:tc>
        <w:tc>
          <w:tcPr>
            <w:tcW w:w="2196" w:type="dxa"/>
            <w:tcBorders>
              <w:top w:val="single" w:sz="6" w:space="0" w:color="auto"/>
              <w:left w:val="single" w:sz="6" w:space="0" w:color="auto"/>
              <w:bottom w:val="single" w:sz="6" w:space="0" w:color="auto"/>
              <w:right w:val="single" w:sz="6" w:space="0" w:color="auto"/>
            </w:tcBorders>
          </w:tcPr>
          <w:p w14:paraId="13434DF5" w14:textId="77777777" w:rsidR="00870D63" w:rsidRPr="00FE476A" w:rsidRDefault="00870D63" w:rsidP="009A4F54">
            <w:r w:rsidRPr="00FE476A">
              <w:t>.316</w:t>
            </w:r>
          </w:p>
        </w:tc>
        <w:tc>
          <w:tcPr>
            <w:tcW w:w="1818" w:type="dxa"/>
            <w:tcBorders>
              <w:top w:val="single" w:sz="6" w:space="0" w:color="auto"/>
              <w:left w:val="single" w:sz="6" w:space="0" w:color="auto"/>
              <w:bottom w:val="single" w:sz="6" w:space="0" w:color="auto"/>
              <w:right w:val="single" w:sz="6" w:space="0" w:color="auto"/>
            </w:tcBorders>
          </w:tcPr>
          <w:p w14:paraId="181276E4" w14:textId="77777777" w:rsidR="00870D63" w:rsidRPr="00FE476A" w:rsidRDefault="00870D63" w:rsidP="009A4F54"/>
        </w:tc>
      </w:tr>
    </w:tbl>
    <w:p w14:paraId="00B89922" w14:textId="77777777" w:rsidR="00870D63" w:rsidRPr="00FE476A" w:rsidRDefault="00870D63" w:rsidP="00870D63"/>
    <w:p w14:paraId="44D76985" w14:textId="77777777" w:rsidR="00870D63" w:rsidRPr="00FE476A" w:rsidRDefault="00870D63" w:rsidP="007C5E7E">
      <w:pPr>
        <w:pStyle w:val="Heading3"/>
      </w:pPr>
      <w:r w:rsidRPr="00FE476A">
        <w:t>Adhesive and Protective Liner</w:t>
      </w:r>
    </w:p>
    <w:p w14:paraId="16F7E7B1" w14:textId="77777777" w:rsidR="00870D63" w:rsidRPr="00FE476A" w:rsidRDefault="00870D63" w:rsidP="00870D63"/>
    <w:p w14:paraId="3F801E1C" w14:textId="77777777" w:rsidR="00870D63" w:rsidRPr="00FE476A" w:rsidRDefault="00870D63" w:rsidP="007C5E7E">
      <w:pPr>
        <w:pStyle w:val="Heading4"/>
      </w:pPr>
      <w:r w:rsidRPr="00FE476A">
        <w:t>The precoated adhesive shall form a durable bond to flat conversion coated license plate surfaces as recommended by the reflective sheeting manufacturer.</w:t>
      </w:r>
    </w:p>
    <w:p w14:paraId="499687DA" w14:textId="77777777" w:rsidR="00870D63" w:rsidRPr="00FE476A" w:rsidRDefault="00870D63" w:rsidP="007C5E7E">
      <w:pPr>
        <w:pStyle w:val="Heading4"/>
      </w:pPr>
      <w:r w:rsidRPr="00FE476A">
        <w:t>The protective liner attached to the adhesive shall be easily removable by peeling without soaking in water or other solvents and shall be easily removed after accelerated storage for four hours at 150°F (66°C) under weight of 2.5 lbs. per square inch (1.14KG per 6.45 sq. cm.). The liner shall be non-printed to permit reuse.</w:t>
      </w:r>
    </w:p>
    <w:p w14:paraId="2EE68971" w14:textId="77777777" w:rsidR="00870D63" w:rsidRPr="00FE476A" w:rsidRDefault="00870D63" w:rsidP="00870D63"/>
    <w:p w14:paraId="5D338652" w14:textId="77777777" w:rsidR="00870D63" w:rsidRPr="00FE476A" w:rsidRDefault="00870D63" w:rsidP="007C5E7E">
      <w:pPr>
        <w:pStyle w:val="Heading3"/>
      </w:pPr>
      <w:r w:rsidRPr="00FE476A">
        <w:t>Dry Roll Coating</w:t>
      </w:r>
    </w:p>
    <w:p w14:paraId="1CB4E290" w14:textId="77777777" w:rsidR="00870D63" w:rsidRPr="00FE476A" w:rsidRDefault="00870D63" w:rsidP="00870D63"/>
    <w:p w14:paraId="626481EE" w14:textId="77777777" w:rsidR="00870D63" w:rsidRPr="00FE476A" w:rsidRDefault="00870D63" w:rsidP="007C5E7E">
      <w:pPr>
        <w:pStyle w:val="Heading4"/>
      </w:pPr>
      <w:r w:rsidRPr="00FE476A">
        <w:t>The reflective sheeting shall be dry roll coated. The successful vendor shall supply dry roll coat materials that meet State and Federal regulations.</w:t>
      </w:r>
    </w:p>
    <w:p w14:paraId="44D97C93" w14:textId="77777777" w:rsidR="00870D63" w:rsidRPr="00FE476A" w:rsidRDefault="00870D63" w:rsidP="00870D63"/>
    <w:p w14:paraId="668CE991" w14:textId="77777777" w:rsidR="00870D63" w:rsidRPr="00FE476A" w:rsidRDefault="00870D63" w:rsidP="007C5E7E">
      <w:pPr>
        <w:pStyle w:val="Heading3"/>
      </w:pPr>
      <w:r w:rsidRPr="00FE476A">
        <w:t>Inventory Control</w:t>
      </w:r>
    </w:p>
    <w:p w14:paraId="46E95B88" w14:textId="77777777" w:rsidR="00870D63" w:rsidRPr="00FE476A" w:rsidRDefault="00870D63" w:rsidP="00870D63"/>
    <w:p w14:paraId="016953EA" w14:textId="77777777" w:rsidR="00870D63" w:rsidRPr="00FE476A" w:rsidRDefault="00870D63" w:rsidP="007C5E7E">
      <w:pPr>
        <w:pStyle w:val="Heading4"/>
      </w:pPr>
      <w:r w:rsidRPr="00FE476A">
        <w:t>To assist the license plate factory with inventory control problems, the sheeting manufacturer shall mark the sheeting with an integral, directional image that incorporates the lot number so that the tag shop can employ first in/first out principles.</w:t>
      </w:r>
    </w:p>
    <w:p w14:paraId="40C4F3E0" w14:textId="77777777" w:rsidR="00870D63" w:rsidRPr="00FE476A" w:rsidRDefault="00870D63" w:rsidP="00870D63"/>
    <w:p w14:paraId="5ECCB73C" w14:textId="77777777" w:rsidR="00870D63" w:rsidRPr="00FE476A" w:rsidRDefault="00870D63" w:rsidP="007C5E7E">
      <w:pPr>
        <w:pStyle w:val="Heading3"/>
      </w:pPr>
      <w:r w:rsidRPr="00FE476A">
        <w:t>Finished License Plates</w:t>
      </w:r>
    </w:p>
    <w:p w14:paraId="6E9E5C73" w14:textId="77777777" w:rsidR="00870D63" w:rsidRPr="00FE476A" w:rsidRDefault="00870D63" w:rsidP="00870D63"/>
    <w:p w14:paraId="4C4D97F2" w14:textId="1F705133" w:rsidR="00870D63" w:rsidRPr="00FE476A" w:rsidRDefault="00870D63" w:rsidP="007C5E7E">
      <w:pPr>
        <w:pStyle w:val="Heading4"/>
      </w:pPr>
      <w:r w:rsidRPr="00FE476A">
        <w:t>Retro-</w:t>
      </w:r>
      <w:r w:rsidR="00A55AB6">
        <w:t>R</w:t>
      </w:r>
      <w:r w:rsidRPr="00FE476A">
        <w:t>eflective Characteristics</w:t>
      </w:r>
    </w:p>
    <w:p w14:paraId="57CAF59B" w14:textId="77777777" w:rsidR="00870D63" w:rsidRPr="00FE476A" w:rsidRDefault="00870D63" w:rsidP="00870D63"/>
    <w:p w14:paraId="203D1B38" w14:textId="192A2C7C" w:rsidR="00870D63" w:rsidRPr="00FE476A" w:rsidRDefault="00870D63" w:rsidP="00837E07">
      <w:pPr>
        <w:pStyle w:val="Heading5"/>
      </w:pPr>
      <w:r w:rsidRPr="00FE476A">
        <w:t xml:space="preserve">The coefficient of retro-reflection for the sheeting shall be measured on flat, clean, finished license plate test panels prepared per Section </w:t>
      </w:r>
      <w:r w:rsidR="00A55AB6">
        <w:t>3.4.6 (H)</w:t>
      </w:r>
      <w:r w:rsidRPr="00FE476A">
        <w:t xml:space="preserve"> and shall have the following minimum values at 0.2° observation angle, expressed as candelas per lux per square meter of material. Measurements shall be conducted in accordance with ASTM E-810, “Standard Test Method for Coefficient of Retro-reflection of Retro-reflection Sheeting”.</w:t>
      </w:r>
    </w:p>
    <w:p w14:paraId="6349FA00" w14:textId="77777777" w:rsidR="00870D63" w:rsidRPr="00FE476A" w:rsidRDefault="00870D63" w:rsidP="00870D63"/>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07"/>
        <w:gridCol w:w="1491"/>
        <w:gridCol w:w="1491"/>
      </w:tblGrid>
      <w:tr w:rsidR="00870D63" w:rsidRPr="00FE476A" w14:paraId="6659019C" w14:textId="77777777" w:rsidTr="009A4F54">
        <w:trPr>
          <w:jc w:val="center"/>
        </w:trPr>
        <w:tc>
          <w:tcPr>
            <w:tcW w:w="2007" w:type="dxa"/>
            <w:tcBorders>
              <w:top w:val="single" w:sz="6" w:space="0" w:color="auto"/>
              <w:left w:val="single" w:sz="6" w:space="0" w:color="auto"/>
              <w:bottom w:val="single" w:sz="6" w:space="0" w:color="auto"/>
              <w:right w:val="single" w:sz="6" w:space="0" w:color="auto"/>
            </w:tcBorders>
          </w:tcPr>
          <w:p w14:paraId="2808B6DB" w14:textId="77777777" w:rsidR="00870D63" w:rsidRPr="00FE476A" w:rsidRDefault="00870D63" w:rsidP="009A4F54">
            <w:r w:rsidRPr="00FE476A">
              <w:t>Color</w:t>
            </w:r>
          </w:p>
        </w:tc>
        <w:tc>
          <w:tcPr>
            <w:tcW w:w="2982" w:type="dxa"/>
            <w:gridSpan w:val="2"/>
            <w:tcBorders>
              <w:top w:val="single" w:sz="6" w:space="0" w:color="auto"/>
              <w:left w:val="single" w:sz="6" w:space="0" w:color="auto"/>
              <w:bottom w:val="single" w:sz="6" w:space="0" w:color="auto"/>
              <w:right w:val="single" w:sz="6" w:space="0" w:color="auto"/>
            </w:tcBorders>
          </w:tcPr>
          <w:p w14:paraId="715BB5C4" w14:textId="77777777" w:rsidR="00870D63" w:rsidRPr="00FE476A" w:rsidRDefault="00870D63" w:rsidP="009A4F54">
            <w:r w:rsidRPr="00FE476A">
              <w:t>Entrance Angle</w:t>
            </w:r>
          </w:p>
        </w:tc>
      </w:tr>
      <w:tr w:rsidR="00870D63" w:rsidRPr="00FE476A" w14:paraId="67ED96B0" w14:textId="77777777" w:rsidTr="009A4F54">
        <w:trPr>
          <w:jc w:val="center"/>
        </w:trPr>
        <w:tc>
          <w:tcPr>
            <w:tcW w:w="2007" w:type="dxa"/>
            <w:tcBorders>
              <w:top w:val="single" w:sz="6" w:space="0" w:color="auto"/>
              <w:left w:val="single" w:sz="6" w:space="0" w:color="auto"/>
              <w:bottom w:val="single" w:sz="6" w:space="0" w:color="auto"/>
              <w:right w:val="single" w:sz="6" w:space="0" w:color="auto"/>
            </w:tcBorders>
          </w:tcPr>
          <w:p w14:paraId="7F9F9C9A" w14:textId="77777777" w:rsidR="00870D63" w:rsidRPr="00FE476A" w:rsidRDefault="00870D63" w:rsidP="009A4F54"/>
        </w:tc>
        <w:tc>
          <w:tcPr>
            <w:tcW w:w="1491" w:type="dxa"/>
            <w:tcBorders>
              <w:top w:val="single" w:sz="6" w:space="0" w:color="auto"/>
              <w:left w:val="single" w:sz="6" w:space="0" w:color="auto"/>
              <w:bottom w:val="single" w:sz="6" w:space="0" w:color="auto"/>
              <w:right w:val="single" w:sz="6" w:space="0" w:color="auto"/>
            </w:tcBorders>
          </w:tcPr>
          <w:p w14:paraId="2947C578" w14:textId="77777777" w:rsidR="00870D63" w:rsidRPr="00FE476A" w:rsidRDefault="00870D63" w:rsidP="009A4F54">
            <w:r w:rsidRPr="00FE476A">
              <w:tab/>
              <w:t>-4</w:t>
            </w:r>
            <w:r w:rsidRPr="00FE476A">
              <w:sym w:font="Symbol" w:char="F0B0"/>
            </w:r>
            <w:r w:rsidRPr="00FE476A">
              <w:t xml:space="preserve"> </w:t>
            </w:r>
          </w:p>
        </w:tc>
        <w:tc>
          <w:tcPr>
            <w:tcW w:w="1491" w:type="dxa"/>
            <w:tcBorders>
              <w:top w:val="single" w:sz="6" w:space="0" w:color="auto"/>
              <w:left w:val="single" w:sz="6" w:space="0" w:color="auto"/>
              <w:bottom w:val="single" w:sz="6" w:space="0" w:color="auto"/>
              <w:right w:val="single" w:sz="6" w:space="0" w:color="auto"/>
            </w:tcBorders>
          </w:tcPr>
          <w:p w14:paraId="416F5A72" w14:textId="77777777" w:rsidR="00870D63" w:rsidRPr="00FE476A" w:rsidRDefault="00870D63" w:rsidP="009A4F54">
            <w:r w:rsidRPr="00FE476A">
              <w:tab/>
              <w:t>40</w:t>
            </w:r>
            <w:r w:rsidRPr="00FE476A">
              <w:sym w:font="Symbol" w:char="F0B0"/>
            </w:r>
            <w:r w:rsidRPr="00FE476A">
              <w:t xml:space="preserve"> </w:t>
            </w:r>
          </w:p>
        </w:tc>
      </w:tr>
      <w:tr w:rsidR="00870D63" w:rsidRPr="00FE476A" w14:paraId="4F3F7CBC" w14:textId="77777777" w:rsidTr="009A4F54">
        <w:trPr>
          <w:jc w:val="center"/>
        </w:trPr>
        <w:tc>
          <w:tcPr>
            <w:tcW w:w="2007" w:type="dxa"/>
            <w:tcBorders>
              <w:top w:val="single" w:sz="6" w:space="0" w:color="auto"/>
              <w:left w:val="single" w:sz="6" w:space="0" w:color="auto"/>
              <w:bottom w:val="single" w:sz="6" w:space="0" w:color="auto"/>
              <w:right w:val="single" w:sz="6" w:space="0" w:color="auto"/>
            </w:tcBorders>
          </w:tcPr>
          <w:p w14:paraId="20BABE86" w14:textId="77777777" w:rsidR="00870D63" w:rsidRPr="00FE476A" w:rsidRDefault="00870D63" w:rsidP="009A4F54"/>
        </w:tc>
        <w:tc>
          <w:tcPr>
            <w:tcW w:w="1491" w:type="dxa"/>
            <w:tcBorders>
              <w:top w:val="single" w:sz="6" w:space="0" w:color="auto"/>
              <w:left w:val="single" w:sz="6" w:space="0" w:color="auto"/>
              <w:bottom w:val="single" w:sz="6" w:space="0" w:color="auto"/>
              <w:right w:val="single" w:sz="6" w:space="0" w:color="auto"/>
            </w:tcBorders>
          </w:tcPr>
          <w:p w14:paraId="372BD354" w14:textId="77777777" w:rsidR="00870D63" w:rsidRPr="00FE476A" w:rsidRDefault="00870D63" w:rsidP="009A4F54"/>
        </w:tc>
        <w:tc>
          <w:tcPr>
            <w:tcW w:w="1491" w:type="dxa"/>
            <w:tcBorders>
              <w:top w:val="single" w:sz="6" w:space="0" w:color="auto"/>
              <w:left w:val="single" w:sz="6" w:space="0" w:color="auto"/>
              <w:bottom w:val="single" w:sz="6" w:space="0" w:color="auto"/>
              <w:right w:val="single" w:sz="6" w:space="0" w:color="auto"/>
            </w:tcBorders>
          </w:tcPr>
          <w:p w14:paraId="2756FD48" w14:textId="77777777" w:rsidR="00870D63" w:rsidRPr="00FE476A" w:rsidRDefault="00870D63" w:rsidP="009A4F54"/>
        </w:tc>
      </w:tr>
      <w:tr w:rsidR="00870D63" w:rsidRPr="00FE476A" w14:paraId="4DFA74CF" w14:textId="77777777" w:rsidTr="009A4F54">
        <w:trPr>
          <w:jc w:val="center"/>
        </w:trPr>
        <w:tc>
          <w:tcPr>
            <w:tcW w:w="2007" w:type="dxa"/>
            <w:tcBorders>
              <w:top w:val="single" w:sz="6" w:space="0" w:color="auto"/>
              <w:left w:val="single" w:sz="6" w:space="0" w:color="auto"/>
              <w:bottom w:val="single" w:sz="6" w:space="0" w:color="auto"/>
              <w:right w:val="single" w:sz="6" w:space="0" w:color="auto"/>
            </w:tcBorders>
          </w:tcPr>
          <w:p w14:paraId="51A1205F" w14:textId="77777777" w:rsidR="00870D63" w:rsidRPr="00FE476A" w:rsidRDefault="00870D63" w:rsidP="009A4F54">
            <w:r w:rsidRPr="00FE476A">
              <w:t>White</w:t>
            </w:r>
          </w:p>
        </w:tc>
        <w:tc>
          <w:tcPr>
            <w:tcW w:w="1491" w:type="dxa"/>
            <w:tcBorders>
              <w:top w:val="single" w:sz="6" w:space="0" w:color="auto"/>
              <w:left w:val="single" w:sz="6" w:space="0" w:color="auto"/>
              <w:bottom w:val="single" w:sz="6" w:space="0" w:color="auto"/>
              <w:right w:val="single" w:sz="6" w:space="0" w:color="auto"/>
            </w:tcBorders>
          </w:tcPr>
          <w:p w14:paraId="2D63C1D1" w14:textId="77777777" w:rsidR="00870D63" w:rsidRPr="00FE476A" w:rsidRDefault="00870D63" w:rsidP="009A4F54">
            <w:r w:rsidRPr="00FE476A">
              <w:tab/>
              <w:t>50</w:t>
            </w:r>
          </w:p>
        </w:tc>
        <w:tc>
          <w:tcPr>
            <w:tcW w:w="1491" w:type="dxa"/>
            <w:tcBorders>
              <w:top w:val="single" w:sz="6" w:space="0" w:color="auto"/>
              <w:left w:val="single" w:sz="6" w:space="0" w:color="auto"/>
              <w:bottom w:val="single" w:sz="6" w:space="0" w:color="auto"/>
              <w:right w:val="single" w:sz="6" w:space="0" w:color="auto"/>
            </w:tcBorders>
          </w:tcPr>
          <w:p w14:paraId="670F3894" w14:textId="77777777" w:rsidR="00870D63" w:rsidRPr="00FE476A" w:rsidRDefault="00870D63" w:rsidP="009A4F54">
            <w:r w:rsidRPr="00FE476A">
              <w:tab/>
              <w:t>16</w:t>
            </w:r>
          </w:p>
        </w:tc>
      </w:tr>
      <w:tr w:rsidR="00870D63" w:rsidRPr="00FE476A" w14:paraId="22E1CEAB" w14:textId="77777777" w:rsidTr="009A4F54">
        <w:trPr>
          <w:jc w:val="center"/>
        </w:trPr>
        <w:tc>
          <w:tcPr>
            <w:tcW w:w="2007" w:type="dxa"/>
            <w:tcBorders>
              <w:top w:val="single" w:sz="6" w:space="0" w:color="auto"/>
              <w:left w:val="single" w:sz="6" w:space="0" w:color="auto"/>
              <w:bottom w:val="single" w:sz="6" w:space="0" w:color="auto"/>
              <w:right w:val="single" w:sz="6" w:space="0" w:color="auto"/>
            </w:tcBorders>
          </w:tcPr>
          <w:p w14:paraId="1C600A62" w14:textId="77777777" w:rsidR="00870D63" w:rsidRPr="00FE476A" w:rsidRDefault="00870D63" w:rsidP="009A4F54">
            <w:r w:rsidRPr="00FE476A">
              <w:t>Yellow</w:t>
            </w:r>
          </w:p>
        </w:tc>
        <w:tc>
          <w:tcPr>
            <w:tcW w:w="1491" w:type="dxa"/>
            <w:tcBorders>
              <w:top w:val="single" w:sz="6" w:space="0" w:color="auto"/>
              <w:left w:val="single" w:sz="6" w:space="0" w:color="auto"/>
              <w:bottom w:val="single" w:sz="6" w:space="0" w:color="auto"/>
              <w:right w:val="single" w:sz="6" w:space="0" w:color="auto"/>
            </w:tcBorders>
          </w:tcPr>
          <w:p w14:paraId="2B7B1BA2" w14:textId="77777777" w:rsidR="00870D63" w:rsidRPr="00FE476A" w:rsidRDefault="00870D63" w:rsidP="009A4F54">
            <w:r w:rsidRPr="00FE476A">
              <w:tab/>
              <w:t>25</w:t>
            </w:r>
          </w:p>
        </w:tc>
        <w:tc>
          <w:tcPr>
            <w:tcW w:w="1491" w:type="dxa"/>
            <w:tcBorders>
              <w:top w:val="single" w:sz="6" w:space="0" w:color="auto"/>
              <w:left w:val="single" w:sz="6" w:space="0" w:color="auto"/>
              <w:bottom w:val="single" w:sz="6" w:space="0" w:color="auto"/>
              <w:right w:val="single" w:sz="6" w:space="0" w:color="auto"/>
            </w:tcBorders>
          </w:tcPr>
          <w:p w14:paraId="2CDFDB03" w14:textId="77777777" w:rsidR="00870D63" w:rsidRPr="00FE476A" w:rsidRDefault="00870D63" w:rsidP="009A4F54">
            <w:r w:rsidRPr="00FE476A">
              <w:tab/>
              <w:t>10</w:t>
            </w:r>
          </w:p>
        </w:tc>
      </w:tr>
      <w:tr w:rsidR="00870D63" w:rsidRPr="00FE476A" w14:paraId="29C0B5C4" w14:textId="77777777" w:rsidTr="009A4F54">
        <w:trPr>
          <w:jc w:val="center"/>
        </w:trPr>
        <w:tc>
          <w:tcPr>
            <w:tcW w:w="2007" w:type="dxa"/>
            <w:tcBorders>
              <w:top w:val="single" w:sz="6" w:space="0" w:color="auto"/>
              <w:left w:val="single" w:sz="6" w:space="0" w:color="auto"/>
              <w:bottom w:val="single" w:sz="6" w:space="0" w:color="auto"/>
              <w:right w:val="single" w:sz="6" w:space="0" w:color="auto"/>
            </w:tcBorders>
          </w:tcPr>
          <w:p w14:paraId="4BC24206" w14:textId="77777777" w:rsidR="00870D63" w:rsidRPr="00FE476A" w:rsidRDefault="00870D63" w:rsidP="009A4F54">
            <w:r w:rsidRPr="00FE476A">
              <w:t>Orange</w:t>
            </w:r>
          </w:p>
        </w:tc>
        <w:tc>
          <w:tcPr>
            <w:tcW w:w="1491" w:type="dxa"/>
            <w:tcBorders>
              <w:top w:val="single" w:sz="6" w:space="0" w:color="auto"/>
              <w:left w:val="single" w:sz="6" w:space="0" w:color="auto"/>
              <w:bottom w:val="single" w:sz="6" w:space="0" w:color="auto"/>
              <w:right w:val="single" w:sz="6" w:space="0" w:color="auto"/>
            </w:tcBorders>
          </w:tcPr>
          <w:p w14:paraId="766BBA17" w14:textId="77777777" w:rsidR="00870D63" w:rsidRPr="00FE476A" w:rsidRDefault="00870D63" w:rsidP="009A4F54">
            <w:r w:rsidRPr="00FE476A">
              <w:tab/>
              <w:t>25</w:t>
            </w:r>
          </w:p>
        </w:tc>
        <w:tc>
          <w:tcPr>
            <w:tcW w:w="1491" w:type="dxa"/>
            <w:tcBorders>
              <w:top w:val="single" w:sz="6" w:space="0" w:color="auto"/>
              <w:left w:val="single" w:sz="6" w:space="0" w:color="auto"/>
              <w:bottom w:val="single" w:sz="6" w:space="0" w:color="auto"/>
              <w:right w:val="single" w:sz="6" w:space="0" w:color="auto"/>
            </w:tcBorders>
          </w:tcPr>
          <w:p w14:paraId="1DCF035D" w14:textId="77777777" w:rsidR="00870D63" w:rsidRPr="00FE476A" w:rsidRDefault="00870D63" w:rsidP="009A4F54">
            <w:r w:rsidRPr="00FE476A">
              <w:tab/>
              <w:t>10</w:t>
            </w:r>
          </w:p>
        </w:tc>
      </w:tr>
      <w:tr w:rsidR="00870D63" w:rsidRPr="00FE476A" w14:paraId="65CADA41" w14:textId="77777777" w:rsidTr="009A4F54">
        <w:trPr>
          <w:jc w:val="center"/>
        </w:trPr>
        <w:tc>
          <w:tcPr>
            <w:tcW w:w="2007" w:type="dxa"/>
            <w:tcBorders>
              <w:top w:val="single" w:sz="6" w:space="0" w:color="auto"/>
              <w:left w:val="single" w:sz="6" w:space="0" w:color="auto"/>
              <w:bottom w:val="single" w:sz="6" w:space="0" w:color="auto"/>
              <w:right w:val="single" w:sz="6" w:space="0" w:color="auto"/>
            </w:tcBorders>
          </w:tcPr>
          <w:p w14:paraId="6109F5C5" w14:textId="77777777" w:rsidR="00870D63" w:rsidRPr="00FE476A" w:rsidRDefault="00870D63" w:rsidP="009A4F54">
            <w:r w:rsidRPr="00FE476A">
              <w:t>Lemon-Yellow</w:t>
            </w:r>
          </w:p>
        </w:tc>
        <w:tc>
          <w:tcPr>
            <w:tcW w:w="1491" w:type="dxa"/>
            <w:tcBorders>
              <w:top w:val="single" w:sz="6" w:space="0" w:color="auto"/>
              <w:left w:val="single" w:sz="6" w:space="0" w:color="auto"/>
              <w:bottom w:val="single" w:sz="6" w:space="0" w:color="auto"/>
              <w:right w:val="single" w:sz="6" w:space="0" w:color="auto"/>
            </w:tcBorders>
          </w:tcPr>
          <w:p w14:paraId="5626710A" w14:textId="77777777" w:rsidR="00870D63" w:rsidRPr="00FE476A" w:rsidRDefault="00870D63" w:rsidP="009A4F54">
            <w:r w:rsidRPr="00FE476A">
              <w:tab/>
              <w:t>25</w:t>
            </w:r>
          </w:p>
        </w:tc>
        <w:tc>
          <w:tcPr>
            <w:tcW w:w="1491" w:type="dxa"/>
            <w:tcBorders>
              <w:top w:val="single" w:sz="6" w:space="0" w:color="auto"/>
              <w:left w:val="single" w:sz="6" w:space="0" w:color="auto"/>
              <w:bottom w:val="single" w:sz="6" w:space="0" w:color="auto"/>
              <w:right w:val="single" w:sz="6" w:space="0" w:color="auto"/>
            </w:tcBorders>
          </w:tcPr>
          <w:p w14:paraId="1BCB6ABF" w14:textId="77777777" w:rsidR="00870D63" w:rsidRPr="00FE476A" w:rsidRDefault="00870D63" w:rsidP="009A4F54">
            <w:r w:rsidRPr="00FE476A">
              <w:tab/>
              <w:t>10</w:t>
            </w:r>
          </w:p>
        </w:tc>
      </w:tr>
      <w:tr w:rsidR="00870D63" w:rsidRPr="00FE476A" w14:paraId="75ED94B0" w14:textId="77777777" w:rsidTr="009A4F54">
        <w:trPr>
          <w:jc w:val="center"/>
        </w:trPr>
        <w:tc>
          <w:tcPr>
            <w:tcW w:w="2007" w:type="dxa"/>
            <w:tcBorders>
              <w:top w:val="single" w:sz="6" w:space="0" w:color="auto"/>
              <w:left w:val="single" w:sz="6" w:space="0" w:color="auto"/>
              <w:bottom w:val="single" w:sz="6" w:space="0" w:color="auto"/>
              <w:right w:val="single" w:sz="6" w:space="0" w:color="auto"/>
            </w:tcBorders>
          </w:tcPr>
          <w:p w14:paraId="3223EAA6" w14:textId="77777777" w:rsidR="00870D63" w:rsidRPr="00FE476A" w:rsidRDefault="00870D63" w:rsidP="009A4F54">
            <w:r w:rsidRPr="00FE476A">
              <w:t>Gold</w:t>
            </w:r>
          </w:p>
        </w:tc>
        <w:tc>
          <w:tcPr>
            <w:tcW w:w="1491" w:type="dxa"/>
            <w:tcBorders>
              <w:top w:val="single" w:sz="6" w:space="0" w:color="auto"/>
              <w:left w:val="single" w:sz="6" w:space="0" w:color="auto"/>
              <w:bottom w:val="single" w:sz="6" w:space="0" w:color="auto"/>
              <w:right w:val="single" w:sz="6" w:space="0" w:color="auto"/>
            </w:tcBorders>
          </w:tcPr>
          <w:p w14:paraId="26ED9F86" w14:textId="77777777" w:rsidR="00870D63" w:rsidRPr="00FE476A" w:rsidRDefault="00870D63" w:rsidP="009A4F54">
            <w:r w:rsidRPr="00FE476A">
              <w:tab/>
              <w:t>25</w:t>
            </w:r>
          </w:p>
        </w:tc>
        <w:tc>
          <w:tcPr>
            <w:tcW w:w="1491" w:type="dxa"/>
            <w:tcBorders>
              <w:top w:val="single" w:sz="6" w:space="0" w:color="auto"/>
              <w:left w:val="single" w:sz="6" w:space="0" w:color="auto"/>
              <w:bottom w:val="single" w:sz="6" w:space="0" w:color="auto"/>
              <w:right w:val="single" w:sz="6" w:space="0" w:color="auto"/>
            </w:tcBorders>
          </w:tcPr>
          <w:p w14:paraId="050D9A85" w14:textId="77777777" w:rsidR="00870D63" w:rsidRPr="00FE476A" w:rsidRDefault="00870D63" w:rsidP="009A4F54">
            <w:r w:rsidRPr="00FE476A">
              <w:tab/>
              <w:t>10</w:t>
            </w:r>
          </w:p>
        </w:tc>
      </w:tr>
      <w:tr w:rsidR="00870D63" w:rsidRPr="00FE476A" w14:paraId="10B790A4" w14:textId="77777777" w:rsidTr="009A4F54">
        <w:trPr>
          <w:jc w:val="center"/>
        </w:trPr>
        <w:tc>
          <w:tcPr>
            <w:tcW w:w="2007" w:type="dxa"/>
            <w:tcBorders>
              <w:top w:val="single" w:sz="6" w:space="0" w:color="auto"/>
              <w:left w:val="single" w:sz="6" w:space="0" w:color="auto"/>
              <w:bottom w:val="single" w:sz="6" w:space="0" w:color="auto"/>
              <w:right w:val="single" w:sz="6" w:space="0" w:color="auto"/>
            </w:tcBorders>
          </w:tcPr>
          <w:p w14:paraId="366E22DE" w14:textId="77777777" w:rsidR="00870D63" w:rsidRPr="00FE476A" w:rsidRDefault="00870D63" w:rsidP="009A4F54">
            <w:r w:rsidRPr="00FE476A">
              <w:t>Green</w:t>
            </w:r>
          </w:p>
        </w:tc>
        <w:tc>
          <w:tcPr>
            <w:tcW w:w="1491" w:type="dxa"/>
            <w:tcBorders>
              <w:top w:val="single" w:sz="6" w:space="0" w:color="auto"/>
              <w:left w:val="single" w:sz="6" w:space="0" w:color="auto"/>
              <w:bottom w:val="single" w:sz="6" w:space="0" w:color="auto"/>
              <w:right w:val="single" w:sz="6" w:space="0" w:color="auto"/>
            </w:tcBorders>
          </w:tcPr>
          <w:p w14:paraId="3A3C6D19" w14:textId="77777777" w:rsidR="00870D63" w:rsidRPr="00FE476A" w:rsidRDefault="00870D63" w:rsidP="009A4F54">
            <w:r w:rsidRPr="00FE476A">
              <w:tab/>
              <w:t>18</w:t>
            </w:r>
          </w:p>
        </w:tc>
        <w:tc>
          <w:tcPr>
            <w:tcW w:w="1491" w:type="dxa"/>
            <w:tcBorders>
              <w:top w:val="single" w:sz="6" w:space="0" w:color="auto"/>
              <w:left w:val="single" w:sz="6" w:space="0" w:color="auto"/>
              <w:bottom w:val="single" w:sz="6" w:space="0" w:color="auto"/>
              <w:right w:val="single" w:sz="6" w:space="0" w:color="auto"/>
            </w:tcBorders>
          </w:tcPr>
          <w:p w14:paraId="3B3238BD" w14:textId="77777777" w:rsidR="00870D63" w:rsidRPr="00FE476A" w:rsidRDefault="00870D63" w:rsidP="009A4F54">
            <w:r w:rsidRPr="00FE476A">
              <w:tab/>
              <w:t xml:space="preserve"> 7</w:t>
            </w:r>
          </w:p>
        </w:tc>
      </w:tr>
      <w:tr w:rsidR="00870D63" w:rsidRPr="00FE476A" w14:paraId="1E4224D9" w14:textId="77777777" w:rsidTr="009A4F54">
        <w:trPr>
          <w:jc w:val="center"/>
        </w:trPr>
        <w:tc>
          <w:tcPr>
            <w:tcW w:w="2007" w:type="dxa"/>
            <w:tcBorders>
              <w:top w:val="single" w:sz="6" w:space="0" w:color="auto"/>
              <w:left w:val="single" w:sz="6" w:space="0" w:color="auto"/>
              <w:bottom w:val="single" w:sz="6" w:space="0" w:color="auto"/>
              <w:right w:val="single" w:sz="6" w:space="0" w:color="auto"/>
            </w:tcBorders>
          </w:tcPr>
          <w:p w14:paraId="6D349F38" w14:textId="77777777" w:rsidR="00870D63" w:rsidRPr="00FE476A" w:rsidRDefault="00870D63" w:rsidP="009A4F54">
            <w:r w:rsidRPr="00FE476A">
              <w:t>Blue</w:t>
            </w:r>
          </w:p>
        </w:tc>
        <w:tc>
          <w:tcPr>
            <w:tcW w:w="1491" w:type="dxa"/>
            <w:tcBorders>
              <w:top w:val="single" w:sz="6" w:space="0" w:color="auto"/>
              <w:left w:val="single" w:sz="6" w:space="0" w:color="auto"/>
              <w:bottom w:val="single" w:sz="6" w:space="0" w:color="auto"/>
              <w:right w:val="single" w:sz="6" w:space="0" w:color="auto"/>
            </w:tcBorders>
          </w:tcPr>
          <w:p w14:paraId="16CD17AA" w14:textId="77777777" w:rsidR="00870D63" w:rsidRPr="00FE476A" w:rsidRDefault="00870D63" w:rsidP="009A4F54">
            <w:r w:rsidRPr="00FE476A">
              <w:tab/>
              <w:t>18</w:t>
            </w:r>
          </w:p>
        </w:tc>
        <w:tc>
          <w:tcPr>
            <w:tcW w:w="1491" w:type="dxa"/>
            <w:tcBorders>
              <w:top w:val="single" w:sz="6" w:space="0" w:color="auto"/>
              <w:left w:val="single" w:sz="6" w:space="0" w:color="auto"/>
              <w:bottom w:val="single" w:sz="6" w:space="0" w:color="auto"/>
              <w:right w:val="single" w:sz="6" w:space="0" w:color="auto"/>
            </w:tcBorders>
          </w:tcPr>
          <w:p w14:paraId="55119306" w14:textId="77777777" w:rsidR="00870D63" w:rsidRPr="00FE476A" w:rsidRDefault="00870D63" w:rsidP="009A4F54">
            <w:r w:rsidRPr="00FE476A">
              <w:tab/>
              <w:t xml:space="preserve"> 7</w:t>
            </w:r>
          </w:p>
        </w:tc>
      </w:tr>
      <w:tr w:rsidR="00870D63" w:rsidRPr="00FE476A" w14:paraId="0CF0C715" w14:textId="77777777" w:rsidTr="009A4F54">
        <w:trPr>
          <w:jc w:val="center"/>
        </w:trPr>
        <w:tc>
          <w:tcPr>
            <w:tcW w:w="2007" w:type="dxa"/>
            <w:tcBorders>
              <w:top w:val="single" w:sz="6" w:space="0" w:color="auto"/>
              <w:left w:val="single" w:sz="6" w:space="0" w:color="auto"/>
              <w:bottom w:val="single" w:sz="6" w:space="0" w:color="auto"/>
              <w:right w:val="single" w:sz="6" w:space="0" w:color="auto"/>
            </w:tcBorders>
          </w:tcPr>
          <w:p w14:paraId="6A8C603D" w14:textId="77777777" w:rsidR="00870D63" w:rsidRPr="00FE476A" w:rsidRDefault="00870D63" w:rsidP="009A4F54">
            <w:r w:rsidRPr="00FE476A">
              <w:t>Red</w:t>
            </w:r>
          </w:p>
        </w:tc>
        <w:tc>
          <w:tcPr>
            <w:tcW w:w="1491" w:type="dxa"/>
            <w:tcBorders>
              <w:top w:val="single" w:sz="6" w:space="0" w:color="auto"/>
              <w:left w:val="single" w:sz="6" w:space="0" w:color="auto"/>
              <w:bottom w:val="single" w:sz="6" w:space="0" w:color="auto"/>
              <w:right w:val="single" w:sz="6" w:space="0" w:color="auto"/>
            </w:tcBorders>
          </w:tcPr>
          <w:p w14:paraId="2654E1F9" w14:textId="77777777" w:rsidR="00870D63" w:rsidRPr="00FE476A" w:rsidRDefault="00870D63" w:rsidP="009A4F54">
            <w:r w:rsidRPr="00FE476A">
              <w:tab/>
              <w:t xml:space="preserve"> 9</w:t>
            </w:r>
          </w:p>
        </w:tc>
        <w:tc>
          <w:tcPr>
            <w:tcW w:w="1491" w:type="dxa"/>
            <w:tcBorders>
              <w:top w:val="single" w:sz="6" w:space="0" w:color="auto"/>
              <w:left w:val="single" w:sz="6" w:space="0" w:color="auto"/>
              <w:bottom w:val="single" w:sz="6" w:space="0" w:color="auto"/>
              <w:right w:val="single" w:sz="6" w:space="0" w:color="auto"/>
            </w:tcBorders>
          </w:tcPr>
          <w:p w14:paraId="216DD0D2" w14:textId="77777777" w:rsidR="00870D63" w:rsidRPr="00FE476A" w:rsidRDefault="00870D63" w:rsidP="009A4F54">
            <w:r w:rsidRPr="00FE476A">
              <w:tab/>
              <w:t xml:space="preserve"> 3</w:t>
            </w:r>
          </w:p>
        </w:tc>
      </w:tr>
    </w:tbl>
    <w:p w14:paraId="0C122C5A" w14:textId="77777777" w:rsidR="00870D63" w:rsidRPr="00FE476A" w:rsidRDefault="00870D63" w:rsidP="00870D63"/>
    <w:p w14:paraId="303C2342" w14:textId="77777777" w:rsidR="00870D63" w:rsidRPr="00FE476A" w:rsidRDefault="00870D63" w:rsidP="00555D25">
      <w:pPr>
        <w:pStyle w:val="Heading4"/>
      </w:pPr>
      <w:r w:rsidRPr="00FE476A">
        <w:t>Resistance to Accelerated Weathering</w:t>
      </w:r>
    </w:p>
    <w:p w14:paraId="0E21550D" w14:textId="77777777" w:rsidR="00870D63" w:rsidRPr="00FE476A" w:rsidRDefault="00870D63" w:rsidP="00870D63"/>
    <w:p w14:paraId="2FC87E6F" w14:textId="77777777" w:rsidR="00870D63" w:rsidRPr="00FE476A" w:rsidRDefault="00870D63" w:rsidP="00555D25">
      <w:pPr>
        <w:pStyle w:val="Heading5"/>
      </w:pPr>
      <w:r w:rsidRPr="00FE476A">
        <w:t>The sheeting shall be weather resistant and show no appreciable discoloration, crazing, cracking, blistering, lifting or dimensional change and the surface shall continue to be essentially smooth to provide direct application of validation stickers, determined after the following accelerated weathering tests:</w:t>
      </w:r>
    </w:p>
    <w:p w14:paraId="5DF5F5B5" w14:textId="6FA84632" w:rsidR="00870D63" w:rsidRPr="00A55AB6" w:rsidRDefault="00870D63" w:rsidP="00555D25">
      <w:pPr>
        <w:pStyle w:val="Heading5"/>
      </w:pPr>
      <w:r w:rsidRPr="00FE476A">
        <w:t xml:space="preserve">Laboratory testing – 2,000 hours in Xenon arc weatherometer using ASTMG 26-Type BH, Method A. Finished license plate samples shall maintain 70% of retro-reflective table values shown in Section </w:t>
      </w:r>
      <w:r w:rsidRPr="00A55AB6">
        <w:t>3.4.6</w:t>
      </w:r>
      <w:r w:rsidR="00A55AB6" w:rsidRPr="00A55AB6">
        <w:t xml:space="preserve"> (A)</w:t>
      </w:r>
      <w:r w:rsidRPr="00A55AB6">
        <w:t>.</w:t>
      </w:r>
    </w:p>
    <w:p w14:paraId="11CDC62A" w14:textId="27ED3F37" w:rsidR="00870D63" w:rsidRPr="00FE476A" w:rsidRDefault="00870D63" w:rsidP="00555D25">
      <w:pPr>
        <w:pStyle w:val="Heading5"/>
      </w:pPr>
      <w:r w:rsidRPr="00FE476A">
        <w:t xml:space="preserve">Outdoor accelerated testing – Finished license plate samples shall be placed in a 24-month unprotected outdoor exposure, facing the equator and inclined 45 degrees from the vertical. Retro-reflective measurements, taken after cleaning, shall result in 70% or more retention of the table values shown in </w:t>
      </w:r>
      <w:r w:rsidRPr="00A55AB6">
        <w:t>Section 3.4.6</w:t>
      </w:r>
      <w:r w:rsidR="00A55AB6" w:rsidRPr="00A55AB6">
        <w:t xml:space="preserve"> (</w:t>
      </w:r>
      <w:r w:rsidR="00A55AB6">
        <w:t>A)</w:t>
      </w:r>
      <w:r w:rsidRPr="00FE476A">
        <w:t>.</w:t>
      </w:r>
    </w:p>
    <w:p w14:paraId="1E37FF2B" w14:textId="77777777" w:rsidR="00870D63" w:rsidRPr="00FE476A" w:rsidRDefault="00870D63" w:rsidP="00870D63"/>
    <w:p w14:paraId="6544DA27" w14:textId="77777777" w:rsidR="00870D63" w:rsidRPr="00FE476A" w:rsidRDefault="00870D63" w:rsidP="00555D25">
      <w:pPr>
        <w:pStyle w:val="Heading4"/>
      </w:pPr>
      <w:r w:rsidRPr="00FE476A">
        <w:t>Rainfall Performance</w:t>
      </w:r>
    </w:p>
    <w:p w14:paraId="1D71F997" w14:textId="77777777" w:rsidR="00870D63" w:rsidRPr="00FE476A" w:rsidRDefault="00870D63" w:rsidP="00870D63"/>
    <w:p w14:paraId="3880CD27" w14:textId="6B199116" w:rsidR="00870D63" w:rsidRPr="00FE476A" w:rsidRDefault="00870D63" w:rsidP="00555D25">
      <w:pPr>
        <w:pStyle w:val="Heading5"/>
      </w:pPr>
      <w:r w:rsidRPr="00FE476A">
        <w:t xml:space="preserve">The Coefficient of Retro-reflection of the same finished license plate test panels, measured on the same flat area of the test panels, totally wet by rain, shall not be less than 90% or more of the table values shown in Section </w:t>
      </w:r>
      <w:r w:rsidRPr="00A55AB6">
        <w:t>3.4.6</w:t>
      </w:r>
      <w:r w:rsidR="00A55AB6" w:rsidRPr="00A55AB6">
        <w:t xml:space="preserve"> (A</w:t>
      </w:r>
      <w:r w:rsidR="00A55AB6">
        <w:t>)</w:t>
      </w:r>
      <w:r w:rsidRPr="00FE476A">
        <w:t xml:space="preserve">.  Wet performance measurements shall be conducted at 0.2° observation and -4° entrance angles in accordance with ASTME-810 and using the test set-up described in LS-300C, p.18, fig.1. </w:t>
      </w:r>
    </w:p>
    <w:p w14:paraId="404B2CF5" w14:textId="77777777" w:rsidR="00870D63" w:rsidRPr="00FE476A" w:rsidRDefault="00870D63" w:rsidP="00870D63"/>
    <w:p w14:paraId="1F087A0A" w14:textId="77777777" w:rsidR="00870D63" w:rsidRPr="00FE476A" w:rsidRDefault="00870D63" w:rsidP="00026259">
      <w:pPr>
        <w:pStyle w:val="Heading4"/>
      </w:pPr>
      <w:r w:rsidRPr="00FE476A">
        <w:t>Daytime/Nighttime Color</w:t>
      </w:r>
    </w:p>
    <w:p w14:paraId="233E8C9A" w14:textId="77777777" w:rsidR="00870D63" w:rsidRPr="00FE476A" w:rsidRDefault="00870D63" w:rsidP="00870D63"/>
    <w:p w14:paraId="31A4C7EA" w14:textId="77777777" w:rsidR="00870D63" w:rsidRPr="00FE476A" w:rsidRDefault="00870D63" w:rsidP="00026259">
      <w:pPr>
        <w:pStyle w:val="Heading5"/>
      </w:pPr>
      <w:r w:rsidRPr="00FE476A">
        <w:t>To assist in positive daytime/nighttime identification of license plates, the color of the reflective background of the sheeting, including any pre-printed design, shall be similar in daylight and by illumination at night.</w:t>
      </w:r>
    </w:p>
    <w:p w14:paraId="199618ED" w14:textId="77777777" w:rsidR="00870D63" w:rsidRPr="00FE476A" w:rsidRDefault="00870D63" w:rsidP="00870D63"/>
    <w:p w14:paraId="2E47096D" w14:textId="77777777" w:rsidR="00870D63" w:rsidRPr="00FE476A" w:rsidRDefault="00870D63" w:rsidP="00026259">
      <w:pPr>
        <w:pStyle w:val="Heading4"/>
      </w:pPr>
      <w:r w:rsidRPr="00FE476A">
        <w:t>Flexibility – Embossing</w:t>
      </w:r>
    </w:p>
    <w:p w14:paraId="76415F74" w14:textId="77777777" w:rsidR="00870D63" w:rsidRPr="00FE476A" w:rsidRDefault="00870D63" w:rsidP="00870D63"/>
    <w:p w14:paraId="44F7E292" w14:textId="77777777" w:rsidR="00870D63" w:rsidRPr="00FE476A" w:rsidRDefault="00870D63" w:rsidP="00026259">
      <w:pPr>
        <w:pStyle w:val="Heading5"/>
      </w:pPr>
      <w:r w:rsidRPr="00FE476A">
        <w:t>The sheeting shall, when correctly applied to treated aluminum, conform to the minimum/maximum tolerances for embossing dies as used by the manufacturing facility that supplies finished plates to the NV DMV and as recommended by the sheeting manufacturer.</w:t>
      </w:r>
    </w:p>
    <w:p w14:paraId="654A08C1" w14:textId="77777777" w:rsidR="00870D63" w:rsidRPr="00FE476A" w:rsidRDefault="00870D63" w:rsidP="00026259">
      <w:pPr>
        <w:pStyle w:val="Heading5"/>
      </w:pPr>
      <w:r w:rsidRPr="00FE476A">
        <w:t>Finished, embossed license plates shall show no appreciable wrinkling, cracking, or squirming at or around embossed areas.</w:t>
      </w:r>
    </w:p>
    <w:p w14:paraId="643EB2BF" w14:textId="77777777" w:rsidR="00870D63" w:rsidRPr="00FE476A" w:rsidRDefault="00870D63" w:rsidP="00870D63"/>
    <w:p w14:paraId="545C3309" w14:textId="77777777" w:rsidR="00870D63" w:rsidRPr="00FE476A" w:rsidRDefault="00870D63" w:rsidP="00026259">
      <w:pPr>
        <w:pStyle w:val="Heading4"/>
      </w:pPr>
      <w:r w:rsidRPr="00FE476A">
        <w:t>Cleanability</w:t>
      </w:r>
    </w:p>
    <w:p w14:paraId="701EBE74" w14:textId="77777777" w:rsidR="00870D63" w:rsidRPr="00FE476A" w:rsidRDefault="00870D63" w:rsidP="00870D63"/>
    <w:p w14:paraId="667D4E57" w14:textId="77777777" w:rsidR="00870D63" w:rsidRPr="00FE476A" w:rsidRDefault="00870D63" w:rsidP="00026259">
      <w:pPr>
        <w:pStyle w:val="Heading5"/>
      </w:pPr>
      <w:r w:rsidRPr="00FE476A">
        <w:t xml:space="preserve">Finished license plate samples, manufactured in accordance with the recommendations of the reflective sheeting manufacturer, shall be easily cleansed of normal dirt accumulation by washing with water and mild detergent. A test panel shall be sprayed with water-suspended </w:t>
      </w:r>
      <w:proofErr w:type="gramStart"/>
      <w:r w:rsidRPr="00FE476A">
        <w:t>soils</w:t>
      </w:r>
      <w:proofErr w:type="gramEnd"/>
      <w:r w:rsidRPr="00FE476A">
        <w:t xml:space="preserve"> collected from the underside of vehicle fenders, mixed with water in the proportion of five pounds (2.27 kg) of soil to one gallon (3.78 liters) of water, and poured through a paint strainer.</w:t>
      </w:r>
    </w:p>
    <w:p w14:paraId="7C8AE9E7" w14:textId="77777777" w:rsidR="00870D63" w:rsidRPr="00FE476A" w:rsidRDefault="00870D63" w:rsidP="00026259">
      <w:pPr>
        <w:pStyle w:val="Heading5"/>
      </w:pPr>
      <w:r w:rsidRPr="00FE476A">
        <w:t>The mixture shall then be sprayed onto the panel while particles are in suspension. After the panel is thoroughly dry, it shall be cleaned by washing with a mixture of water and mild detergent, rinsed with clean water, and wiped dry for examination. The panel shall show no appreciable difference when compared to a new clean panel.</w:t>
      </w:r>
    </w:p>
    <w:p w14:paraId="783C4F1B" w14:textId="77777777" w:rsidR="00870D63" w:rsidRPr="00FE476A" w:rsidRDefault="00870D63" w:rsidP="00870D63"/>
    <w:p w14:paraId="3CB3B951" w14:textId="79783CAA" w:rsidR="00870D63" w:rsidRPr="00FE476A" w:rsidRDefault="00870D63" w:rsidP="00026259">
      <w:pPr>
        <w:pStyle w:val="Heading4"/>
      </w:pPr>
      <w:r w:rsidRPr="00FE476A">
        <w:t xml:space="preserve">Solvent Resistance  </w:t>
      </w:r>
    </w:p>
    <w:p w14:paraId="55D931AA" w14:textId="77777777" w:rsidR="00870D63" w:rsidRPr="00FE476A" w:rsidRDefault="00870D63" w:rsidP="00870D63"/>
    <w:p w14:paraId="08532D6A" w14:textId="1F50B450" w:rsidR="00870D63" w:rsidRPr="00FE476A" w:rsidRDefault="00870D63" w:rsidP="00026259">
      <w:pPr>
        <w:ind w:left="1080"/>
      </w:pPr>
      <w:r w:rsidRPr="00FE476A">
        <w:t xml:space="preserve">The following solvent resistance in </w:t>
      </w:r>
      <w:r w:rsidRPr="00A55AB6">
        <w:t>section 3.</w:t>
      </w:r>
      <w:r w:rsidR="00A55AB6" w:rsidRPr="00A55AB6">
        <w:t>5</w:t>
      </w:r>
      <w:r w:rsidRPr="00A55AB6">
        <w:t>.7</w:t>
      </w:r>
      <w:r w:rsidR="00A55AB6" w:rsidRPr="00A55AB6">
        <w:t xml:space="preserve"> (</w:t>
      </w:r>
      <w:r w:rsidR="00A55AB6">
        <w:t>G)</w:t>
      </w:r>
      <w:r w:rsidRPr="00FE476A">
        <w:t xml:space="preserve"> of th</w:t>
      </w:r>
      <w:r w:rsidR="00026259">
        <w:t>is</w:t>
      </w:r>
      <w:r w:rsidRPr="00FE476A">
        <w:t xml:space="preserve"> RFP, can be added by the parties later at the price(s) quoted</w:t>
      </w:r>
      <w:r w:rsidR="00026259">
        <w:t>:</w:t>
      </w:r>
    </w:p>
    <w:p w14:paraId="7A01E923" w14:textId="295EFC5B" w:rsidR="00870D63" w:rsidRPr="00FE476A" w:rsidRDefault="00026259" w:rsidP="00870D63">
      <w:r>
        <w:tab/>
      </w:r>
    </w:p>
    <w:p w14:paraId="3659D54F" w14:textId="5C8C9E03" w:rsidR="00870D63" w:rsidRPr="00FE476A" w:rsidRDefault="00870D63" w:rsidP="00026259">
      <w:pPr>
        <w:pStyle w:val="Heading5"/>
      </w:pPr>
      <w:r w:rsidRPr="00FE476A">
        <w:t xml:space="preserve">License plate panels prepared per </w:t>
      </w:r>
      <w:r w:rsidR="00026259" w:rsidRPr="00A55AB6">
        <w:t>s</w:t>
      </w:r>
      <w:r w:rsidRPr="00A55AB6">
        <w:t>ection 3.4.6</w:t>
      </w:r>
      <w:r w:rsidR="00A55AB6" w:rsidRPr="00A55AB6">
        <w:t xml:space="preserve"> (</w:t>
      </w:r>
      <w:r w:rsidR="00A55AB6">
        <w:t>H)</w:t>
      </w:r>
      <w:r w:rsidRPr="00FE476A">
        <w:t xml:space="preserve"> shall be sufficiently solvent resistant to withstand exposure to mineral spirits, turpentine, toluene, xylene, and methyl alcohol in accordance with Fed. Spec. LS-300C without wrinkling, puckering or edge lifting.</w:t>
      </w:r>
    </w:p>
    <w:p w14:paraId="035F56B6" w14:textId="77777777" w:rsidR="00870D63" w:rsidRPr="00FE476A" w:rsidRDefault="00870D63" w:rsidP="00026259">
      <w:pPr>
        <w:pStyle w:val="Heading5"/>
      </w:pPr>
      <w:r w:rsidRPr="00FE476A">
        <w:t>Test panels shall be 1” x 6” strips cut from license plate blanks.  Strips of the license plate shall be exposed as follows: mineral spirits and turpentine – submerged in a container with 4” of solvent for 10 minutes.  Toluene, xylene, and methyl alcohol – submerged in a container with 4” of solvent for 2 minutes.</w:t>
      </w:r>
    </w:p>
    <w:p w14:paraId="18C6E19A" w14:textId="77777777" w:rsidR="00870D63" w:rsidRPr="00FE476A" w:rsidRDefault="00870D63" w:rsidP="00026259">
      <w:pPr>
        <w:pStyle w:val="Heading5"/>
      </w:pPr>
      <w:r w:rsidRPr="00FE476A">
        <w:t xml:space="preserve">Samples shall be allowed to dry and be examined for any wrinkling, puckering, blistering or edge lifting. Failure of samples </w:t>
      </w:r>
      <w:proofErr w:type="gramStart"/>
      <w:r w:rsidRPr="00FE476A">
        <w:t>shall be</w:t>
      </w:r>
      <w:proofErr w:type="gramEnd"/>
      <w:r w:rsidRPr="00FE476A">
        <w:t xml:space="preserve"> cause for rejections.</w:t>
      </w:r>
    </w:p>
    <w:p w14:paraId="20C992CF" w14:textId="77777777" w:rsidR="00870D63" w:rsidRPr="00FE476A" w:rsidRDefault="00870D63" w:rsidP="00870D63"/>
    <w:p w14:paraId="7011DC13" w14:textId="77777777" w:rsidR="00870D63" w:rsidRPr="00FE476A" w:rsidRDefault="00870D63" w:rsidP="00026259">
      <w:pPr>
        <w:pStyle w:val="Heading4"/>
      </w:pPr>
      <w:r w:rsidRPr="00FE476A">
        <w:t>Test Panels</w:t>
      </w:r>
    </w:p>
    <w:p w14:paraId="7834ACAD" w14:textId="77777777" w:rsidR="00870D63" w:rsidRPr="00FE476A" w:rsidRDefault="00870D63" w:rsidP="00870D63"/>
    <w:p w14:paraId="17D158B8" w14:textId="77777777" w:rsidR="00870D63" w:rsidRPr="00FE476A" w:rsidRDefault="00870D63" w:rsidP="00026259">
      <w:pPr>
        <w:pStyle w:val="Heading5"/>
      </w:pPr>
      <w:r w:rsidRPr="00FE476A">
        <w:t>Finished license plate test panels 6” x 12” (15.2cm x 30.5cm) must be provided for testing and evaluation with each response and shall be produced of the same materials on the same equipment, and by the same general processes of substrate preparation, laminating, embossing, and dry roll coating as the production plates, in accordance with the sheeting manufacturer’s recommendations.</w:t>
      </w:r>
    </w:p>
    <w:p w14:paraId="554545A9" w14:textId="77777777" w:rsidR="00870D63" w:rsidRPr="00FE476A" w:rsidRDefault="00870D63" w:rsidP="00870D63"/>
    <w:p w14:paraId="5D8E54C9" w14:textId="77777777" w:rsidR="00870D63" w:rsidRPr="00FE476A" w:rsidRDefault="00870D63" w:rsidP="00026259">
      <w:pPr>
        <w:pStyle w:val="Heading4"/>
      </w:pPr>
      <w:r w:rsidRPr="00FE476A">
        <w:t>Quality Conformance</w:t>
      </w:r>
    </w:p>
    <w:p w14:paraId="38578E8B" w14:textId="77777777" w:rsidR="00870D63" w:rsidRPr="00FE476A" w:rsidRDefault="00870D63" w:rsidP="00870D63"/>
    <w:p w14:paraId="12043713" w14:textId="77777777" w:rsidR="00870D63" w:rsidRPr="00FE476A" w:rsidRDefault="00870D63" w:rsidP="00026259">
      <w:pPr>
        <w:pStyle w:val="Heading5"/>
      </w:pPr>
      <w:r w:rsidRPr="00FE476A">
        <w:t>Failure of the reflective sheeting to meet any requirement specified herein shall be cause for refusal to accept materials until evidence has been provided by the manufacturer that corrective action has been taken to eliminate deficiencies.</w:t>
      </w:r>
    </w:p>
    <w:p w14:paraId="46C19FCE" w14:textId="77777777" w:rsidR="00870D63" w:rsidRPr="00FE476A" w:rsidRDefault="00870D63" w:rsidP="00870D63"/>
    <w:p w14:paraId="0D1C7BC1" w14:textId="77777777" w:rsidR="00870D63" w:rsidRPr="00FE476A" w:rsidRDefault="00870D63" w:rsidP="00026259">
      <w:pPr>
        <w:pStyle w:val="Heading4"/>
      </w:pPr>
      <w:r w:rsidRPr="00FE476A">
        <w:t>Performance Life</w:t>
      </w:r>
    </w:p>
    <w:p w14:paraId="18C44D65" w14:textId="77777777" w:rsidR="00870D63" w:rsidRPr="00FE476A" w:rsidRDefault="00870D63" w:rsidP="00870D63"/>
    <w:p w14:paraId="3DD9CA99" w14:textId="77777777" w:rsidR="00870D63" w:rsidRPr="00FE476A" w:rsidRDefault="00870D63" w:rsidP="0033257E">
      <w:pPr>
        <w:pStyle w:val="Heading5"/>
      </w:pPr>
      <w:r w:rsidRPr="00FE476A">
        <w:t>Reflective sheeting applied and processed into finished license plates according to the sheeting manufacturer’s instruction shall be considered to perform effectively for the service life specified (excluding those plates showing mechanical damage) if:</w:t>
      </w:r>
    </w:p>
    <w:p w14:paraId="5518B94E" w14:textId="77777777" w:rsidR="00870D63" w:rsidRPr="00FE476A" w:rsidRDefault="00870D63" w:rsidP="0033257E">
      <w:pPr>
        <w:pStyle w:val="Heading6"/>
      </w:pPr>
      <w:r w:rsidRPr="00FE476A">
        <w:t xml:space="preserve">The plates show no fading, cracking, blistering, or peeling which will significantly impair the intended visibility or legibility of the plate, and </w:t>
      </w:r>
      <w:proofErr w:type="gramStart"/>
      <w:r w:rsidRPr="00FE476A">
        <w:t>if;</w:t>
      </w:r>
      <w:proofErr w:type="gramEnd"/>
    </w:p>
    <w:p w14:paraId="300D6C4C" w14:textId="77777777" w:rsidR="00870D63" w:rsidRPr="00FE476A" w:rsidRDefault="00870D63" w:rsidP="0033257E">
      <w:pPr>
        <w:pStyle w:val="Heading6"/>
      </w:pPr>
      <w:r w:rsidRPr="00FE476A">
        <w:t>The clean rear plate retains at least 9 candlepower per foot-candle per plate (.84 candelas per lux per plate) for the length of the intended issue being proposed (up to a period of 5 years).  (Assumes white sheeting background.)</w:t>
      </w:r>
    </w:p>
    <w:p w14:paraId="3FD06A06" w14:textId="77777777" w:rsidR="00870D63" w:rsidRPr="00FE476A" w:rsidRDefault="00870D63" w:rsidP="0033257E">
      <w:pPr>
        <w:pStyle w:val="Heading5"/>
      </w:pPr>
      <w:r w:rsidRPr="00FE476A">
        <w:t>Measurements shall be conducted at 0.2° observation angle and -4° entrance angle coefficient of luminous intensity shall be measured using the test method outlined in ASTME-810 except that the coefficient of luminous intensity shall be determined in accordance with ASTME-808 Para. 4.2.1 and ASTME-809 Para. 12.1.1.</w:t>
      </w:r>
    </w:p>
    <w:p w14:paraId="39803CA0" w14:textId="77777777" w:rsidR="00870D63" w:rsidRPr="00FE476A" w:rsidRDefault="00870D63" w:rsidP="00870D63"/>
    <w:p w14:paraId="07A294CE" w14:textId="77777777" w:rsidR="00870D63" w:rsidRPr="00FE476A" w:rsidRDefault="00870D63" w:rsidP="0033257E">
      <w:pPr>
        <w:pStyle w:val="Heading4"/>
      </w:pPr>
      <w:r w:rsidRPr="00FE476A">
        <w:t>Warranty Provisions</w:t>
      </w:r>
    </w:p>
    <w:p w14:paraId="03334BAD" w14:textId="77777777" w:rsidR="00870D63" w:rsidRPr="00FE476A" w:rsidRDefault="00870D63" w:rsidP="00870D63"/>
    <w:p w14:paraId="61EADF19" w14:textId="77777777" w:rsidR="00870D63" w:rsidRPr="00FE476A" w:rsidRDefault="00870D63" w:rsidP="0033257E">
      <w:pPr>
        <w:pStyle w:val="Heading5"/>
      </w:pPr>
      <w:r w:rsidRPr="00FE476A">
        <w:t>The sheeting shall be imaged with a buried directional, integral warranty mark, to be traceable to the specific manufacturer’s production run numbers from which the material originated. If at any time during the specified performance life of the reflective material provided, a one half percent sample of clean, rear plates produced from a given production run (identified by the integral warranty mark) reveals that 10 percent or more of that sample are found to be defective in visual or brightness performance requirements as defined herein, the successful vendor shall be responsible for replacement of all plates manufactured from that specific lot of material.</w:t>
      </w:r>
    </w:p>
    <w:p w14:paraId="11380560" w14:textId="77777777" w:rsidR="00870D63" w:rsidRPr="00FE476A" w:rsidRDefault="00870D63" w:rsidP="0033257E">
      <w:pPr>
        <w:pStyle w:val="Heading5"/>
      </w:pPr>
      <w:r w:rsidRPr="00FE476A">
        <w:t>The successful vendor shall be responsible for all costs associated with any license plate recall due to failed materials. This shall include, but is not limited to, any salary costs generated due to a recall and/or plate replacement.</w:t>
      </w:r>
    </w:p>
    <w:p w14:paraId="175D7CCA" w14:textId="77777777" w:rsidR="00870D63" w:rsidRPr="00FE476A" w:rsidRDefault="00870D63" w:rsidP="0033257E">
      <w:pPr>
        <w:pStyle w:val="Heading5"/>
      </w:pPr>
      <w:r w:rsidRPr="00FE476A">
        <w:t xml:space="preserve">The successful vendor shall be responsible for all replacement costs associated with a specific lot; a maximum liability </w:t>
      </w:r>
      <w:proofErr w:type="gramStart"/>
      <w:r w:rsidRPr="00FE476A">
        <w:t>assessment</w:t>
      </w:r>
      <w:proofErr w:type="gramEnd"/>
      <w:r w:rsidRPr="00FE476A">
        <w:t xml:space="preserve"> $7.50 per plate will be invoked for failed plates associated with a specific lot.  Reimbursement of the NV DMV shall be in dollars and/or equal to the assessed damage, at the discretion of the NV DMV.</w:t>
      </w:r>
    </w:p>
    <w:p w14:paraId="3CF94D2B" w14:textId="77777777" w:rsidR="00870D63" w:rsidRPr="00FE476A" w:rsidRDefault="00870D63" w:rsidP="0033257E">
      <w:pPr>
        <w:pStyle w:val="Heading5"/>
      </w:pPr>
      <w:r w:rsidRPr="00FE476A">
        <w:t>To assure effective identification, the warranty marks shall be approximately 1.125 inches in diameter on standard 6” x 12” plates and shall be a design mutually agreed upon by the NV DMV and the successful vendor. The successful vendor may vary the number, design, and placement of the marks for motorcycle or smaller license plate sizes.</w:t>
      </w:r>
    </w:p>
    <w:p w14:paraId="30D8DD85" w14:textId="77777777" w:rsidR="00870D63" w:rsidRPr="00FE476A" w:rsidRDefault="00870D63" w:rsidP="0033257E">
      <w:pPr>
        <w:pStyle w:val="Heading5"/>
      </w:pPr>
      <w:r w:rsidRPr="00FE476A">
        <w:t>The warranty marks shall be verifiable on a license plate once properly affixed to the vehicle’s designated mounting area, from an approximate head-on distance of six (6) feet; warranty marks shall not be observable at 2 feet or 20 feet or when the viewer steps to one side from the head-on viewing position so as not to compete or conflict with vital plate information.</w:t>
      </w:r>
    </w:p>
    <w:p w14:paraId="2B568600" w14:textId="77777777" w:rsidR="00870D63" w:rsidRPr="00FE476A" w:rsidRDefault="00870D63" w:rsidP="0033257E">
      <w:pPr>
        <w:pStyle w:val="Heading5"/>
      </w:pPr>
      <w:r w:rsidRPr="00FE476A">
        <w:t>The warranty marks shall be verifiable under both ambient light and retro-reflected light at night, shall not interfere or conflict with the plate design or aesthetics, and shall not alter sheeting colors or reduce sheeting brightness below specified levels.</w:t>
      </w:r>
    </w:p>
    <w:p w14:paraId="34DA8398" w14:textId="272F84FB" w:rsidR="00870D63" w:rsidRPr="00FE476A" w:rsidRDefault="00E14B39" w:rsidP="0033257E">
      <w:pPr>
        <w:pStyle w:val="Heading5"/>
      </w:pPr>
      <w:r w:rsidRPr="00FE476A">
        <w:t>The consistency</w:t>
      </w:r>
      <w:r w:rsidR="00870D63" w:rsidRPr="00FE476A">
        <w:t xml:space="preserve"> of printing and dry roll coat materials must be maintained throughout the contract period. The successful vendor must provide for and maintain a compatible color match to existing and/or selected designs by the NV DMV. The successful vendor will be required to furnish sheeting based on the current license plate design/format or any approved NV DMV design. Failure to match and maintain colors in accordance with this section will be </w:t>
      </w:r>
      <w:r w:rsidRPr="00FE476A">
        <w:t>the cause</w:t>
      </w:r>
      <w:r w:rsidR="00870D63" w:rsidRPr="00FE476A">
        <w:t xml:space="preserve"> </w:t>
      </w:r>
      <w:proofErr w:type="gramStart"/>
      <w:r w:rsidR="00870D63" w:rsidRPr="00FE476A">
        <w:t>for</w:t>
      </w:r>
      <w:proofErr w:type="gramEnd"/>
      <w:r w:rsidR="00870D63" w:rsidRPr="00FE476A">
        <w:t xml:space="preserve"> contract cancellation.</w:t>
      </w:r>
    </w:p>
    <w:p w14:paraId="3DF73343" w14:textId="77777777" w:rsidR="00870D63" w:rsidRPr="00FE476A" w:rsidRDefault="00870D63" w:rsidP="00870D63"/>
    <w:p w14:paraId="4F767166" w14:textId="77777777" w:rsidR="00870D63" w:rsidRPr="00FE476A" w:rsidRDefault="00870D63" w:rsidP="0033257E">
      <w:pPr>
        <w:pStyle w:val="Heading4"/>
      </w:pPr>
      <w:r w:rsidRPr="00FE476A">
        <w:t>Technical Service</w:t>
      </w:r>
    </w:p>
    <w:p w14:paraId="0DE92AA7" w14:textId="77777777" w:rsidR="00870D63" w:rsidRPr="00FE476A" w:rsidRDefault="00870D63" w:rsidP="00870D63"/>
    <w:p w14:paraId="4515FEEB" w14:textId="77777777" w:rsidR="00870D63" w:rsidRPr="00FE476A" w:rsidRDefault="00870D63" w:rsidP="0033257E">
      <w:pPr>
        <w:pStyle w:val="Heading5"/>
      </w:pPr>
      <w:r w:rsidRPr="00FE476A">
        <w:t>The successful vendor shall, without additional cost, provide the NV DMV with expert technical service and product information. A list of expert technical service personnel, their qualifications and experience must be provided.</w:t>
      </w:r>
    </w:p>
    <w:p w14:paraId="180724E2" w14:textId="77777777" w:rsidR="00870D63" w:rsidRPr="00FE476A" w:rsidRDefault="00870D63" w:rsidP="0033257E">
      <w:pPr>
        <w:pStyle w:val="Heading5"/>
      </w:pPr>
      <w:r w:rsidRPr="00FE476A">
        <w:t>To ensure continued quality license plate manufacture, the successful vendor shall provide the NV DMV with on-site technical service.</w:t>
      </w:r>
    </w:p>
    <w:p w14:paraId="641EEC4C" w14:textId="77777777" w:rsidR="00870D63" w:rsidRPr="00FE476A" w:rsidRDefault="00870D63" w:rsidP="0033257E">
      <w:pPr>
        <w:pStyle w:val="Heading5"/>
      </w:pPr>
      <w:r w:rsidRPr="00FE476A">
        <w:t>On-site technical service shall be available within 48 hours of notification by the Nevada License Plate Factory of production difficulties.</w:t>
      </w:r>
    </w:p>
    <w:p w14:paraId="115C0E95" w14:textId="77777777" w:rsidR="00870D63" w:rsidRPr="00FE476A" w:rsidRDefault="00870D63" w:rsidP="00870D63"/>
    <w:p w14:paraId="13A81DFB" w14:textId="77777777" w:rsidR="00870D63" w:rsidRPr="00FE476A" w:rsidRDefault="00870D63" w:rsidP="0033257E">
      <w:pPr>
        <w:pStyle w:val="Heading4"/>
      </w:pPr>
      <w:r w:rsidRPr="00FE476A">
        <w:t>Packaging and Shipping of Conventional License Plate Sheeting</w:t>
      </w:r>
    </w:p>
    <w:p w14:paraId="3392F456" w14:textId="77777777" w:rsidR="00870D63" w:rsidRPr="00FE476A" w:rsidRDefault="00870D63" w:rsidP="00870D63"/>
    <w:p w14:paraId="27B44C07" w14:textId="77777777" w:rsidR="00870D63" w:rsidRPr="00FE476A" w:rsidRDefault="00870D63" w:rsidP="0033257E">
      <w:pPr>
        <w:pStyle w:val="Heading5"/>
      </w:pPr>
      <w:r w:rsidRPr="00FE476A">
        <w:t>To ensure easy access and proper inventory control, the reflective sheeting shall be shipped in bulk packages. To prevent roll damage, each pallet of bulk packages shall be designed to prevent double stacking by the shipper. Production run sequence numbers shall be affixed to the outside of each shipping package that corresponds to the materials contained therein. Each roll shall be additionally designated by a core identifier stamped or affixed with a permanent label to the inside of each roll core. A shipping or packaging list shall be affixed to one box on a pallet identifying all production runs contained within the shipment.</w:t>
      </w:r>
    </w:p>
    <w:p w14:paraId="4AD578A4" w14:textId="77777777" w:rsidR="00870D63" w:rsidRPr="00FE476A" w:rsidRDefault="00870D63" w:rsidP="00870D63"/>
    <w:p w14:paraId="7A820C15" w14:textId="77777777" w:rsidR="00870D63" w:rsidRPr="00FE476A" w:rsidRDefault="00870D63" w:rsidP="0033257E">
      <w:pPr>
        <w:pStyle w:val="Heading4"/>
      </w:pPr>
      <w:r w:rsidRPr="00FE476A">
        <w:t>Delivery Schedule of Conventional License Plate Sheeting</w:t>
      </w:r>
    </w:p>
    <w:p w14:paraId="6A168008" w14:textId="77777777" w:rsidR="00870D63" w:rsidRPr="00FE476A" w:rsidRDefault="00870D63" w:rsidP="00870D63"/>
    <w:p w14:paraId="7C3A9D3A" w14:textId="77777777" w:rsidR="00870D63" w:rsidRPr="00FE476A" w:rsidRDefault="00870D63" w:rsidP="0033257E">
      <w:pPr>
        <w:pStyle w:val="Heading5"/>
      </w:pPr>
      <w:r w:rsidRPr="00FE476A">
        <w:t>All deliveries shall be provided F.O.B. to the NV DMV’s designated point of delivery.   The first expected delivery of reflective sheeting shall not be later than 45 days following official notification of contract award, initial order, and receipt of NV DMV approved artwork.   All subsequent orders shall be F.O.B. designation with expected delivery within 30 days after receipt.</w:t>
      </w:r>
    </w:p>
    <w:p w14:paraId="1BBA11F0" w14:textId="77777777" w:rsidR="00870D63" w:rsidRDefault="00870D63" w:rsidP="0033257E">
      <w:pPr>
        <w:pStyle w:val="Heading5"/>
      </w:pPr>
      <w:r w:rsidRPr="00FE476A">
        <w:t xml:space="preserve">All deliveries shall be provided F.O.B to the NV DMV’s designated point of delivery. </w:t>
      </w:r>
    </w:p>
    <w:p w14:paraId="3EB5E5D8" w14:textId="77777777" w:rsidR="0033257E" w:rsidRPr="0033257E" w:rsidRDefault="0033257E" w:rsidP="0033257E">
      <w:pPr>
        <w:pStyle w:val="Heading4"/>
        <w:numPr>
          <w:ilvl w:val="0"/>
          <w:numId w:val="0"/>
        </w:numPr>
        <w:ind w:left="1080"/>
      </w:pPr>
    </w:p>
    <w:p w14:paraId="4C4EDFC1" w14:textId="77777777" w:rsidR="00870D63" w:rsidRPr="00FE476A" w:rsidRDefault="00870D63" w:rsidP="0033257E">
      <w:pPr>
        <w:pStyle w:val="Heading4"/>
      </w:pPr>
      <w:r w:rsidRPr="00FE476A">
        <w:t>Accountability of Conventional License Plate Sheeting</w:t>
      </w:r>
    </w:p>
    <w:p w14:paraId="08EAD877" w14:textId="77777777" w:rsidR="00870D63" w:rsidRPr="00FE476A" w:rsidRDefault="00870D63" w:rsidP="00870D63"/>
    <w:p w14:paraId="347F0F8B" w14:textId="77777777" w:rsidR="00870D63" w:rsidRPr="00FE476A" w:rsidRDefault="00870D63" w:rsidP="0033257E">
      <w:pPr>
        <w:pStyle w:val="Heading5"/>
      </w:pPr>
      <w:r w:rsidRPr="00FE476A">
        <w:t>The successful vendor shall be accountable for all sheeting from the place of manufacture to the point of delivery. All over-run materials remaining in the successful vendor’s possession after discontinuation of any design or the contract’s cancellation, shall be destroyed and used for no other purpose.</w:t>
      </w:r>
    </w:p>
    <w:p w14:paraId="098417D3" w14:textId="77777777" w:rsidR="00870D63" w:rsidRPr="00FE476A" w:rsidRDefault="00870D63" w:rsidP="00870D63"/>
    <w:p w14:paraId="2B92A257" w14:textId="77777777" w:rsidR="00870D63" w:rsidRPr="00FE476A" w:rsidRDefault="00870D63" w:rsidP="0033257E">
      <w:pPr>
        <w:pStyle w:val="Heading4"/>
      </w:pPr>
      <w:r w:rsidRPr="00FE476A">
        <w:t>Processing of Conventional License Plate Sheeting</w:t>
      </w:r>
    </w:p>
    <w:p w14:paraId="336AAF49" w14:textId="77777777" w:rsidR="00870D63" w:rsidRPr="00FE476A" w:rsidRDefault="00870D63" w:rsidP="00870D63"/>
    <w:p w14:paraId="1ED34888" w14:textId="77777777" w:rsidR="00870D63" w:rsidRPr="00FE476A" w:rsidRDefault="00870D63" w:rsidP="0033257E">
      <w:pPr>
        <w:pStyle w:val="Heading5"/>
      </w:pPr>
      <w:r w:rsidRPr="00FE476A">
        <w:t>The reflective sheeting process shall be in accordance with the recommendations of the manufacturer. All processing procedures for reflective material and dry roll coat must be compatible, or made compatible at the successful vendor’s expense, with equipment and procedures currently employed by the NV DMV.</w:t>
      </w:r>
      <w:r w:rsidRPr="00FE476A">
        <w:tab/>
      </w:r>
    </w:p>
    <w:p w14:paraId="48E2C881" w14:textId="3F5754A3" w:rsidR="00870D63" w:rsidRPr="00FE476A" w:rsidRDefault="00870D63" w:rsidP="0033257E">
      <w:pPr>
        <w:pStyle w:val="Heading5"/>
      </w:pPr>
      <w:r w:rsidRPr="00FE476A">
        <w:t xml:space="preserve">The successful vendor will be required to deliver, free of charge, all retro-reflective sheeting, thermal ribbons, protective laminate </w:t>
      </w:r>
      <w:r w:rsidR="00A55AB6" w:rsidRPr="00FE476A">
        <w:t>overlay</w:t>
      </w:r>
      <w:r w:rsidRPr="00FE476A">
        <w:t xml:space="preserve"> and dry roll coat foil on an “as needed” basis. Acknowledge receipt of material request within 15 days. If delivery of </w:t>
      </w:r>
      <w:r w:rsidR="005354A8" w:rsidRPr="00FE476A">
        <w:t>the complete</w:t>
      </w:r>
      <w:r w:rsidRPr="00FE476A">
        <w:t xml:space="preserve"> order cannot be fulfilled and delivered within 30 days, communication with License Plate Factory will be required. </w:t>
      </w:r>
    </w:p>
    <w:p w14:paraId="3F32D607" w14:textId="77777777" w:rsidR="00870D63" w:rsidRPr="00FE476A" w:rsidRDefault="00870D63" w:rsidP="0033257E">
      <w:pPr>
        <w:pStyle w:val="Heading5"/>
      </w:pPr>
      <w:r w:rsidRPr="00FE476A">
        <w:t xml:space="preserve">The contract shall be for projected volumes, which are estimates only. The invoices shall be for actual amounts shipped and received during the selected contract production period. </w:t>
      </w:r>
    </w:p>
    <w:p w14:paraId="1C49AA3B" w14:textId="77777777" w:rsidR="00870D63" w:rsidRPr="00FE476A" w:rsidRDefault="00870D63" w:rsidP="00870D63"/>
    <w:p w14:paraId="51144B2F" w14:textId="77777777" w:rsidR="00870D63" w:rsidRPr="00FE476A" w:rsidRDefault="00870D63" w:rsidP="0033257E">
      <w:pPr>
        <w:pStyle w:val="Heading2"/>
      </w:pPr>
      <w:bookmarkStart w:id="11" w:name="_Toc376790671"/>
      <w:r w:rsidRPr="00FE476A">
        <w:t>PERFORMANCE REQUIREMENTS FOR DIGITALLY IMAGED LICENSE PLATES</w:t>
      </w:r>
      <w:bookmarkEnd w:id="11"/>
    </w:p>
    <w:p w14:paraId="12953B4B" w14:textId="77777777" w:rsidR="00870D63" w:rsidRPr="00FE476A" w:rsidRDefault="00870D63" w:rsidP="00870D63"/>
    <w:p w14:paraId="02107156" w14:textId="77777777" w:rsidR="00870D63" w:rsidRPr="00FE476A" w:rsidRDefault="00870D63" w:rsidP="0033257E">
      <w:pPr>
        <w:pStyle w:val="Heading3"/>
      </w:pPr>
      <w:r w:rsidRPr="00FE476A">
        <w:t>Substrate</w:t>
      </w:r>
    </w:p>
    <w:p w14:paraId="4BD88F7D" w14:textId="77777777" w:rsidR="00870D63" w:rsidRPr="00FE476A" w:rsidRDefault="00870D63" w:rsidP="00870D63"/>
    <w:p w14:paraId="4E057E6F" w14:textId="77777777" w:rsidR="00870D63" w:rsidRPr="00FE476A" w:rsidRDefault="00870D63" w:rsidP="0033257E">
      <w:pPr>
        <w:pStyle w:val="Heading4"/>
      </w:pPr>
      <w:r w:rsidRPr="00FE476A">
        <w:t>The sheeting shall be laminated to properly conversion coated aluminum substrate recommended by the sheeting manufacturer.</w:t>
      </w:r>
    </w:p>
    <w:p w14:paraId="43D058DE" w14:textId="77777777" w:rsidR="00870D63" w:rsidRPr="00FE476A" w:rsidRDefault="00870D63" w:rsidP="00870D63"/>
    <w:p w14:paraId="2AEE0FBF" w14:textId="77777777" w:rsidR="00870D63" w:rsidRPr="00FE476A" w:rsidRDefault="00870D63" w:rsidP="0033257E">
      <w:pPr>
        <w:pStyle w:val="Heading3"/>
      </w:pPr>
      <w:r w:rsidRPr="00FE476A">
        <w:t>Diffuse Daytime Color</w:t>
      </w:r>
    </w:p>
    <w:p w14:paraId="09DED6BA" w14:textId="77777777" w:rsidR="00870D63" w:rsidRPr="00FE476A" w:rsidRDefault="00870D63" w:rsidP="00870D63"/>
    <w:p w14:paraId="44E043DC" w14:textId="77777777" w:rsidR="00870D63" w:rsidRPr="00FE476A" w:rsidRDefault="00870D63" w:rsidP="0033257E">
      <w:pPr>
        <w:pStyle w:val="Heading4"/>
      </w:pPr>
      <w:r w:rsidRPr="00FE476A">
        <w:t xml:space="preserve">Through instrumental color testing, the diffuse daytime color of the reflective sheeting shall conform to color requirements as determined spectrophotometrically in accordance with ASTM E-1164 and E-1349, utilizing either </w:t>
      </w:r>
      <w:proofErr w:type="gramStart"/>
      <w:r w:rsidRPr="00FE476A">
        <w:t>45/0 or 0/45 degree</w:t>
      </w:r>
      <w:proofErr w:type="gramEnd"/>
      <w:r w:rsidRPr="00FE476A">
        <w:t xml:space="preserve"> illumination/viewing conditions as described in E-1164 and E-1349 for retro-reflective materials. Chromaticity and the luminance factor based on CIE tristimulus values for the 2° observer and illuminant D65 shall be calculated in accordance with ASTM E-308.</w:t>
      </w:r>
    </w:p>
    <w:p w14:paraId="69553E89" w14:textId="77777777" w:rsidR="00870D63" w:rsidRDefault="00870D63" w:rsidP="0033257E">
      <w:pPr>
        <w:pStyle w:val="Heading4"/>
      </w:pPr>
      <w:r w:rsidRPr="00FE476A">
        <w:t>The color specification limits for white license plate sheeting are listed on the following chart:</w:t>
      </w:r>
    </w:p>
    <w:p w14:paraId="1A8A5CBE" w14:textId="77777777" w:rsidR="0033257E" w:rsidRDefault="0033257E" w:rsidP="0033257E">
      <w:pPr>
        <w:pStyle w:val="ListParagraph"/>
      </w:pPr>
    </w:p>
    <w:tbl>
      <w:tblPr>
        <w:tblW w:w="0" w:type="auto"/>
        <w:tblInd w:w="1548" w:type="dxa"/>
        <w:tblLayout w:type="fixed"/>
        <w:tblLook w:val="0000" w:firstRow="0" w:lastRow="0" w:firstColumn="0" w:lastColumn="0" w:noHBand="0" w:noVBand="0"/>
      </w:tblPr>
      <w:tblGrid>
        <w:gridCol w:w="2007"/>
        <w:gridCol w:w="2007"/>
        <w:gridCol w:w="2196"/>
        <w:gridCol w:w="1818"/>
      </w:tblGrid>
      <w:tr w:rsidR="00870D63" w:rsidRPr="00FE476A" w14:paraId="348C973C" w14:textId="77777777" w:rsidTr="009A4F54">
        <w:tc>
          <w:tcPr>
            <w:tcW w:w="8028" w:type="dxa"/>
            <w:gridSpan w:val="4"/>
          </w:tcPr>
          <w:p w14:paraId="064D0D27" w14:textId="77777777" w:rsidR="00870D63" w:rsidRPr="00FE476A" w:rsidRDefault="00870D63" w:rsidP="009A4F54">
            <w:r w:rsidRPr="00FE476A">
              <w:br w:type="page"/>
            </w:r>
            <w:r w:rsidRPr="00FE476A">
              <w:br w:type="page"/>
            </w:r>
            <w:r w:rsidRPr="00FE476A">
              <w:br w:type="page"/>
            </w:r>
            <w:r w:rsidRPr="00FE476A">
              <w:br w:type="page"/>
              <w:t>COLOR SPECIFICATION</w:t>
            </w:r>
          </w:p>
          <w:p w14:paraId="54FE3C8D" w14:textId="77777777" w:rsidR="00870D63" w:rsidRPr="00FE476A" w:rsidRDefault="00870D63" w:rsidP="009A4F54">
            <w:r w:rsidRPr="00FE476A">
              <w:t>Chromaticity Coordinates</w:t>
            </w:r>
          </w:p>
          <w:p w14:paraId="3865CD95" w14:textId="77777777" w:rsidR="00870D63" w:rsidRPr="00FE476A" w:rsidRDefault="00870D63" w:rsidP="009A4F54"/>
        </w:tc>
      </w:tr>
      <w:tr w:rsidR="00870D63" w:rsidRPr="00FE476A" w14:paraId="5EDDC63F" w14:textId="77777777" w:rsidTr="009A4F54">
        <w:trPr>
          <w:cantSplit/>
        </w:trPr>
        <w:tc>
          <w:tcPr>
            <w:tcW w:w="2007" w:type="dxa"/>
            <w:vMerge w:val="restart"/>
            <w:tcBorders>
              <w:top w:val="single" w:sz="6" w:space="0" w:color="auto"/>
              <w:left w:val="single" w:sz="6" w:space="0" w:color="auto"/>
              <w:right w:val="single" w:sz="6" w:space="0" w:color="auto"/>
            </w:tcBorders>
          </w:tcPr>
          <w:p w14:paraId="1092A4ED" w14:textId="77777777" w:rsidR="00870D63" w:rsidRPr="00FE476A" w:rsidRDefault="00870D63" w:rsidP="009A4F54">
            <w:r w:rsidRPr="00FE476A">
              <w:t>Pairs</w:t>
            </w:r>
          </w:p>
        </w:tc>
        <w:tc>
          <w:tcPr>
            <w:tcW w:w="4203" w:type="dxa"/>
            <w:gridSpan w:val="2"/>
            <w:tcBorders>
              <w:top w:val="single" w:sz="6" w:space="0" w:color="auto"/>
              <w:left w:val="single" w:sz="6" w:space="0" w:color="auto"/>
              <w:bottom w:val="single" w:sz="6" w:space="0" w:color="auto"/>
              <w:right w:val="single" w:sz="6" w:space="0" w:color="auto"/>
            </w:tcBorders>
          </w:tcPr>
          <w:p w14:paraId="64CDE08D" w14:textId="77777777" w:rsidR="00870D63" w:rsidRPr="00FE476A" w:rsidRDefault="00870D63" w:rsidP="009A4F54">
            <w:r w:rsidRPr="00FE476A">
              <w:t>White</w:t>
            </w:r>
          </w:p>
          <w:p w14:paraId="492C73DD" w14:textId="77777777" w:rsidR="00870D63" w:rsidRPr="00FE476A" w:rsidRDefault="00870D63" w:rsidP="009A4F54">
            <w:r w:rsidRPr="00FE476A">
              <w:t>Corner Points</w:t>
            </w:r>
          </w:p>
        </w:tc>
        <w:tc>
          <w:tcPr>
            <w:tcW w:w="1818" w:type="dxa"/>
            <w:tcBorders>
              <w:top w:val="single" w:sz="6" w:space="0" w:color="auto"/>
              <w:left w:val="single" w:sz="6" w:space="0" w:color="auto"/>
              <w:bottom w:val="single" w:sz="6" w:space="0" w:color="auto"/>
              <w:right w:val="single" w:sz="6" w:space="0" w:color="auto"/>
            </w:tcBorders>
          </w:tcPr>
          <w:p w14:paraId="4965BBAD" w14:textId="77777777" w:rsidR="00870D63" w:rsidRPr="00FE476A" w:rsidRDefault="00870D63" w:rsidP="009A4F54">
            <w:r w:rsidRPr="00FE476A">
              <w:t>Luminance Factor</w:t>
            </w:r>
          </w:p>
        </w:tc>
      </w:tr>
      <w:tr w:rsidR="00870D63" w:rsidRPr="00FE476A" w14:paraId="0C7EFF0D" w14:textId="77777777" w:rsidTr="009A4F54">
        <w:trPr>
          <w:cantSplit/>
        </w:trPr>
        <w:tc>
          <w:tcPr>
            <w:tcW w:w="2007" w:type="dxa"/>
            <w:vMerge/>
            <w:tcBorders>
              <w:left w:val="single" w:sz="6" w:space="0" w:color="auto"/>
              <w:right w:val="single" w:sz="6" w:space="0" w:color="auto"/>
            </w:tcBorders>
          </w:tcPr>
          <w:p w14:paraId="7D0B3606" w14:textId="77777777" w:rsidR="00870D63" w:rsidRPr="00FE476A" w:rsidRDefault="00870D63" w:rsidP="009A4F54"/>
        </w:tc>
        <w:tc>
          <w:tcPr>
            <w:tcW w:w="2007" w:type="dxa"/>
            <w:tcBorders>
              <w:top w:val="single" w:sz="6" w:space="0" w:color="auto"/>
              <w:left w:val="single" w:sz="6" w:space="0" w:color="auto"/>
              <w:bottom w:val="single" w:sz="6" w:space="0" w:color="auto"/>
              <w:right w:val="single" w:sz="6" w:space="0" w:color="auto"/>
            </w:tcBorders>
          </w:tcPr>
          <w:p w14:paraId="32248DE6" w14:textId="77777777" w:rsidR="00870D63" w:rsidRPr="00FE476A" w:rsidRDefault="00870D63" w:rsidP="009A4F54">
            <w:r w:rsidRPr="00FE476A">
              <w:t>x</w:t>
            </w:r>
          </w:p>
        </w:tc>
        <w:tc>
          <w:tcPr>
            <w:tcW w:w="2196" w:type="dxa"/>
            <w:tcBorders>
              <w:top w:val="single" w:sz="6" w:space="0" w:color="auto"/>
              <w:left w:val="single" w:sz="6" w:space="0" w:color="auto"/>
              <w:bottom w:val="single" w:sz="6" w:space="0" w:color="auto"/>
              <w:right w:val="single" w:sz="6" w:space="0" w:color="auto"/>
            </w:tcBorders>
          </w:tcPr>
          <w:p w14:paraId="3F648500" w14:textId="77777777" w:rsidR="00870D63" w:rsidRPr="00FE476A" w:rsidRDefault="00870D63" w:rsidP="009A4F54">
            <w:r w:rsidRPr="00FE476A">
              <w:t>y</w:t>
            </w:r>
          </w:p>
        </w:tc>
        <w:tc>
          <w:tcPr>
            <w:tcW w:w="1818" w:type="dxa"/>
            <w:tcBorders>
              <w:top w:val="single" w:sz="6" w:space="0" w:color="auto"/>
              <w:left w:val="single" w:sz="6" w:space="0" w:color="auto"/>
              <w:bottom w:val="single" w:sz="6" w:space="0" w:color="auto"/>
              <w:right w:val="single" w:sz="6" w:space="0" w:color="auto"/>
            </w:tcBorders>
          </w:tcPr>
          <w:p w14:paraId="0E4F1FAE" w14:textId="77777777" w:rsidR="00870D63" w:rsidRPr="00FE476A" w:rsidRDefault="00870D63" w:rsidP="009A4F54">
            <w:r w:rsidRPr="00FE476A">
              <w:t>Y%</w:t>
            </w:r>
          </w:p>
        </w:tc>
      </w:tr>
      <w:tr w:rsidR="00870D63" w:rsidRPr="00FE476A" w14:paraId="454559FD" w14:textId="77777777" w:rsidTr="009A4F54">
        <w:trPr>
          <w:cantSplit/>
        </w:trPr>
        <w:tc>
          <w:tcPr>
            <w:tcW w:w="2007" w:type="dxa"/>
            <w:tcBorders>
              <w:top w:val="single" w:sz="6" w:space="0" w:color="auto"/>
              <w:left w:val="single" w:sz="6" w:space="0" w:color="auto"/>
              <w:right w:val="single" w:sz="6" w:space="0" w:color="auto"/>
            </w:tcBorders>
          </w:tcPr>
          <w:p w14:paraId="7F0B48F8" w14:textId="77777777" w:rsidR="00870D63" w:rsidRPr="00FE476A" w:rsidRDefault="00870D63" w:rsidP="009A4F54">
            <w:r w:rsidRPr="00FE476A">
              <w:t>1</w:t>
            </w:r>
          </w:p>
        </w:tc>
        <w:tc>
          <w:tcPr>
            <w:tcW w:w="2007" w:type="dxa"/>
            <w:tcBorders>
              <w:top w:val="single" w:sz="6" w:space="0" w:color="auto"/>
              <w:left w:val="single" w:sz="6" w:space="0" w:color="auto"/>
              <w:bottom w:val="single" w:sz="6" w:space="0" w:color="auto"/>
              <w:right w:val="single" w:sz="6" w:space="0" w:color="auto"/>
            </w:tcBorders>
          </w:tcPr>
          <w:p w14:paraId="6EFB5B96" w14:textId="77777777" w:rsidR="00870D63" w:rsidRPr="00FE476A" w:rsidRDefault="00870D63" w:rsidP="009A4F54">
            <w:r w:rsidRPr="00FE476A">
              <w:t>.303</w:t>
            </w:r>
          </w:p>
        </w:tc>
        <w:tc>
          <w:tcPr>
            <w:tcW w:w="2196" w:type="dxa"/>
            <w:tcBorders>
              <w:top w:val="single" w:sz="6" w:space="0" w:color="auto"/>
              <w:left w:val="single" w:sz="6" w:space="0" w:color="auto"/>
              <w:bottom w:val="single" w:sz="6" w:space="0" w:color="auto"/>
              <w:right w:val="single" w:sz="6" w:space="0" w:color="auto"/>
            </w:tcBorders>
          </w:tcPr>
          <w:p w14:paraId="3BF56F52" w14:textId="77777777" w:rsidR="00870D63" w:rsidRPr="00FE476A" w:rsidRDefault="00870D63" w:rsidP="009A4F54">
            <w:r w:rsidRPr="00FE476A">
              <w:t>.287</w:t>
            </w:r>
          </w:p>
        </w:tc>
        <w:tc>
          <w:tcPr>
            <w:tcW w:w="1818" w:type="dxa"/>
            <w:tcBorders>
              <w:top w:val="single" w:sz="6" w:space="0" w:color="auto"/>
              <w:left w:val="single" w:sz="6" w:space="0" w:color="auto"/>
              <w:bottom w:val="single" w:sz="6" w:space="0" w:color="auto"/>
              <w:right w:val="single" w:sz="6" w:space="0" w:color="auto"/>
            </w:tcBorders>
          </w:tcPr>
          <w:p w14:paraId="51BC70EF" w14:textId="77777777" w:rsidR="00870D63" w:rsidRPr="00FE476A" w:rsidRDefault="00870D63" w:rsidP="009A4F54">
            <w:r w:rsidRPr="00FE476A">
              <w:t>42 min.</w:t>
            </w:r>
          </w:p>
        </w:tc>
      </w:tr>
      <w:tr w:rsidR="00870D63" w:rsidRPr="00FE476A" w14:paraId="2B196262" w14:textId="77777777" w:rsidTr="009A4F54">
        <w:trPr>
          <w:cantSplit/>
        </w:trPr>
        <w:tc>
          <w:tcPr>
            <w:tcW w:w="2007" w:type="dxa"/>
            <w:tcBorders>
              <w:top w:val="single" w:sz="4" w:space="0" w:color="auto"/>
              <w:left w:val="single" w:sz="6" w:space="0" w:color="auto"/>
              <w:right w:val="single" w:sz="6" w:space="0" w:color="auto"/>
            </w:tcBorders>
          </w:tcPr>
          <w:p w14:paraId="109A1E99" w14:textId="77777777" w:rsidR="00870D63" w:rsidRPr="00FE476A" w:rsidRDefault="00870D63" w:rsidP="009A4F54">
            <w:r w:rsidRPr="00FE476A">
              <w:t>2</w:t>
            </w:r>
          </w:p>
        </w:tc>
        <w:tc>
          <w:tcPr>
            <w:tcW w:w="2007" w:type="dxa"/>
            <w:tcBorders>
              <w:top w:val="single" w:sz="6" w:space="0" w:color="auto"/>
              <w:left w:val="single" w:sz="6" w:space="0" w:color="auto"/>
              <w:bottom w:val="single" w:sz="6" w:space="0" w:color="auto"/>
              <w:right w:val="single" w:sz="6" w:space="0" w:color="auto"/>
            </w:tcBorders>
          </w:tcPr>
          <w:p w14:paraId="03948557" w14:textId="77777777" w:rsidR="00870D63" w:rsidRPr="00FE476A" w:rsidRDefault="00870D63" w:rsidP="009A4F54">
            <w:r w:rsidRPr="00FE476A">
              <w:t>.368</w:t>
            </w:r>
          </w:p>
        </w:tc>
        <w:tc>
          <w:tcPr>
            <w:tcW w:w="2196" w:type="dxa"/>
            <w:tcBorders>
              <w:top w:val="single" w:sz="6" w:space="0" w:color="auto"/>
              <w:left w:val="single" w:sz="6" w:space="0" w:color="auto"/>
              <w:bottom w:val="single" w:sz="6" w:space="0" w:color="auto"/>
              <w:right w:val="single" w:sz="6" w:space="0" w:color="auto"/>
            </w:tcBorders>
          </w:tcPr>
          <w:p w14:paraId="73CBFF18" w14:textId="77777777" w:rsidR="00870D63" w:rsidRPr="00FE476A" w:rsidRDefault="00870D63" w:rsidP="009A4F54">
            <w:r w:rsidRPr="00FE476A">
              <w:t>.353</w:t>
            </w:r>
          </w:p>
        </w:tc>
        <w:tc>
          <w:tcPr>
            <w:tcW w:w="1818" w:type="dxa"/>
            <w:tcBorders>
              <w:top w:val="single" w:sz="6" w:space="0" w:color="auto"/>
              <w:left w:val="single" w:sz="6" w:space="0" w:color="auto"/>
              <w:bottom w:val="single" w:sz="6" w:space="0" w:color="auto"/>
              <w:right w:val="single" w:sz="6" w:space="0" w:color="auto"/>
            </w:tcBorders>
          </w:tcPr>
          <w:p w14:paraId="7406272A" w14:textId="77777777" w:rsidR="00870D63" w:rsidRPr="00FE476A" w:rsidRDefault="00870D63" w:rsidP="009A4F54"/>
        </w:tc>
      </w:tr>
      <w:tr w:rsidR="00870D63" w:rsidRPr="00FE476A" w14:paraId="2CB414B1" w14:textId="77777777" w:rsidTr="009A4F54">
        <w:trPr>
          <w:cantSplit/>
        </w:trPr>
        <w:tc>
          <w:tcPr>
            <w:tcW w:w="2007" w:type="dxa"/>
            <w:tcBorders>
              <w:top w:val="single" w:sz="4" w:space="0" w:color="auto"/>
              <w:left w:val="single" w:sz="6" w:space="0" w:color="auto"/>
              <w:bottom w:val="single" w:sz="4" w:space="0" w:color="auto"/>
              <w:right w:val="single" w:sz="6" w:space="0" w:color="auto"/>
            </w:tcBorders>
          </w:tcPr>
          <w:p w14:paraId="07E00147" w14:textId="77777777" w:rsidR="00870D63" w:rsidRPr="00FE476A" w:rsidRDefault="00870D63" w:rsidP="009A4F54">
            <w:r w:rsidRPr="00FE476A">
              <w:t>3</w:t>
            </w:r>
          </w:p>
        </w:tc>
        <w:tc>
          <w:tcPr>
            <w:tcW w:w="2007" w:type="dxa"/>
            <w:tcBorders>
              <w:top w:val="single" w:sz="6" w:space="0" w:color="auto"/>
              <w:left w:val="single" w:sz="6" w:space="0" w:color="auto"/>
              <w:bottom w:val="single" w:sz="6" w:space="0" w:color="auto"/>
              <w:right w:val="single" w:sz="6" w:space="0" w:color="auto"/>
            </w:tcBorders>
          </w:tcPr>
          <w:p w14:paraId="379DB2B2" w14:textId="77777777" w:rsidR="00870D63" w:rsidRPr="00FE476A" w:rsidRDefault="00870D63" w:rsidP="009A4F54">
            <w:r w:rsidRPr="00FE476A">
              <w:t>.340</w:t>
            </w:r>
          </w:p>
        </w:tc>
        <w:tc>
          <w:tcPr>
            <w:tcW w:w="2196" w:type="dxa"/>
            <w:tcBorders>
              <w:top w:val="single" w:sz="6" w:space="0" w:color="auto"/>
              <w:left w:val="single" w:sz="6" w:space="0" w:color="auto"/>
              <w:bottom w:val="single" w:sz="6" w:space="0" w:color="auto"/>
              <w:right w:val="single" w:sz="6" w:space="0" w:color="auto"/>
            </w:tcBorders>
          </w:tcPr>
          <w:p w14:paraId="37DD2F74" w14:textId="77777777" w:rsidR="00870D63" w:rsidRPr="00FE476A" w:rsidRDefault="00870D63" w:rsidP="009A4F54">
            <w:r w:rsidRPr="00FE476A">
              <w:t>.380</w:t>
            </w:r>
          </w:p>
        </w:tc>
        <w:tc>
          <w:tcPr>
            <w:tcW w:w="1818" w:type="dxa"/>
            <w:tcBorders>
              <w:top w:val="single" w:sz="6" w:space="0" w:color="auto"/>
              <w:left w:val="single" w:sz="6" w:space="0" w:color="auto"/>
              <w:bottom w:val="single" w:sz="6" w:space="0" w:color="auto"/>
              <w:right w:val="single" w:sz="6" w:space="0" w:color="auto"/>
            </w:tcBorders>
          </w:tcPr>
          <w:p w14:paraId="3B725859" w14:textId="77777777" w:rsidR="00870D63" w:rsidRPr="00FE476A" w:rsidRDefault="00870D63" w:rsidP="009A4F54"/>
        </w:tc>
      </w:tr>
      <w:tr w:rsidR="00870D63" w:rsidRPr="00FE476A" w14:paraId="7FB18210" w14:textId="77777777" w:rsidTr="009A4F54">
        <w:trPr>
          <w:cantSplit/>
        </w:trPr>
        <w:tc>
          <w:tcPr>
            <w:tcW w:w="2007" w:type="dxa"/>
            <w:tcBorders>
              <w:left w:val="single" w:sz="6" w:space="0" w:color="auto"/>
              <w:bottom w:val="single" w:sz="4" w:space="0" w:color="auto"/>
              <w:right w:val="single" w:sz="6" w:space="0" w:color="auto"/>
            </w:tcBorders>
          </w:tcPr>
          <w:p w14:paraId="138A9349" w14:textId="77777777" w:rsidR="00870D63" w:rsidRPr="00FE476A" w:rsidRDefault="00870D63" w:rsidP="009A4F54">
            <w:r w:rsidRPr="00FE476A">
              <w:t>4</w:t>
            </w:r>
          </w:p>
        </w:tc>
        <w:tc>
          <w:tcPr>
            <w:tcW w:w="2007" w:type="dxa"/>
            <w:tcBorders>
              <w:top w:val="single" w:sz="6" w:space="0" w:color="auto"/>
              <w:left w:val="single" w:sz="6" w:space="0" w:color="auto"/>
              <w:bottom w:val="single" w:sz="6" w:space="0" w:color="auto"/>
              <w:right w:val="single" w:sz="6" w:space="0" w:color="auto"/>
            </w:tcBorders>
          </w:tcPr>
          <w:p w14:paraId="464107D9" w14:textId="77777777" w:rsidR="00870D63" w:rsidRPr="00FE476A" w:rsidRDefault="00870D63" w:rsidP="009A4F54">
            <w:r w:rsidRPr="00FE476A">
              <w:t>.274</w:t>
            </w:r>
          </w:p>
        </w:tc>
        <w:tc>
          <w:tcPr>
            <w:tcW w:w="2196" w:type="dxa"/>
            <w:tcBorders>
              <w:top w:val="single" w:sz="6" w:space="0" w:color="auto"/>
              <w:left w:val="single" w:sz="6" w:space="0" w:color="auto"/>
              <w:bottom w:val="single" w:sz="6" w:space="0" w:color="auto"/>
              <w:right w:val="single" w:sz="6" w:space="0" w:color="auto"/>
            </w:tcBorders>
          </w:tcPr>
          <w:p w14:paraId="47D6EFBD" w14:textId="77777777" w:rsidR="00870D63" w:rsidRPr="00FE476A" w:rsidRDefault="00870D63" w:rsidP="009A4F54">
            <w:r w:rsidRPr="00FE476A">
              <w:t>.316</w:t>
            </w:r>
          </w:p>
        </w:tc>
        <w:tc>
          <w:tcPr>
            <w:tcW w:w="1818" w:type="dxa"/>
            <w:tcBorders>
              <w:top w:val="single" w:sz="6" w:space="0" w:color="auto"/>
              <w:left w:val="single" w:sz="6" w:space="0" w:color="auto"/>
              <w:bottom w:val="single" w:sz="6" w:space="0" w:color="auto"/>
              <w:right w:val="single" w:sz="6" w:space="0" w:color="auto"/>
            </w:tcBorders>
          </w:tcPr>
          <w:p w14:paraId="1BB812AF" w14:textId="77777777" w:rsidR="00870D63" w:rsidRPr="00FE476A" w:rsidRDefault="00870D63" w:rsidP="009A4F54"/>
        </w:tc>
      </w:tr>
    </w:tbl>
    <w:p w14:paraId="57D78C62" w14:textId="77777777" w:rsidR="00870D63" w:rsidRPr="00FE476A" w:rsidRDefault="00870D63" w:rsidP="00870D63"/>
    <w:p w14:paraId="03316D16" w14:textId="77777777" w:rsidR="00870D63" w:rsidRPr="00FE476A" w:rsidRDefault="00870D63" w:rsidP="0033257E">
      <w:pPr>
        <w:pStyle w:val="Heading3"/>
      </w:pPr>
      <w:r w:rsidRPr="00FE476A">
        <w:t>Adhesive and Protective Liner</w:t>
      </w:r>
    </w:p>
    <w:p w14:paraId="1A32A489" w14:textId="77777777" w:rsidR="00870D63" w:rsidRPr="00FE476A" w:rsidRDefault="00870D63" w:rsidP="00870D63"/>
    <w:p w14:paraId="23DED073" w14:textId="77777777" w:rsidR="00870D63" w:rsidRPr="00FE476A" w:rsidRDefault="00870D63" w:rsidP="0033257E">
      <w:pPr>
        <w:pStyle w:val="Heading4"/>
      </w:pPr>
      <w:r w:rsidRPr="00FE476A">
        <w:t>The precoated adhesive shall form a durable bond to flat conversion coated license plate surfaces as recommended by the reflective sheeting manufacturer.</w:t>
      </w:r>
    </w:p>
    <w:p w14:paraId="41A0DEE3" w14:textId="77777777" w:rsidR="00870D63" w:rsidRPr="00FE476A" w:rsidRDefault="00870D63" w:rsidP="0033257E">
      <w:pPr>
        <w:pStyle w:val="Heading4"/>
      </w:pPr>
      <w:r w:rsidRPr="00FE476A">
        <w:t>The protective liner attached to the adhesive shall be removable by peeling without soaking in water or other solvents and shall be easily removed after accelerated storage for four hours at 150°F (66°C) under weight of 2.5 lbs. per square inch (1.14KG per 6.45 sq. cm.). The liner shall be non-printed to permit reuse.</w:t>
      </w:r>
    </w:p>
    <w:p w14:paraId="53937F82" w14:textId="77777777" w:rsidR="00870D63" w:rsidRPr="00FE476A" w:rsidRDefault="00870D63" w:rsidP="00870D63"/>
    <w:p w14:paraId="5C8F7E49" w14:textId="77777777" w:rsidR="00870D63" w:rsidRPr="00FE476A" w:rsidRDefault="00870D63" w:rsidP="0033257E">
      <w:pPr>
        <w:pStyle w:val="Heading3"/>
      </w:pPr>
      <w:r w:rsidRPr="00FE476A">
        <w:t>Thermal Transfer Printing</w:t>
      </w:r>
    </w:p>
    <w:p w14:paraId="07EC8B1E" w14:textId="77777777" w:rsidR="00870D63" w:rsidRPr="00FE476A" w:rsidRDefault="00870D63" w:rsidP="00870D63"/>
    <w:p w14:paraId="18A1B426" w14:textId="77777777" w:rsidR="00870D63" w:rsidRPr="00FE476A" w:rsidRDefault="00870D63" w:rsidP="0033257E">
      <w:pPr>
        <w:pStyle w:val="Heading4"/>
      </w:pPr>
      <w:r w:rsidRPr="00FE476A">
        <w:t>The reflective sheeting shall be printable with thermal transfer ribbons supplied by the successful vendor.</w:t>
      </w:r>
    </w:p>
    <w:p w14:paraId="3389FF34" w14:textId="77777777" w:rsidR="00870D63" w:rsidRPr="00FE476A" w:rsidRDefault="00870D63" w:rsidP="0033257E">
      <w:pPr>
        <w:pStyle w:val="Heading4"/>
      </w:pPr>
      <w:r w:rsidRPr="00FE476A">
        <w:t>The successful vendor shall provide a complete line of thermal transfer ribbons, in process and spot colors, which allow the NV DMV to print the graphic designs and variable information required by the NV DMV. The cost of ribbons must be included in the cost of sheeting.</w:t>
      </w:r>
    </w:p>
    <w:p w14:paraId="501049FA" w14:textId="77777777" w:rsidR="00870D63" w:rsidRPr="00FE476A" w:rsidRDefault="00870D63" w:rsidP="00870D63"/>
    <w:p w14:paraId="1BF2DEBA" w14:textId="5F909714" w:rsidR="00870D63" w:rsidRPr="00FE476A" w:rsidRDefault="00870D63" w:rsidP="0033257E">
      <w:pPr>
        <w:pStyle w:val="Heading3"/>
      </w:pPr>
      <w:r w:rsidRPr="00FE476A">
        <w:t>Protective Clear Over-</w:t>
      </w:r>
      <w:r w:rsidR="005354A8">
        <w:t>L</w:t>
      </w:r>
      <w:r w:rsidRPr="00FE476A">
        <w:t>aminate</w:t>
      </w:r>
    </w:p>
    <w:p w14:paraId="4F57566B" w14:textId="77777777" w:rsidR="00870D63" w:rsidRPr="00FE476A" w:rsidRDefault="00870D63" w:rsidP="00870D63"/>
    <w:p w14:paraId="649B2055" w14:textId="3D4FA6B2" w:rsidR="00870D63" w:rsidRPr="00FE476A" w:rsidRDefault="00870D63" w:rsidP="0033257E">
      <w:pPr>
        <w:pStyle w:val="Heading4"/>
      </w:pPr>
      <w:r w:rsidRPr="00FE476A">
        <w:t xml:space="preserve">The successful vendor shall provide a protective clear film that will be laminated to the sheeting in-line with the thermal transfer printing process. Printed sheeting with the protective clear film shall pass all performance tests as delineated in Section </w:t>
      </w:r>
      <w:r w:rsidRPr="00EE63F6">
        <w:t>3.</w:t>
      </w:r>
      <w:r w:rsidR="00EE63F6" w:rsidRPr="00EE63F6">
        <w:t>5</w:t>
      </w:r>
      <w:r w:rsidRPr="00EE63F6">
        <w:t>.3 – 3.</w:t>
      </w:r>
      <w:r w:rsidR="00EE63F6" w:rsidRPr="00EE63F6">
        <w:t>5</w:t>
      </w:r>
      <w:r w:rsidRPr="00EE63F6">
        <w:t>.4.</w:t>
      </w:r>
      <w:r w:rsidRPr="00FE476A">
        <w:t xml:space="preserve"> The cost of protective clear over-</w:t>
      </w:r>
      <w:proofErr w:type="gramStart"/>
      <w:r w:rsidRPr="00FE476A">
        <w:t>laminate</w:t>
      </w:r>
      <w:proofErr w:type="gramEnd"/>
      <w:r w:rsidRPr="00FE476A">
        <w:t xml:space="preserve"> must be included in the cost of sheeting.</w:t>
      </w:r>
    </w:p>
    <w:p w14:paraId="2E345870" w14:textId="77777777" w:rsidR="00870D63" w:rsidRPr="00FE476A" w:rsidRDefault="00870D63" w:rsidP="00870D63"/>
    <w:p w14:paraId="29318852" w14:textId="77777777" w:rsidR="00870D63" w:rsidRPr="00FE476A" w:rsidRDefault="00870D63" w:rsidP="0033257E">
      <w:pPr>
        <w:pStyle w:val="Heading3"/>
      </w:pPr>
      <w:r w:rsidRPr="00FE476A">
        <w:t>Inventory Control</w:t>
      </w:r>
    </w:p>
    <w:p w14:paraId="6C477E23" w14:textId="77777777" w:rsidR="00870D63" w:rsidRPr="00FE476A" w:rsidRDefault="00870D63" w:rsidP="00870D63"/>
    <w:p w14:paraId="0DBF0871" w14:textId="77777777" w:rsidR="00870D63" w:rsidRPr="00FE476A" w:rsidRDefault="00870D63" w:rsidP="0033257E">
      <w:pPr>
        <w:pStyle w:val="Heading4"/>
      </w:pPr>
      <w:r w:rsidRPr="00FE476A">
        <w:t>To assist the NV DMV with inventory control problems, the manufacturer shall mark the sheeting with an integral, directional image that incorporates the lot number so that the NV DMV can employ first in/first out principles.</w:t>
      </w:r>
    </w:p>
    <w:p w14:paraId="3ACE1D9D" w14:textId="77777777" w:rsidR="0033257E" w:rsidRPr="00FE476A" w:rsidRDefault="0033257E" w:rsidP="00870D63"/>
    <w:p w14:paraId="28B918FD" w14:textId="77777777" w:rsidR="00870D63" w:rsidRPr="00FE476A" w:rsidRDefault="00870D63" w:rsidP="0033257E">
      <w:pPr>
        <w:pStyle w:val="Heading3"/>
      </w:pPr>
      <w:r w:rsidRPr="00FE476A">
        <w:t>Finished License Plates</w:t>
      </w:r>
    </w:p>
    <w:p w14:paraId="600079A6" w14:textId="77777777" w:rsidR="00870D63" w:rsidRPr="00FE476A" w:rsidRDefault="00870D63" w:rsidP="00870D63"/>
    <w:p w14:paraId="0D47CA0C" w14:textId="77777777" w:rsidR="00870D63" w:rsidRPr="00FE476A" w:rsidRDefault="00870D63" w:rsidP="0033257E">
      <w:pPr>
        <w:pStyle w:val="Heading4"/>
      </w:pPr>
      <w:r w:rsidRPr="00FE476A">
        <w:t>Retro-reflective Characteristics</w:t>
      </w:r>
    </w:p>
    <w:p w14:paraId="39C4E0AC" w14:textId="77777777" w:rsidR="00870D63" w:rsidRPr="00FE476A" w:rsidRDefault="00870D63" w:rsidP="00C77838">
      <w:pPr>
        <w:pStyle w:val="Heading5"/>
      </w:pPr>
      <w:r w:rsidRPr="00FE476A">
        <w:t>The coefficient of retro-reflection for the sheeting shall be measured on flat, clean, finished license plate test panels prepared per Section 3.4.6 and shall have the following minimum values at 0.2° observation angle, expressed as candelas per lux per square meter of material. Measurements shall be conducted in accordance with ASTM E-810, “Standard Test Method for Coefficient of Retro-reflection of Retro-reflective Sheeting”.</w:t>
      </w:r>
    </w:p>
    <w:p w14:paraId="50EC081D" w14:textId="77777777" w:rsidR="00870D63" w:rsidRPr="00FE476A" w:rsidRDefault="00870D63" w:rsidP="00870D63"/>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07"/>
        <w:gridCol w:w="1491"/>
        <w:gridCol w:w="1491"/>
      </w:tblGrid>
      <w:tr w:rsidR="00870D63" w:rsidRPr="00FE476A" w14:paraId="4A73AA4F" w14:textId="77777777" w:rsidTr="009A4F54">
        <w:trPr>
          <w:jc w:val="center"/>
        </w:trPr>
        <w:tc>
          <w:tcPr>
            <w:tcW w:w="2007" w:type="dxa"/>
          </w:tcPr>
          <w:p w14:paraId="0A003461" w14:textId="77777777" w:rsidR="00870D63" w:rsidRPr="00FE476A" w:rsidRDefault="00870D63" w:rsidP="009A4F54">
            <w:r w:rsidRPr="00FE476A">
              <w:t>Color</w:t>
            </w:r>
          </w:p>
        </w:tc>
        <w:tc>
          <w:tcPr>
            <w:tcW w:w="2982" w:type="dxa"/>
            <w:gridSpan w:val="2"/>
          </w:tcPr>
          <w:p w14:paraId="44E619AC" w14:textId="77777777" w:rsidR="00870D63" w:rsidRPr="00FE476A" w:rsidRDefault="00870D63" w:rsidP="009A4F54">
            <w:r w:rsidRPr="00FE476A">
              <w:t>Entrance Angle</w:t>
            </w:r>
          </w:p>
        </w:tc>
      </w:tr>
      <w:tr w:rsidR="00870D63" w:rsidRPr="00FE476A" w14:paraId="44441138" w14:textId="77777777" w:rsidTr="009A4F54">
        <w:trPr>
          <w:jc w:val="center"/>
        </w:trPr>
        <w:tc>
          <w:tcPr>
            <w:tcW w:w="2007" w:type="dxa"/>
          </w:tcPr>
          <w:p w14:paraId="525975D6" w14:textId="77777777" w:rsidR="00870D63" w:rsidRPr="00FE476A" w:rsidRDefault="00870D63" w:rsidP="009A4F54"/>
        </w:tc>
        <w:tc>
          <w:tcPr>
            <w:tcW w:w="1491" w:type="dxa"/>
          </w:tcPr>
          <w:p w14:paraId="4D0A641D" w14:textId="77777777" w:rsidR="00870D63" w:rsidRPr="00FE476A" w:rsidRDefault="00870D63" w:rsidP="009A4F54">
            <w:r w:rsidRPr="00FE476A">
              <w:tab/>
              <w:t>-4</w:t>
            </w:r>
            <w:r w:rsidRPr="00FE476A">
              <w:sym w:font="Symbol" w:char="F0B0"/>
            </w:r>
            <w:r w:rsidRPr="00FE476A">
              <w:t xml:space="preserve"> </w:t>
            </w:r>
          </w:p>
        </w:tc>
        <w:tc>
          <w:tcPr>
            <w:tcW w:w="1491" w:type="dxa"/>
          </w:tcPr>
          <w:p w14:paraId="22AF906B" w14:textId="77777777" w:rsidR="00870D63" w:rsidRPr="00FE476A" w:rsidRDefault="00870D63" w:rsidP="009A4F54">
            <w:r w:rsidRPr="00FE476A">
              <w:tab/>
              <w:t>40</w:t>
            </w:r>
            <w:r w:rsidRPr="00FE476A">
              <w:sym w:font="Symbol" w:char="F0B0"/>
            </w:r>
            <w:r w:rsidRPr="00FE476A">
              <w:t xml:space="preserve"> </w:t>
            </w:r>
          </w:p>
        </w:tc>
      </w:tr>
      <w:tr w:rsidR="00870D63" w:rsidRPr="00FE476A" w14:paraId="7B50F858" w14:textId="77777777" w:rsidTr="009A4F54">
        <w:trPr>
          <w:jc w:val="center"/>
        </w:trPr>
        <w:tc>
          <w:tcPr>
            <w:tcW w:w="2007" w:type="dxa"/>
          </w:tcPr>
          <w:p w14:paraId="02555B9A" w14:textId="77777777" w:rsidR="00870D63" w:rsidRPr="00FE476A" w:rsidRDefault="00870D63" w:rsidP="009A4F54"/>
        </w:tc>
        <w:tc>
          <w:tcPr>
            <w:tcW w:w="1491" w:type="dxa"/>
          </w:tcPr>
          <w:p w14:paraId="1FA7D6A6" w14:textId="77777777" w:rsidR="00870D63" w:rsidRPr="00FE476A" w:rsidRDefault="00870D63" w:rsidP="009A4F54"/>
        </w:tc>
        <w:tc>
          <w:tcPr>
            <w:tcW w:w="1491" w:type="dxa"/>
          </w:tcPr>
          <w:p w14:paraId="04E25E86" w14:textId="77777777" w:rsidR="00870D63" w:rsidRPr="00FE476A" w:rsidRDefault="00870D63" w:rsidP="009A4F54"/>
        </w:tc>
      </w:tr>
      <w:tr w:rsidR="00870D63" w:rsidRPr="00FE476A" w14:paraId="583AF343" w14:textId="77777777" w:rsidTr="009A4F54">
        <w:trPr>
          <w:jc w:val="center"/>
        </w:trPr>
        <w:tc>
          <w:tcPr>
            <w:tcW w:w="2007" w:type="dxa"/>
          </w:tcPr>
          <w:p w14:paraId="6C54349D" w14:textId="77777777" w:rsidR="00870D63" w:rsidRPr="00FE476A" w:rsidRDefault="00870D63" w:rsidP="009A4F54">
            <w:r w:rsidRPr="00FE476A">
              <w:t>White</w:t>
            </w:r>
          </w:p>
        </w:tc>
        <w:tc>
          <w:tcPr>
            <w:tcW w:w="1491" w:type="dxa"/>
          </w:tcPr>
          <w:p w14:paraId="7573538F" w14:textId="77777777" w:rsidR="00870D63" w:rsidRPr="00FE476A" w:rsidRDefault="00870D63" w:rsidP="009A4F54">
            <w:r w:rsidRPr="00FE476A">
              <w:tab/>
              <w:t>50</w:t>
            </w:r>
          </w:p>
        </w:tc>
        <w:tc>
          <w:tcPr>
            <w:tcW w:w="1491" w:type="dxa"/>
          </w:tcPr>
          <w:p w14:paraId="64597DC6" w14:textId="77777777" w:rsidR="00870D63" w:rsidRPr="00FE476A" w:rsidRDefault="00870D63" w:rsidP="009A4F54">
            <w:r w:rsidRPr="00FE476A">
              <w:tab/>
              <w:t>16</w:t>
            </w:r>
          </w:p>
        </w:tc>
      </w:tr>
      <w:tr w:rsidR="00870D63" w:rsidRPr="00FE476A" w14:paraId="1F54FAAC" w14:textId="77777777" w:rsidTr="009A4F54">
        <w:trPr>
          <w:jc w:val="center"/>
        </w:trPr>
        <w:tc>
          <w:tcPr>
            <w:tcW w:w="2007" w:type="dxa"/>
          </w:tcPr>
          <w:p w14:paraId="6893457A" w14:textId="77777777" w:rsidR="00870D63" w:rsidRPr="00FE476A" w:rsidRDefault="00870D63" w:rsidP="009A4F54">
            <w:r w:rsidRPr="00FE476A">
              <w:t>Yellow</w:t>
            </w:r>
          </w:p>
        </w:tc>
        <w:tc>
          <w:tcPr>
            <w:tcW w:w="1491" w:type="dxa"/>
          </w:tcPr>
          <w:p w14:paraId="74DD47FD" w14:textId="77777777" w:rsidR="00870D63" w:rsidRPr="00FE476A" w:rsidRDefault="00870D63" w:rsidP="009A4F54">
            <w:r w:rsidRPr="00FE476A">
              <w:tab/>
              <w:t>25</w:t>
            </w:r>
          </w:p>
        </w:tc>
        <w:tc>
          <w:tcPr>
            <w:tcW w:w="1491" w:type="dxa"/>
          </w:tcPr>
          <w:p w14:paraId="681F999D" w14:textId="77777777" w:rsidR="00870D63" w:rsidRPr="00FE476A" w:rsidRDefault="00870D63" w:rsidP="009A4F54">
            <w:r w:rsidRPr="00FE476A">
              <w:tab/>
              <w:t>10</w:t>
            </w:r>
          </w:p>
        </w:tc>
      </w:tr>
      <w:tr w:rsidR="00870D63" w:rsidRPr="00FE476A" w14:paraId="37D40230" w14:textId="77777777" w:rsidTr="009A4F54">
        <w:trPr>
          <w:jc w:val="center"/>
        </w:trPr>
        <w:tc>
          <w:tcPr>
            <w:tcW w:w="2007" w:type="dxa"/>
          </w:tcPr>
          <w:p w14:paraId="1A215BC6" w14:textId="77777777" w:rsidR="00870D63" w:rsidRPr="00FE476A" w:rsidRDefault="00870D63" w:rsidP="009A4F54">
            <w:r w:rsidRPr="00FE476A">
              <w:t>Orange</w:t>
            </w:r>
          </w:p>
        </w:tc>
        <w:tc>
          <w:tcPr>
            <w:tcW w:w="1491" w:type="dxa"/>
          </w:tcPr>
          <w:p w14:paraId="0CCA72C1" w14:textId="77777777" w:rsidR="00870D63" w:rsidRPr="00FE476A" w:rsidRDefault="00870D63" w:rsidP="009A4F54">
            <w:r w:rsidRPr="00FE476A">
              <w:tab/>
              <w:t>25</w:t>
            </w:r>
          </w:p>
        </w:tc>
        <w:tc>
          <w:tcPr>
            <w:tcW w:w="1491" w:type="dxa"/>
          </w:tcPr>
          <w:p w14:paraId="4DA115F4" w14:textId="77777777" w:rsidR="00870D63" w:rsidRPr="00FE476A" w:rsidRDefault="00870D63" w:rsidP="009A4F54">
            <w:r w:rsidRPr="00FE476A">
              <w:tab/>
              <w:t>10</w:t>
            </w:r>
          </w:p>
        </w:tc>
      </w:tr>
      <w:tr w:rsidR="00870D63" w:rsidRPr="00FE476A" w14:paraId="0407D95D" w14:textId="77777777" w:rsidTr="009A4F54">
        <w:trPr>
          <w:jc w:val="center"/>
        </w:trPr>
        <w:tc>
          <w:tcPr>
            <w:tcW w:w="2007" w:type="dxa"/>
          </w:tcPr>
          <w:p w14:paraId="5B64CF64" w14:textId="77777777" w:rsidR="00870D63" w:rsidRPr="00FE476A" w:rsidRDefault="00870D63" w:rsidP="009A4F54">
            <w:r w:rsidRPr="00FE476A">
              <w:t>Lemon-Yellow</w:t>
            </w:r>
          </w:p>
        </w:tc>
        <w:tc>
          <w:tcPr>
            <w:tcW w:w="1491" w:type="dxa"/>
          </w:tcPr>
          <w:p w14:paraId="45751501" w14:textId="77777777" w:rsidR="00870D63" w:rsidRPr="00FE476A" w:rsidRDefault="00870D63" w:rsidP="009A4F54">
            <w:r w:rsidRPr="00FE476A">
              <w:tab/>
              <w:t>25</w:t>
            </w:r>
          </w:p>
        </w:tc>
        <w:tc>
          <w:tcPr>
            <w:tcW w:w="1491" w:type="dxa"/>
          </w:tcPr>
          <w:p w14:paraId="37B3B3DC" w14:textId="77777777" w:rsidR="00870D63" w:rsidRPr="00FE476A" w:rsidRDefault="00870D63" w:rsidP="009A4F54">
            <w:r w:rsidRPr="00FE476A">
              <w:tab/>
              <w:t>10</w:t>
            </w:r>
          </w:p>
        </w:tc>
      </w:tr>
      <w:tr w:rsidR="00870D63" w:rsidRPr="00FE476A" w14:paraId="09D975DA" w14:textId="77777777" w:rsidTr="009A4F54">
        <w:trPr>
          <w:jc w:val="center"/>
        </w:trPr>
        <w:tc>
          <w:tcPr>
            <w:tcW w:w="2007" w:type="dxa"/>
          </w:tcPr>
          <w:p w14:paraId="3C2A817A" w14:textId="77777777" w:rsidR="00870D63" w:rsidRPr="00FE476A" w:rsidRDefault="00870D63" w:rsidP="009A4F54">
            <w:r w:rsidRPr="00FE476A">
              <w:t>Gold</w:t>
            </w:r>
          </w:p>
        </w:tc>
        <w:tc>
          <w:tcPr>
            <w:tcW w:w="1491" w:type="dxa"/>
          </w:tcPr>
          <w:p w14:paraId="45B6041B" w14:textId="77777777" w:rsidR="00870D63" w:rsidRPr="00FE476A" w:rsidRDefault="00870D63" w:rsidP="009A4F54">
            <w:r w:rsidRPr="00FE476A">
              <w:tab/>
              <w:t>25</w:t>
            </w:r>
          </w:p>
        </w:tc>
        <w:tc>
          <w:tcPr>
            <w:tcW w:w="1491" w:type="dxa"/>
          </w:tcPr>
          <w:p w14:paraId="72C85107" w14:textId="77777777" w:rsidR="00870D63" w:rsidRPr="00FE476A" w:rsidRDefault="00870D63" w:rsidP="009A4F54">
            <w:r w:rsidRPr="00FE476A">
              <w:tab/>
              <w:t>10</w:t>
            </w:r>
          </w:p>
        </w:tc>
      </w:tr>
      <w:tr w:rsidR="00870D63" w:rsidRPr="00FE476A" w14:paraId="54E2DD63" w14:textId="77777777" w:rsidTr="009A4F54">
        <w:trPr>
          <w:jc w:val="center"/>
        </w:trPr>
        <w:tc>
          <w:tcPr>
            <w:tcW w:w="2007" w:type="dxa"/>
          </w:tcPr>
          <w:p w14:paraId="768AECDB" w14:textId="77777777" w:rsidR="00870D63" w:rsidRPr="00FE476A" w:rsidRDefault="00870D63" w:rsidP="009A4F54">
            <w:r w:rsidRPr="00FE476A">
              <w:t>Green</w:t>
            </w:r>
          </w:p>
        </w:tc>
        <w:tc>
          <w:tcPr>
            <w:tcW w:w="1491" w:type="dxa"/>
          </w:tcPr>
          <w:p w14:paraId="4AAD8465" w14:textId="77777777" w:rsidR="00870D63" w:rsidRPr="00FE476A" w:rsidRDefault="00870D63" w:rsidP="009A4F54">
            <w:r w:rsidRPr="00FE476A">
              <w:tab/>
              <w:t>18</w:t>
            </w:r>
          </w:p>
        </w:tc>
        <w:tc>
          <w:tcPr>
            <w:tcW w:w="1491" w:type="dxa"/>
          </w:tcPr>
          <w:p w14:paraId="7DBCF3D3" w14:textId="77777777" w:rsidR="00870D63" w:rsidRPr="00FE476A" w:rsidRDefault="00870D63" w:rsidP="009A4F54">
            <w:r w:rsidRPr="00FE476A">
              <w:tab/>
              <w:t xml:space="preserve"> 7</w:t>
            </w:r>
          </w:p>
        </w:tc>
      </w:tr>
      <w:tr w:rsidR="00870D63" w:rsidRPr="00FE476A" w14:paraId="0286A334" w14:textId="77777777" w:rsidTr="009A4F54">
        <w:trPr>
          <w:jc w:val="center"/>
        </w:trPr>
        <w:tc>
          <w:tcPr>
            <w:tcW w:w="2007" w:type="dxa"/>
          </w:tcPr>
          <w:p w14:paraId="1E5402FF" w14:textId="77777777" w:rsidR="00870D63" w:rsidRPr="00FE476A" w:rsidRDefault="00870D63" w:rsidP="009A4F54">
            <w:r w:rsidRPr="00FE476A">
              <w:t>Blue</w:t>
            </w:r>
          </w:p>
        </w:tc>
        <w:tc>
          <w:tcPr>
            <w:tcW w:w="1491" w:type="dxa"/>
            <w:tcBorders>
              <w:bottom w:val="nil"/>
            </w:tcBorders>
          </w:tcPr>
          <w:p w14:paraId="1803B6EC" w14:textId="77777777" w:rsidR="00870D63" w:rsidRPr="00FE476A" w:rsidRDefault="00870D63" w:rsidP="009A4F54">
            <w:r w:rsidRPr="00FE476A">
              <w:tab/>
              <w:t>18</w:t>
            </w:r>
          </w:p>
        </w:tc>
        <w:tc>
          <w:tcPr>
            <w:tcW w:w="1491" w:type="dxa"/>
            <w:tcBorders>
              <w:bottom w:val="nil"/>
            </w:tcBorders>
          </w:tcPr>
          <w:p w14:paraId="618D3DBF" w14:textId="77777777" w:rsidR="00870D63" w:rsidRPr="00FE476A" w:rsidRDefault="00870D63" w:rsidP="009A4F54">
            <w:r w:rsidRPr="00FE476A">
              <w:tab/>
              <w:t xml:space="preserve"> 7</w:t>
            </w:r>
          </w:p>
        </w:tc>
      </w:tr>
      <w:tr w:rsidR="00870D63" w:rsidRPr="00FE476A" w14:paraId="0961504A" w14:textId="77777777" w:rsidTr="009A4F54">
        <w:trPr>
          <w:jc w:val="center"/>
        </w:trPr>
        <w:tc>
          <w:tcPr>
            <w:tcW w:w="2007" w:type="dxa"/>
          </w:tcPr>
          <w:p w14:paraId="022FBB11" w14:textId="77777777" w:rsidR="00870D63" w:rsidRPr="00FE476A" w:rsidRDefault="00870D63" w:rsidP="009A4F54">
            <w:r w:rsidRPr="00FE476A">
              <w:t>Red</w:t>
            </w:r>
          </w:p>
        </w:tc>
        <w:tc>
          <w:tcPr>
            <w:tcW w:w="1491" w:type="dxa"/>
          </w:tcPr>
          <w:p w14:paraId="7C281EFE" w14:textId="77777777" w:rsidR="00870D63" w:rsidRPr="00FE476A" w:rsidRDefault="00870D63" w:rsidP="009A4F54">
            <w:r w:rsidRPr="00FE476A">
              <w:tab/>
              <w:t xml:space="preserve"> 9</w:t>
            </w:r>
          </w:p>
        </w:tc>
        <w:tc>
          <w:tcPr>
            <w:tcW w:w="1491" w:type="dxa"/>
          </w:tcPr>
          <w:p w14:paraId="2A39E05E" w14:textId="77777777" w:rsidR="00870D63" w:rsidRPr="00FE476A" w:rsidRDefault="00870D63" w:rsidP="009A4F54">
            <w:r w:rsidRPr="00FE476A">
              <w:tab/>
              <w:t xml:space="preserve"> 3</w:t>
            </w:r>
          </w:p>
        </w:tc>
      </w:tr>
    </w:tbl>
    <w:p w14:paraId="7551EE10" w14:textId="77777777" w:rsidR="00870D63" w:rsidRPr="00FE476A" w:rsidRDefault="00870D63" w:rsidP="00870D63"/>
    <w:p w14:paraId="6326CB14" w14:textId="77777777" w:rsidR="00870D63" w:rsidRPr="00FE476A" w:rsidRDefault="00870D63" w:rsidP="00885AD5">
      <w:pPr>
        <w:pStyle w:val="Heading4"/>
      </w:pPr>
      <w:r w:rsidRPr="00FE476A">
        <w:t>Resistance to Accelerated Weathering</w:t>
      </w:r>
    </w:p>
    <w:p w14:paraId="409BA498" w14:textId="77777777" w:rsidR="00870D63" w:rsidRPr="00FE476A" w:rsidRDefault="00870D63" w:rsidP="00885AD5">
      <w:pPr>
        <w:pStyle w:val="Heading5"/>
      </w:pPr>
      <w:r w:rsidRPr="00FE476A">
        <w:t>The sheeting shall be weather resistant and show no appreciable discoloration, crazing, cracking, blistering, lifting or dimensional change and the surface shall continue to be essentially smooth to provide direct application of validation stickers, determined after the following accelerated weathering tests:</w:t>
      </w:r>
    </w:p>
    <w:p w14:paraId="4161B8C6" w14:textId="77777777" w:rsidR="00870D63" w:rsidRPr="00FE476A" w:rsidRDefault="00870D63" w:rsidP="00885AD5">
      <w:pPr>
        <w:pStyle w:val="Heading5"/>
      </w:pPr>
      <w:r w:rsidRPr="00FE476A">
        <w:t>Laboratory testing – 2,000 hours in Xenon arc weatherometer using ASTM G 26-Type BH, Method A.  Finished license plate samples shall maintain 70% of retro-reflective table values as shown in Section 3.5.7.1</w:t>
      </w:r>
    </w:p>
    <w:p w14:paraId="0B8A64A4" w14:textId="77777777" w:rsidR="00870D63" w:rsidRPr="00FE476A" w:rsidRDefault="00870D63" w:rsidP="00885AD5">
      <w:pPr>
        <w:pStyle w:val="Heading5"/>
      </w:pPr>
      <w:r w:rsidRPr="00FE476A">
        <w:t>Outdoor accelerated testing – Finished license plate samples shall be placed in a 24-month unprotected outdoor exposure, facing the equator and positioned vertically. Retro-reflective measurements, taken after cleaning, shall result in 70% or more retention of the table values in Section 3.5.7.1.</w:t>
      </w:r>
    </w:p>
    <w:p w14:paraId="558F518E" w14:textId="77777777" w:rsidR="00870D63" w:rsidRPr="00FE476A" w:rsidRDefault="00870D63" w:rsidP="00885AD5">
      <w:pPr>
        <w:pStyle w:val="Heading4"/>
      </w:pPr>
      <w:r w:rsidRPr="00FE476A">
        <w:t>Rainfall Performance</w:t>
      </w:r>
    </w:p>
    <w:p w14:paraId="71528D90" w14:textId="77777777" w:rsidR="00870D63" w:rsidRPr="00FE476A" w:rsidRDefault="00870D63" w:rsidP="00885AD5">
      <w:pPr>
        <w:pStyle w:val="Heading5"/>
      </w:pPr>
      <w:r w:rsidRPr="00FE476A">
        <w:t>The coefficient of retro-reflection of the same finished license plate test panels, measured on the same flat area of the test panels, totally wet by rain, shall not be less than 90% or more of the table values shown in Section 3.5.7.1. Wet performance measurements shall be conducted at 0.2° observation and -4° entrance angles in accordance with ASTM E-810 and using the test set-up described in LS-300C, p.18, fig.1.</w:t>
      </w:r>
    </w:p>
    <w:p w14:paraId="34D4B242" w14:textId="77777777" w:rsidR="00870D63" w:rsidRPr="00FE476A" w:rsidRDefault="00870D63" w:rsidP="00885AD5">
      <w:pPr>
        <w:pStyle w:val="Heading4"/>
      </w:pPr>
      <w:r w:rsidRPr="00FE476A">
        <w:t>Daytime/Nighttime Color</w:t>
      </w:r>
    </w:p>
    <w:p w14:paraId="1F575799" w14:textId="77777777" w:rsidR="00870D63" w:rsidRPr="00FE476A" w:rsidRDefault="00870D63" w:rsidP="00885AD5">
      <w:pPr>
        <w:pStyle w:val="Heading5"/>
      </w:pPr>
      <w:r w:rsidRPr="00FE476A">
        <w:t>To assist in positive daytime/nighttime identification of license plates, the color of the reflective background of the sheeting’s, including any pre-printed design or digitally printed design, shall be similar in daylight and by illumination at night.</w:t>
      </w:r>
    </w:p>
    <w:p w14:paraId="40F13A68" w14:textId="77777777" w:rsidR="00870D63" w:rsidRPr="00FE476A" w:rsidRDefault="00870D63" w:rsidP="00885AD5">
      <w:pPr>
        <w:pStyle w:val="Heading4"/>
      </w:pPr>
      <w:r w:rsidRPr="00FE476A">
        <w:t>Flexibility – Embossing</w:t>
      </w:r>
    </w:p>
    <w:p w14:paraId="06A49407" w14:textId="77777777" w:rsidR="00870D63" w:rsidRPr="00FE476A" w:rsidRDefault="00870D63" w:rsidP="00885AD5">
      <w:pPr>
        <w:pStyle w:val="Heading5"/>
      </w:pPr>
      <w:r w:rsidRPr="00FE476A">
        <w:t>The sheeting shall, when correctly applied to treated aluminum, conform to the minimum/maximum tolerances for embossing as used by the manufacturing facility that supplies finished plates to the NV DMV and as recommended by the sheeting manufacturer.</w:t>
      </w:r>
    </w:p>
    <w:p w14:paraId="1BB86BA1" w14:textId="77777777" w:rsidR="00870D63" w:rsidRPr="00FE476A" w:rsidRDefault="00870D63" w:rsidP="00885AD5">
      <w:pPr>
        <w:pStyle w:val="Heading5"/>
      </w:pPr>
      <w:r w:rsidRPr="00FE476A">
        <w:t>Finished license plates shall show no appreciable wrinkling, cracking, or squirming at or around the embossed rim or flange.</w:t>
      </w:r>
    </w:p>
    <w:p w14:paraId="306A2B7D" w14:textId="77777777" w:rsidR="00870D63" w:rsidRPr="00FE476A" w:rsidRDefault="00870D63" w:rsidP="00885AD5">
      <w:pPr>
        <w:pStyle w:val="Heading4"/>
      </w:pPr>
      <w:r w:rsidRPr="00FE476A">
        <w:t>Cleanability</w:t>
      </w:r>
    </w:p>
    <w:p w14:paraId="1C97F1A7" w14:textId="77777777" w:rsidR="00870D63" w:rsidRPr="00FE476A" w:rsidRDefault="00870D63" w:rsidP="00885AD5">
      <w:pPr>
        <w:pStyle w:val="Heading5"/>
      </w:pPr>
      <w:r w:rsidRPr="00FE476A">
        <w:t xml:space="preserve">Finished license plates, manufactured in accordance with the recommendations of the reflective sheeting manufacturer, shall be easily cleansed of normal dirt accumulation by washing with water and mild detergent. A test panel shall be sprayed with water-suspended </w:t>
      </w:r>
      <w:proofErr w:type="gramStart"/>
      <w:r w:rsidRPr="00FE476A">
        <w:t>soils</w:t>
      </w:r>
      <w:proofErr w:type="gramEnd"/>
      <w:r w:rsidRPr="00FE476A">
        <w:t xml:space="preserve"> collected from the underside of vehicle fenders, mixed with water in the proportion of five pounds (2.27 kg) of soil to one gallon (3.78 liters) of water, and poured through a paint strainer.</w:t>
      </w:r>
    </w:p>
    <w:p w14:paraId="037C0703" w14:textId="77777777" w:rsidR="00870D63" w:rsidRPr="00FE476A" w:rsidRDefault="00870D63" w:rsidP="00885AD5">
      <w:pPr>
        <w:pStyle w:val="Heading5"/>
      </w:pPr>
      <w:r w:rsidRPr="00FE476A">
        <w:t>The mixture shall then be sprayed onto the panel while particles are in suspension. After the panel is thoroughly dry, it shall be cleaned by washing with a mixture of water and mild detergent, rinsed with clean water, and wiped dry for examination. The panel shall show no appreciable difference when compared to a new clean panel.</w:t>
      </w:r>
    </w:p>
    <w:p w14:paraId="6628BB3B" w14:textId="77777777" w:rsidR="00870D63" w:rsidRPr="00FE476A" w:rsidRDefault="00870D63" w:rsidP="00885AD5">
      <w:pPr>
        <w:pStyle w:val="Heading4"/>
      </w:pPr>
      <w:r w:rsidRPr="00FE476A">
        <w:t>Solvent Resistance</w:t>
      </w:r>
    </w:p>
    <w:p w14:paraId="780BE64E" w14:textId="77777777" w:rsidR="00870D63" w:rsidRPr="00FE476A" w:rsidRDefault="00870D63" w:rsidP="00885AD5">
      <w:pPr>
        <w:pStyle w:val="Heading5"/>
      </w:pPr>
      <w:r w:rsidRPr="00FE476A">
        <w:t>License plate panels prepared per Section 3.5.7.8 shall be sufficiently solvent resistant to withstand exposure to mineral spirits, turpentine, toluene, xylene, and methyl alcohol, in accordance with Fed. Spec. LS-300C without wrinkling, puckering or edge lifting.</w:t>
      </w:r>
    </w:p>
    <w:p w14:paraId="3F8D5AD5" w14:textId="77777777" w:rsidR="00870D63" w:rsidRPr="00FE476A" w:rsidRDefault="00870D63" w:rsidP="00885AD5">
      <w:pPr>
        <w:pStyle w:val="Heading5"/>
      </w:pPr>
      <w:r w:rsidRPr="00FE476A">
        <w:t>Test panels shall be 1” x 6” strips cut from license plate blanks.  Strips of the license plate shall be exposed as follows: mineral spirits and turpentine – submerged in a container with 4” of solvent for 10 minutes.</w:t>
      </w:r>
    </w:p>
    <w:p w14:paraId="0491CD36" w14:textId="77777777" w:rsidR="00870D63" w:rsidRPr="00FE476A" w:rsidRDefault="00870D63" w:rsidP="00885AD5">
      <w:pPr>
        <w:pStyle w:val="Heading5"/>
      </w:pPr>
      <w:r w:rsidRPr="00FE476A">
        <w:t xml:space="preserve">Samples shall be allowed to dry and be examined for any wrinkling, puckering, blistering or edge lifting. Failure of samples </w:t>
      </w:r>
      <w:proofErr w:type="gramStart"/>
      <w:r w:rsidRPr="00FE476A">
        <w:t>shall be</w:t>
      </w:r>
      <w:proofErr w:type="gramEnd"/>
      <w:r w:rsidRPr="00FE476A">
        <w:t xml:space="preserve"> cause for rejections.</w:t>
      </w:r>
    </w:p>
    <w:p w14:paraId="687A53AD" w14:textId="77777777" w:rsidR="00870D63" w:rsidRPr="00FE476A" w:rsidRDefault="00870D63" w:rsidP="00870D63"/>
    <w:p w14:paraId="37E9037E" w14:textId="77777777" w:rsidR="00870D63" w:rsidRPr="00FE476A" w:rsidRDefault="00870D63" w:rsidP="00885AD5">
      <w:pPr>
        <w:pStyle w:val="Heading4"/>
      </w:pPr>
      <w:r w:rsidRPr="00FE476A">
        <w:t>Test Panels</w:t>
      </w:r>
    </w:p>
    <w:p w14:paraId="538C7A3E" w14:textId="77777777" w:rsidR="00870D63" w:rsidRPr="00FE476A" w:rsidRDefault="00870D63" w:rsidP="00885AD5">
      <w:pPr>
        <w:pStyle w:val="Heading5"/>
      </w:pPr>
      <w:r w:rsidRPr="00FE476A">
        <w:t xml:space="preserve">Finished license plate test panels 6” x 12” (15.2cm x 30.5cm) must be provided for testing and evaluation with each response, and shall be produced of the same materials, on the same equipment and by the same general process of substrate preparation as the production plates, in accordance with the sheeting manufacturer’s recommendations. Test panels shall be provided with and without thermal transfer printed graphics and variable information as required by the NV DMV. The test panels must have </w:t>
      </w:r>
      <w:proofErr w:type="gramStart"/>
      <w:r w:rsidRPr="00FE476A">
        <w:t>the protective</w:t>
      </w:r>
      <w:proofErr w:type="gramEnd"/>
      <w:r w:rsidRPr="00FE476A">
        <w:t xml:space="preserve"> clear over-laminate applied to the surface of the digital license plate sheeting.</w:t>
      </w:r>
    </w:p>
    <w:p w14:paraId="13F5073B" w14:textId="77777777" w:rsidR="00870D63" w:rsidRPr="00FE476A" w:rsidRDefault="00870D63" w:rsidP="00885AD5">
      <w:pPr>
        <w:pStyle w:val="Heading4"/>
      </w:pPr>
      <w:r w:rsidRPr="00FE476A">
        <w:t>Quality Conformance</w:t>
      </w:r>
    </w:p>
    <w:p w14:paraId="6FCCF4A6" w14:textId="77777777" w:rsidR="00870D63" w:rsidRPr="00FE476A" w:rsidRDefault="00870D63" w:rsidP="00885AD5">
      <w:pPr>
        <w:pStyle w:val="Heading5"/>
      </w:pPr>
      <w:r w:rsidRPr="00FE476A">
        <w:t>Failure of the reflective sheeting to meet any requirement specified herein shall be cause for refusal to accept materials until evidence has been provided by the manufacturer that corrective action has been taken to eliminate deficiencies.</w:t>
      </w:r>
    </w:p>
    <w:p w14:paraId="39FEAEBD" w14:textId="77777777" w:rsidR="00870D63" w:rsidRPr="00FE476A" w:rsidRDefault="00870D63" w:rsidP="00885AD5">
      <w:pPr>
        <w:pStyle w:val="Heading4"/>
      </w:pPr>
      <w:r w:rsidRPr="00FE476A">
        <w:t>Performance Life</w:t>
      </w:r>
    </w:p>
    <w:p w14:paraId="740FDC71" w14:textId="77777777" w:rsidR="00870D63" w:rsidRPr="00FE476A" w:rsidRDefault="00870D63" w:rsidP="00885AD5">
      <w:pPr>
        <w:pStyle w:val="Heading5"/>
      </w:pPr>
      <w:r w:rsidRPr="00FE476A">
        <w:t>Reflective sheeting applied and processed into finished license plates according to the sheeting manufacturer’s instruction shall be considered to perform effectively for the service life expected (excluding those plates showing mechanical damage) if:</w:t>
      </w:r>
    </w:p>
    <w:p w14:paraId="5D310250" w14:textId="77777777" w:rsidR="00870D63" w:rsidRPr="00FE476A" w:rsidRDefault="00870D63" w:rsidP="00885AD5">
      <w:pPr>
        <w:pStyle w:val="Heading5"/>
      </w:pPr>
      <w:r w:rsidRPr="00FE476A">
        <w:t>The plates show no fading, cracking, blistering, or peeling which will significantly impair the intended visibility or legibility of the plate, and</w:t>
      </w:r>
    </w:p>
    <w:p w14:paraId="7B1E9D63" w14:textId="77777777" w:rsidR="00870D63" w:rsidRDefault="00870D63" w:rsidP="00885AD5">
      <w:pPr>
        <w:pStyle w:val="Heading5"/>
      </w:pPr>
      <w:r w:rsidRPr="00FE476A">
        <w:t>The clean rear plate retains at least 9 candlepower per foot-candle per plate (.84 candelas per lux per plate) for the length of the intended issue being bid (up to a period of 5 years).  Measurements shall be taken in clean, white, unprinted areas of rear plates.</w:t>
      </w:r>
    </w:p>
    <w:p w14:paraId="6088E562" w14:textId="77777777" w:rsidR="00870D63" w:rsidRPr="00FE476A" w:rsidRDefault="00870D63" w:rsidP="00885AD5">
      <w:pPr>
        <w:pStyle w:val="Heading4"/>
      </w:pPr>
      <w:r w:rsidRPr="00FE476A">
        <w:t>Warranty Provisions</w:t>
      </w:r>
    </w:p>
    <w:p w14:paraId="46FD994D" w14:textId="77777777" w:rsidR="00870D63" w:rsidRPr="00FE476A" w:rsidRDefault="00870D63" w:rsidP="00207369">
      <w:pPr>
        <w:pStyle w:val="Heading5"/>
      </w:pPr>
      <w:r w:rsidRPr="00FE476A">
        <w:t>The sheeting shall be imaged with a buried directional, integral warranty mark, to be traceable to the specific manufacturer’s production run numbers from which the material originated. If at any time during the specified performance life of the reflective material provided, a one half of one percent sample of clean, rear plates produced from a given production run (identified by the integral warranty mark) reveals that 10 percent or more of that sample are found to be defective in visual or brightness performance requirements as defined herein, the successful vendor shall be responsible for replacement of all plates manufactured from that specific lot material.</w:t>
      </w:r>
    </w:p>
    <w:p w14:paraId="31810194" w14:textId="77777777" w:rsidR="00870D63" w:rsidRPr="00FE476A" w:rsidRDefault="00870D63" w:rsidP="00207369">
      <w:pPr>
        <w:pStyle w:val="Heading5"/>
      </w:pPr>
      <w:r w:rsidRPr="00FE476A">
        <w:t>The successful vendor shall be responsible for all costs associated with any license plate recall due to failed materials. This shall include, but is not limited to, any salary costs generated because of a recall and plate replacement.</w:t>
      </w:r>
    </w:p>
    <w:p w14:paraId="02FA367D" w14:textId="77777777" w:rsidR="00870D63" w:rsidRPr="00FE476A" w:rsidRDefault="00870D63" w:rsidP="00207369">
      <w:pPr>
        <w:pStyle w:val="Heading5"/>
      </w:pPr>
      <w:r w:rsidRPr="00FE476A">
        <w:t>The successful vendor shall be responsible for all replacement costs associated with a specific lot; a maximum liability assessment of $7.50 per plate will be invoked for failed plates associated with a specific lot. Reimbursement of the NV DMV shall be in dollars and/or materials equal to the assessed damage, at the discretion of the NV DMV.</w:t>
      </w:r>
    </w:p>
    <w:p w14:paraId="7868C758" w14:textId="77777777" w:rsidR="00870D63" w:rsidRPr="00FE476A" w:rsidRDefault="00870D63" w:rsidP="00207369">
      <w:pPr>
        <w:pStyle w:val="Heading5"/>
      </w:pPr>
      <w:r w:rsidRPr="00FE476A">
        <w:t>To assure effective identification, the warranty marks shall be approximately 1.125 inches in diameter on standard 6” x 12” plates and shall be of a design agreed upon by the NV DMV. The successful vendor may vary the number, design, and placement of the marks for motorcycle or smaller license plate sizes.</w:t>
      </w:r>
    </w:p>
    <w:p w14:paraId="3613EB14" w14:textId="77777777" w:rsidR="00870D63" w:rsidRPr="00FE476A" w:rsidRDefault="00870D63" w:rsidP="00207369">
      <w:pPr>
        <w:pStyle w:val="Heading5"/>
      </w:pPr>
      <w:r w:rsidRPr="00FE476A">
        <w:t>The warranty marks shall be verifiable on a license plate once properly affixed to the vehicle’s designated mounting area, from an approximate head-on distance of six (6) feet; warranty marks shall not be observable at 2 feet or 20 feet or whenever the viewer steps to one side from the head-on viewing position so as not to compete or conflict with vital plate information.</w:t>
      </w:r>
    </w:p>
    <w:p w14:paraId="477EE8C0" w14:textId="77777777" w:rsidR="00870D63" w:rsidRPr="00FE476A" w:rsidRDefault="00870D63" w:rsidP="00207369">
      <w:pPr>
        <w:pStyle w:val="Heading5"/>
      </w:pPr>
      <w:r w:rsidRPr="00FE476A">
        <w:t>The warranty marks shall be verifiable under both ambient light and retro-reflected light at night, shall not interfere or conflict with the plate design or aesthetics, and shall not alter sheeting colors or reduce sheeting brightness below specified levels.</w:t>
      </w:r>
    </w:p>
    <w:p w14:paraId="12BFBDEB" w14:textId="77777777" w:rsidR="00870D63" w:rsidRPr="00FE476A" w:rsidRDefault="00870D63" w:rsidP="00207369">
      <w:pPr>
        <w:pStyle w:val="Heading4"/>
      </w:pPr>
      <w:r w:rsidRPr="00FE476A">
        <w:t>Packaging and Shipping of Digital License Plates</w:t>
      </w:r>
    </w:p>
    <w:p w14:paraId="642EC8F0" w14:textId="77777777" w:rsidR="00870D63" w:rsidRPr="00FE476A" w:rsidRDefault="00870D63" w:rsidP="00207369">
      <w:pPr>
        <w:pStyle w:val="Heading5"/>
      </w:pPr>
      <w:r w:rsidRPr="00FE476A">
        <w:t>To ensure easy access and proper inventory control, the reflective sheeting shall be shipped in bulk packages. To prevent roll damage, each pallet of bulk packages shall be designed to prevent double stacking by the shipper. Production runs sequence numbers shall be affixed to the outside of each shipping package that corresponds to the materials contained therein. Each roll shall be additionally designated by a core identifier stamped or affixed with a permanent label to the inside of each roll core. A shipping or package list shall be affixed to one box on a pallet identifying all production runs contained within the shipment.</w:t>
      </w:r>
      <w:r w:rsidRPr="00FE476A">
        <w:tab/>
      </w:r>
    </w:p>
    <w:p w14:paraId="2A6B7714" w14:textId="77777777" w:rsidR="00870D63" w:rsidRPr="00FE476A" w:rsidRDefault="00870D63" w:rsidP="00207369">
      <w:pPr>
        <w:pStyle w:val="Heading4"/>
      </w:pPr>
      <w:r w:rsidRPr="00FE476A">
        <w:t>Delivery Schedule of Digital License Plates</w:t>
      </w:r>
    </w:p>
    <w:p w14:paraId="387D9EE5" w14:textId="77777777" w:rsidR="00870D63" w:rsidRPr="00FE476A" w:rsidRDefault="00870D63" w:rsidP="00207369">
      <w:pPr>
        <w:pStyle w:val="Heading5"/>
      </w:pPr>
      <w:r w:rsidRPr="00FE476A">
        <w:t xml:space="preserve">The successful vendor will be required to deliver, free of charge, all retro-reflective sheeting, thermal ribbons, protective laminate </w:t>
      </w:r>
      <w:proofErr w:type="gramStart"/>
      <w:r w:rsidRPr="00FE476A">
        <w:t>over-lay</w:t>
      </w:r>
      <w:proofErr w:type="gramEnd"/>
      <w:r w:rsidRPr="00FE476A">
        <w:t xml:space="preserve"> and dry roll coat foil on an “as needed” basis. Acknowledge receipt of material request within 15 days. If delivery of </w:t>
      </w:r>
      <w:proofErr w:type="gramStart"/>
      <w:r w:rsidRPr="00FE476A">
        <w:t>complete</w:t>
      </w:r>
      <w:proofErr w:type="gramEnd"/>
      <w:r w:rsidRPr="00FE476A">
        <w:t xml:space="preserve"> order cannot be fulfilled and delivered within 30 days, communication with License Plate Factory will be required. </w:t>
      </w:r>
    </w:p>
    <w:p w14:paraId="74F3BBEC" w14:textId="77777777" w:rsidR="00870D63" w:rsidRPr="00FE476A" w:rsidRDefault="00870D63" w:rsidP="00207369">
      <w:pPr>
        <w:pStyle w:val="Heading4"/>
      </w:pPr>
      <w:r w:rsidRPr="00FE476A">
        <w:t>Accountability of Digital License Plates</w:t>
      </w:r>
    </w:p>
    <w:p w14:paraId="457D3CE7" w14:textId="77777777" w:rsidR="00870D63" w:rsidRPr="00FE476A" w:rsidRDefault="00870D63" w:rsidP="00870D63"/>
    <w:p w14:paraId="7096409B" w14:textId="77777777" w:rsidR="00870D63" w:rsidRPr="00FE476A" w:rsidRDefault="00870D63" w:rsidP="00207369">
      <w:pPr>
        <w:pStyle w:val="Heading5"/>
      </w:pPr>
      <w:r w:rsidRPr="00FE476A">
        <w:t>The successful vendor shall be accountable for all sheeting from the place of manufacture to the point to delivery. All over-run materials remaining in the manufacturer’s possession after discontinuation of any design or the contractor’s cancellation, shall be destroyed and used for no other purpose.</w:t>
      </w:r>
    </w:p>
    <w:p w14:paraId="6C069AC9" w14:textId="77777777" w:rsidR="00870D63" w:rsidRPr="00FE476A" w:rsidRDefault="00870D63" w:rsidP="00207369">
      <w:pPr>
        <w:pStyle w:val="Heading4"/>
      </w:pPr>
      <w:r w:rsidRPr="00FE476A">
        <w:t>Processing of Digital License Plates</w:t>
      </w:r>
    </w:p>
    <w:p w14:paraId="732158BB" w14:textId="77777777" w:rsidR="00870D63" w:rsidRPr="00FE476A" w:rsidRDefault="00870D63" w:rsidP="00207369">
      <w:pPr>
        <w:pStyle w:val="Heading5"/>
      </w:pPr>
      <w:r w:rsidRPr="00FE476A">
        <w:t>The reflective sheeting processing shall be in accordance with the recommendations of the manufacturer. All processing procedures for reflective material, thermal transfer ribbons and clear protective laminate must be compatible, or made compatible at the successful vendor’s expense, with equipment and procedures currently employed by the NV DMV.</w:t>
      </w:r>
    </w:p>
    <w:p w14:paraId="6155ED46" w14:textId="77777777" w:rsidR="00870D63" w:rsidRPr="00FE476A" w:rsidRDefault="00870D63" w:rsidP="00870D63"/>
    <w:p w14:paraId="57289B30" w14:textId="409BE6B7" w:rsidR="00607093" w:rsidRDefault="00016B8F" w:rsidP="00016B8F">
      <w:pPr>
        <w:pStyle w:val="Heading1"/>
      </w:pPr>
      <w:r>
        <w:t>HOLD BACKS</w:t>
      </w:r>
    </w:p>
    <w:p w14:paraId="5E9C533F" w14:textId="77777777" w:rsidR="00016B8F" w:rsidRDefault="00016B8F" w:rsidP="00016B8F"/>
    <w:p w14:paraId="62B1822D" w14:textId="65BB6368" w:rsidR="00016B8F" w:rsidRDefault="00016B8F" w:rsidP="00016B8F">
      <w:pPr>
        <w:pStyle w:val="Heading2"/>
      </w:pPr>
      <w:r>
        <w:t>The State shall pay all invoiced amounts, less a 10% holdback, following receipt of the invoice and a fully completed project deliverable sign-off form.</w:t>
      </w:r>
    </w:p>
    <w:p w14:paraId="468BC0FF" w14:textId="77777777" w:rsidR="00016B8F" w:rsidRDefault="00016B8F" w:rsidP="00016B8F"/>
    <w:p w14:paraId="620FA3C8" w14:textId="4C1B7418" w:rsidR="00016B8F" w:rsidRDefault="00016B8F" w:rsidP="00016B8F">
      <w:pPr>
        <w:pStyle w:val="Heading2"/>
      </w:pPr>
      <w:r>
        <w:t>The distribution of the holdbacks shall be negotiated with the vendor.</w:t>
      </w:r>
    </w:p>
    <w:p w14:paraId="724B285A" w14:textId="77777777" w:rsidR="00016B8F" w:rsidRDefault="00016B8F" w:rsidP="00016B8F"/>
    <w:p w14:paraId="7333E3B6" w14:textId="7D1D4BC0" w:rsidR="00016B8F" w:rsidRPr="00016B8F" w:rsidRDefault="00016B8F" w:rsidP="00016B8F">
      <w:pPr>
        <w:pStyle w:val="Heading2"/>
      </w:pPr>
      <w:r>
        <w:t>Actual payment of holdbacks shall be made with the approval of the project Executive Oversight Committee.</w:t>
      </w:r>
    </w:p>
    <w:p w14:paraId="1A4BD218" w14:textId="69C7AA20" w:rsidR="00C0347B" w:rsidRPr="00B66FFF" w:rsidRDefault="00C0347B" w:rsidP="00C371BD"/>
    <w:p w14:paraId="1764AA9F" w14:textId="77777777" w:rsidR="00104A2B" w:rsidRPr="00B66FFF" w:rsidRDefault="00104A2B" w:rsidP="00A33A03">
      <w:pPr>
        <w:pStyle w:val="Heading1"/>
      </w:pPr>
      <w:bookmarkStart w:id="12" w:name="_Toc70363822"/>
      <w:bookmarkStart w:id="13" w:name="_Toc70367357"/>
      <w:bookmarkStart w:id="14" w:name="_Toc106965213"/>
      <w:bookmarkStart w:id="15" w:name="_Toc31721213"/>
      <w:bookmarkStart w:id="16" w:name="_Toc64377102"/>
      <w:bookmarkStart w:id="17" w:name="_Toc64991541"/>
      <w:bookmarkStart w:id="18" w:name="_Toc65138426"/>
      <w:bookmarkStart w:id="19" w:name="_Toc66176034"/>
      <w:bookmarkStart w:id="20" w:name="_Toc70363819"/>
      <w:bookmarkStart w:id="21" w:name="_Toc70367354"/>
      <w:bookmarkStart w:id="22" w:name="_Toc70363817"/>
      <w:bookmarkStart w:id="23" w:name="_Toc70367352"/>
      <w:r w:rsidRPr="00B66FFF">
        <w:t>ATTACHMENTS</w:t>
      </w:r>
      <w:bookmarkEnd w:id="12"/>
      <w:bookmarkEnd w:id="13"/>
      <w:bookmarkEnd w:id="14"/>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338F1886" w14:textId="7CF26E29" w:rsidR="00104A2B" w:rsidRPr="008D4B2D" w:rsidRDefault="00104A2B" w:rsidP="00917638">
      <w:pPr>
        <w:pStyle w:val="Heading3"/>
      </w:pPr>
      <w:r>
        <w:t>Terms and Conditions for Goods</w:t>
      </w:r>
      <w:r w:rsidR="007C1322">
        <w:t xml:space="preserve"> </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E14B39" w:rsidRDefault="00307E07" w:rsidP="00307E07">
      <w:pPr>
        <w:pStyle w:val="Heading3"/>
      </w:pPr>
      <w:r w:rsidRPr="00E14B39">
        <w:t>Cost Schedule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4" w:name="_Toc106965214"/>
      <w:r w:rsidRPr="00111CB9">
        <w:t>TIMELINE</w:t>
      </w:r>
      <w:bookmarkEnd w:id="15"/>
      <w:bookmarkEnd w:id="16"/>
      <w:bookmarkEnd w:id="17"/>
      <w:bookmarkEnd w:id="18"/>
      <w:bookmarkEnd w:id="19"/>
      <w:bookmarkEnd w:id="20"/>
      <w:bookmarkEnd w:id="21"/>
      <w:bookmarkEnd w:id="24"/>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5EF87574" w:rsidR="000A5780" w:rsidRPr="0047234A" w:rsidRDefault="000A5780" w:rsidP="009B21A9">
      <w:pPr>
        <w:pStyle w:val="Heading4"/>
      </w:pPr>
      <w:r w:rsidRPr="009B21A9">
        <w:t>Deadline for</w:t>
      </w:r>
      <w:r w:rsidR="003918B6">
        <w:t xml:space="preserve"> 1</w:t>
      </w:r>
      <w:r w:rsidR="003918B6" w:rsidRPr="003918B6">
        <w:rPr>
          <w:vertAlign w:val="superscript"/>
        </w:rPr>
        <w:t>st</w:t>
      </w:r>
      <w:r w:rsidR="003918B6">
        <w:t xml:space="preserve"> Round</w:t>
      </w:r>
      <w:r w:rsidRPr="009B21A9">
        <w:t xml:space="preserve"> Questions</w:t>
      </w:r>
      <w:r w:rsidRPr="009B21A9">
        <w:tab/>
        <w:t xml:space="preserve">No later </w:t>
      </w:r>
      <w:r w:rsidRPr="0047234A">
        <w:t xml:space="preserve">than 5:00 pm on </w:t>
      </w:r>
      <w:r w:rsidR="0047234A" w:rsidRPr="0047234A">
        <w:t>03</w:t>
      </w:r>
      <w:r w:rsidRPr="0047234A">
        <w:t>/</w:t>
      </w:r>
      <w:r w:rsidR="0047234A" w:rsidRPr="0047234A">
        <w:t>25</w:t>
      </w:r>
      <w:r w:rsidRPr="0047234A">
        <w:t>/</w:t>
      </w:r>
      <w:r w:rsidR="0047234A" w:rsidRPr="0047234A">
        <w:t>2024</w:t>
      </w:r>
    </w:p>
    <w:p w14:paraId="3743F8DD" w14:textId="5DC89F6B" w:rsidR="000A5780" w:rsidRPr="0047234A" w:rsidRDefault="003918B6" w:rsidP="009B21A9">
      <w:pPr>
        <w:pStyle w:val="Heading4"/>
      </w:pPr>
      <w:r w:rsidRPr="0047234A">
        <w:t>1</w:t>
      </w:r>
      <w:r w:rsidRPr="0047234A">
        <w:rPr>
          <w:vertAlign w:val="superscript"/>
        </w:rPr>
        <w:t>st</w:t>
      </w:r>
      <w:r w:rsidRPr="0047234A">
        <w:t xml:space="preserve"> Round </w:t>
      </w:r>
      <w:r w:rsidR="000A5780" w:rsidRPr="0047234A">
        <w:t>Answers Posted</w:t>
      </w:r>
      <w:r w:rsidR="000A5780" w:rsidRPr="0047234A">
        <w:tab/>
        <w:t xml:space="preserve">On or about </w:t>
      </w:r>
      <w:proofErr w:type="gramStart"/>
      <w:r w:rsidR="0047234A" w:rsidRPr="0047234A">
        <w:t>04</w:t>
      </w:r>
      <w:r w:rsidR="000A5780" w:rsidRPr="0047234A">
        <w:t>/</w:t>
      </w:r>
      <w:r w:rsidR="0047234A" w:rsidRPr="0047234A">
        <w:t>04</w:t>
      </w:r>
      <w:r w:rsidR="000A5780" w:rsidRPr="0047234A">
        <w:t>/</w:t>
      </w:r>
      <w:r w:rsidR="0047234A" w:rsidRPr="0047234A">
        <w:t>2024</w:t>
      </w:r>
      <w:proofErr w:type="gramEnd"/>
    </w:p>
    <w:p w14:paraId="5CA8ED10" w14:textId="2C9D8885" w:rsidR="003918B6" w:rsidRPr="0047234A" w:rsidRDefault="003918B6" w:rsidP="003918B6">
      <w:pPr>
        <w:pStyle w:val="Heading4"/>
      </w:pPr>
      <w:r w:rsidRPr="0047234A">
        <w:t>Deadline for 2nd Round Questions</w:t>
      </w:r>
      <w:r w:rsidRPr="0047234A">
        <w:tab/>
        <w:t xml:space="preserve">No later than 5:00 pm on </w:t>
      </w:r>
      <w:r w:rsidR="0047234A" w:rsidRPr="0047234A">
        <w:t>04</w:t>
      </w:r>
      <w:r w:rsidRPr="0047234A">
        <w:t>/</w:t>
      </w:r>
      <w:r w:rsidR="0047234A" w:rsidRPr="0047234A">
        <w:t>11</w:t>
      </w:r>
      <w:r w:rsidRPr="0047234A">
        <w:t>/</w:t>
      </w:r>
      <w:r w:rsidR="0047234A" w:rsidRPr="0047234A">
        <w:t>2024</w:t>
      </w:r>
    </w:p>
    <w:p w14:paraId="579B6A2F" w14:textId="71B7B61A" w:rsidR="003918B6" w:rsidRPr="0047234A" w:rsidRDefault="003918B6" w:rsidP="003918B6">
      <w:pPr>
        <w:pStyle w:val="Heading4"/>
      </w:pPr>
      <w:r w:rsidRPr="0047234A">
        <w:t>2</w:t>
      </w:r>
      <w:r w:rsidRPr="0047234A">
        <w:rPr>
          <w:vertAlign w:val="superscript"/>
        </w:rPr>
        <w:t>nd</w:t>
      </w:r>
      <w:r w:rsidRPr="0047234A">
        <w:t xml:space="preserve"> Round Answers Posted</w:t>
      </w:r>
      <w:r w:rsidRPr="0047234A">
        <w:tab/>
        <w:t xml:space="preserve">On or about </w:t>
      </w:r>
      <w:proofErr w:type="gramStart"/>
      <w:r w:rsidR="0047234A" w:rsidRPr="0047234A">
        <w:t>04</w:t>
      </w:r>
      <w:r w:rsidRPr="0047234A">
        <w:t>/</w:t>
      </w:r>
      <w:r w:rsidR="0047234A" w:rsidRPr="0047234A">
        <w:t>18</w:t>
      </w:r>
      <w:r w:rsidRPr="0047234A">
        <w:t>/</w:t>
      </w:r>
      <w:r w:rsidR="0047234A" w:rsidRPr="0047234A">
        <w:t>2024</w:t>
      </w:r>
      <w:proofErr w:type="gramEnd"/>
    </w:p>
    <w:p w14:paraId="45AEFC31" w14:textId="433A9FA7" w:rsidR="000A5780" w:rsidRPr="0047234A" w:rsidRDefault="000A5780" w:rsidP="009B21A9">
      <w:pPr>
        <w:pStyle w:val="Heading4"/>
      </w:pPr>
      <w:r w:rsidRPr="0047234A">
        <w:t>Deadline for References</w:t>
      </w:r>
      <w:r w:rsidRPr="0047234A">
        <w:tab/>
        <w:t xml:space="preserve">No later than 5:00 pm on </w:t>
      </w:r>
      <w:r w:rsidR="0047234A" w:rsidRPr="0047234A">
        <w:t>05</w:t>
      </w:r>
      <w:r w:rsidRPr="0047234A">
        <w:t>/</w:t>
      </w:r>
      <w:r w:rsidR="0047234A" w:rsidRPr="0047234A">
        <w:t>01</w:t>
      </w:r>
      <w:r w:rsidRPr="0047234A">
        <w:t>/</w:t>
      </w:r>
      <w:r w:rsidR="0047234A" w:rsidRPr="0047234A">
        <w:t>2024</w:t>
      </w:r>
    </w:p>
    <w:p w14:paraId="650DCFB2" w14:textId="0841534C" w:rsidR="000A5780" w:rsidRPr="0047234A" w:rsidRDefault="000A5780" w:rsidP="009B21A9">
      <w:pPr>
        <w:pStyle w:val="Heading4"/>
      </w:pPr>
      <w:r w:rsidRPr="0047234A">
        <w:t>Deadline Proposal Submission and Opening</w:t>
      </w:r>
      <w:r w:rsidRPr="0047234A">
        <w:tab/>
        <w:t xml:space="preserve">No later than 2:00 pm on </w:t>
      </w:r>
      <w:proofErr w:type="gramStart"/>
      <w:r w:rsidR="0047234A" w:rsidRPr="0047234A">
        <w:t>05</w:t>
      </w:r>
      <w:r w:rsidRPr="0047234A">
        <w:t>/</w:t>
      </w:r>
      <w:r w:rsidR="0047234A" w:rsidRPr="0047234A">
        <w:t>02</w:t>
      </w:r>
      <w:r w:rsidRPr="0047234A">
        <w:t>/</w:t>
      </w:r>
      <w:r w:rsidR="0047234A" w:rsidRPr="0047234A">
        <w:t>2024</w:t>
      </w:r>
      <w:proofErr w:type="gramEnd"/>
    </w:p>
    <w:p w14:paraId="5DE5CF15" w14:textId="2AEFD0C2" w:rsidR="000A5780" w:rsidRPr="0047234A" w:rsidRDefault="000A5780" w:rsidP="009B21A9">
      <w:pPr>
        <w:pStyle w:val="Heading4"/>
      </w:pPr>
      <w:r w:rsidRPr="0047234A">
        <w:t>Evaluation Period (estimated)</w:t>
      </w:r>
      <w:r w:rsidRPr="0047234A">
        <w:tab/>
      </w:r>
      <w:r w:rsidR="0047234A" w:rsidRPr="0047234A">
        <w:t>05</w:t>
      </w:r>
      <w:r w:rsidRPr="0047234A">
        <w:t>/</w:t>
      </w:r>
      <w:r w:rsidR="0047234A" w:rsidRPr="0047234A">
        <w:t>02</w:t>
      </w:r>
      <w:r w:rsidRPr="0047234A">
        <w:t>/</w:t>
      </w:r>
      <w:r w:rsidR="0047234A" w:rsidRPr="0047234A">
        <w:t>2024</w:t>
      </w:r>
      <w:r w:rsidRPr="0047234A">
        <w:t xml:space="preserve"> - </w:t>
      </w:r>
      <w:proofErr w:type="gramStart"/>
      <w:r w:rsidR="0047234A" w:rsidRPr="0047234A">
        <w:t>05</w:t>
      </w:r>
      <w:r w:rsidRPr="0047234A">
        <w:t>/</w:t>
      </w:r>
      <w:r w:rsidR="0047234A" w:rsidRPr="0047234A">
        <w:t>14</w:t>
      </w:r>
      <w:r w:rsidRPr="0047234A">
        <w:t>/</w:t>
      </w:r>
      <w:r w:rsidR="0047234A" w:rsidRPr="0047234A">
        <w:t>2024</w:t>
      </w:r>
      <w:proofErr w:type="gramEnd"/>
    </w:p>
    <w:p w14:paraId="5446364A" w14:textId="68D198CE" w:rsidR="000A5780" w:rsidRPr="0047234A" w:rsidRDefault="000A5780" w:rsidP="009B21A9">
      <w:pPr>
        <w:pStyle w:val="Heading4"/>
      </w:pPr>
      <w:r w:rsidRPr="0047234A">
        <w:t>Vendor Presentations (if applicable) (estimated)</w:t>
      </w:r>
      <w:r w:rsidRPr="0047234A">
        <w:tab/>
      </w:r>
      <w:r w:rsidR="0047234A" w:rsidRPr="0047234A">
        <w:t>06</w:t>
      </w:r>
      <w:r w:rsidRPr="0047234A">
        <w:t>/</w:t>
      </w:r>
      <w:r w:rsidR="0047234A" w:rsidRPr="0047234A">
        <w:t>04</w:t>
      </w:r>
      <w:r w:rsidRPr="0047234A">
        <w:t>/</w:t>
      </w:r>
      <w:r w:rsidR="0047234A" w:rsidRPr="0047234A">
        <w:t>2024</w:t>
      </w:r>
      <w:r w:rsidRPr="0047234A">
        <w:t xml:space="preserve"> - </w:t>
      </w:r>
      <w:proofErr w:type="gramStart"/>
      <w:r w:rsidR="0047234A" w:rsidRPr="0047234A">
        <w:t>06</w:t>
      </w:r>
      <w:r w:rsidRPr="0047234A">
        <w:t>/</w:t>
      </w:r>
      <w:r w:rsidR="0047234A" w:rsidRPr="0047234A">
        <w:t>05</w:t>
      </w:r>
      <w:r w:rsidRPr="0047234A">
        <w:t>/</w:t>
      </w:r>
      <w:r w:rsidR="0047234A" w:rsidRPr="0047234A">
        <w:t>2024</w:t>
      </w:r>
      <w:proofErr w:type="gramEnd"/>
    </w:p>
    <w:p w14:paraId="53E748E8" w14:textId="0AF334B2" w:rsidR="002519E8" w:rsidRPr="0047234A" w:rsidRDefault="002519E8" w:rsidP="002519E8">
      <w:pPr>
        <w:pStyle w:val="Heading4"/>
      </w:pPr>
      <w:r w:rsidRPr="0047234A">
        <w:t>Notice of Intent (estimated)</w:t>
      </w:r>
      <w:r w:rsidRPr="0047234A">
        <w:tab/>
        <w:t xml:space="preserve">On or about </w:t>
      </w:r>
      <w:proofErr w:type="gramStart"/>
      <w:r w:rsidR="0047234A" w:rsidRPr="0047234A">
        <w:t>06</w:t>
      </w:r>
      <w:r w:rsidRPr="0047234A">
        <w:t>/</w:t>
      </w:r>
      <w:r w:rsidR="0047234A" w:rsidRPr="0047234A">
        <w:t>05</w:t>
      </w:r>
      <w:r w:rsidRPr="0047234A">
        <w:t>/</w:t>
      </w:r>
      <w:r w:rsidR="0047234A" w:rsidRPr="0047234A">
        <w:t>2024</w:t>
      </w:r>
      <w:proofErr w:type="gramEnd"/>
    </w:p>
    <w:p w14:paraId="249D90AC" w14:textId="482421F3" w:rsidR="000A5780" w:rsidRPr="0047234A" w:rsidRDefault="002519E8" w:rsidP="009B21A9">
      <w:pPr>
        <w:pStyle w:val="Heading4"/>
      </w:pPr>
      <w:r w:rsidRPr="0047234A">
        <w:t>Notice of Award</w:t>
      </w:r>
      <w:r w:rsidR="000A5780" w:rsidRPr="0047234A">
        <w:t xml:space="preserve"> (estimated)</w:t>
      </w:r>
      <w:r w:rsidR="000A5780" w:rsidRPr="0047234A">
        <w:tab/>
        <w:t xml:space="preserve">On or about </w:t>
      </w:r>
      <w:proofErr w:type="gramStart"/>
      <w:r w:rsidR="0047234A" w:rsidRPr="0047234A">
        <w:t>09</w:t>
      </w:r>
      <w:r w:rsidR="000A5780" w:rsidRPr="0047234A">
        <w:t>/</w:t>
      </w:r>
      <w:r w:rsidR="0047234A" w:rsidRPr="0047234A">
        <w:t>01</w:t>
      </w:r>
      <w:r w:rsidR="000A5780" w:rsidRPr="0047234A">
        <w:t>/</w:t>
      </w:r>
      <w:r w:rsidR="0047234A" w:rsidRPr="0047234A">
        <w:t>2024</w:t>
      </w:r>
      <w:proofErr w:type="gramEnd"/>
    </w:p>
    <w:p w14:paraId="4BC3DD84" w14:textId="042C6DB9" w:rsidR="000A5780" w:rsidRPr="0047234A" w:rsidRDefault="000A5780" w:rsidP="009B21A9">
      <w:pPr>
        <w:pStyle w:val="Heading4"/>
      </w:pPr>
      <w:r w:rsidRPr="0047234A">
        <w:t>BOE Approval (estimated</w:t>
      </w:r>
      <w:r w:rsidR="0047234A" w:rsidRPr="0047234A">
        <w:t xml:space="preserve"> on or about</w:t>
      </w:r>
      <w:r w:rsidRPr="0047234A">
        <w:t>)</w:t>
      </w:r>
      <w:r w:rsidRPr="0047234A">
        <w:tab/>
      </w:r>
      <w:r w:rsidR="0047234A" w:rsidRPr="0047234A">
        <w:t>04</w:t>
      </w:r>
      <w:r w:rsidRPr="0047234A">
        <w:t>/</w:t>
      </w:r>
      <w:r w:rsidR="0047234A" w:rsidRPr="0047234A">
        <w:t>2025</w:t>
      </w:r>
    </w:p>
    <w:p w14:paraId="3415F249" w14:textId="3214F52C" w:rsidR="000A5780" w:rsidRPr="0047234A" w:rsidRDefault="000A5780" w:rsidP="009B21A9">
      <w:pPr>
        <w:pStyle w:val="Heading4"/>
      </w:pPr>
      <w:r w:rsidRPr="0047234A">
        <w:t>Contract start date (estimated)</w:t>
      </w:r>
      <w:r w:rsidRPr="0047234A">
        <w:tab/>
      </w:r>
      <w:proofErr w:type="gramStart"/>
      <w:r w:rsidR="0047234A" w:rsidRPr="0047234A">
        <w:t>05</w:t>
      </w:r>
      <w:r w:rsidRPr="0047234A">
        <w:t>/</w:t>
      </w:r>
      <w:r w:rsidR="0047234A" w:rsidRPr="0047234A">
        <w:t>01</w:t>
      </w:r>
      <w:r w:rsidRPr="0047234A">
        <w:t>/</w:t>
      </w:r>
      <w:r w:rsidR="0047234A" w:rsidRPr="0047234A">
        <w:t>2025</w:t>
      </w:r>
      <w:proofErr w:type="gramEnd"/>
    </w:p>
    <w:p w14:paraId="48FCB27C" w14:textId="77777777" w:rsidR="000A5780" w:rsidRDefault="000A5780" w:rsidP="000A5780"/>
    <w:p w14:paraId="089DDCDB" w14:textId="3D996A4D" w:rsidR="00104A2B" w:rsidRPr="0017635B" w:rsidRDefault="00104A2B" w:rsidP="00A33A03">
      <w:pPr>
        <w:pStyle w:val="Heading1"/>
      </w:pPr>
      <w:bookmarkStart w:id="25" w:name="_Toc70363821"/>
      <w:bookmarkStart w:id="26" w:name="_Toc70367356"/>
      <w:bookmarkStart w:id="27" w:name="_Toc106965215"/>
      <w:r w:rsidRPr="0017635B">
        <w:t>EVALUATION</w:t>
      </w:r>
      <w:bookmarkEnd w:id="25"/>
      <w:bookmarkEnd w:id="26"/>
      <w:bookmarkEnd w:id="27"/>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42D6331E" w:rsidR="00104A2B" w:rsidRPr="00E14B39" w:rsidRDefault="00E14B39" w:rsidP="009B21A9">
      <w:pPr>
        <w:pStyle w:val="Heading4"/>
      </w:pPr>
      <w:r w:rsidRPr="00E14B39">
        <w:t>Integration Capabilities</w:t>
      </w:r>
      <w:r w:rsidR="00104A2B" w:rsidRPr="00E14B39">
        <w:tab/>
        <w:t>3</w:t>
      </w:r>
      <w:r w:rsidRPr="00E14B39">
        <w:t>0</w:t>
      </w:r>
    </w:p>
    <w:p w14:paraId="73BA5567" w14:textId="7085EF4D" w:rsidR="00104A2B" w:rsidRPr="00E14B39" w:rsidRDefault="00E14B39" w:rsidP="009B21A9">
      <w:pPr>
        <w:pStyle w:val="Heading4"/>
      </w:pPr>
      <w:r w:rsidRPr="00E14B39">
        <w:t>Cost</w:t>
      </w:r>
      <w:r w:rsidR="00104A2B" w:rsidRPr="00E14B39">
        <w:tab/>
      </w:r>
      <w:r w:rsidRPr="00E14B39">
        <w:t>15</w:t>
      </w:r>
    </w:p>
    <w:p w14:paraId="4E6B54BE" w14:textId="4101928A" w:rsidR="00104A2B" w:rsidRPr="00E14B39" w:rsidRDefault="00E14B39" w:rsidP="009B21A9">
      <w:pPr>
        <w:pStyle w:val="Heading4"/>
      </w:pPr>
      <w:r w:rsidRPr="00E14B39">
        <w:t>Storage</w:t>
      </w:r>
      <w:r w:rsidR="00104A2B" w:rsidRPr="00E14B39">
        <w:tab/>
        <w:t>1</w:t>
      </w:r>
      <w:r w:rsidRPr="00E14B39">
        <w:t>0</w:t>
      </w:r>
    </w:p>
    <w:p w14:paraId="069ECE79" w14:textId="1CCAFC62" w:rsidR="00104A2B" w:rsidRPr="00E14B39" w:rsidRDefault="00E14B39" w:rsidP="009B21A9">
      <w:pPr>
        <w:pStyle w:val="Heading4"/>
      </w:pPr>
      <w:r w:rsidRPr="00E14B39">
        <w:t>Support and Maintenance</w:t>
      </w:r>
      <w:r w:rsidR="00104A2B" w:rsidRPr="00E14B39">
        <w:tab/>
        <w:t>1</w:t>
      </w:r>
      <w:r w:rsidRPr="00E14B39">
        <w:t>0</w:t>
      </w:r>
    </w:p>
    <w:p w14:paraId="1563BC72" w14:textId="6EAF8BF7" w:rsidR="00104A2B" w:rsidRPr="00E14B39" w:rsidRDefault="00E14B39" w:rsidP="009B21A9">
      <w:pPr>
        <w:pStyle w:val="Heading4"/>
      </w:pPr>
      <w:r w:rsidRPr="00E14B39">
        <w:t>Vendor Qualifications and Experience</w:t>
      </w:r>
      <w:r w:rsidR="00104A2B" w:rsidRPr="00E14B39">
        <w:tab/>
      </w:r>
      <w:r w:rsidRPr="00E14B39">
        <w:t>10</w:t>
      </w:r>
    </w:p>
    <w:p w14:paraId="2E4115A4" w14:textId="7DC708F9" w:rsidR="00104A2B" w:rsidRPr="00E14B39" w:rsidRDefault="00E14B39" w:rsidP="009B21A9">
      <w:pPr>
        <w:pStyle w:val="Heading4"/>
      </w:pPr>
      <w:r w:rsidRPr="00E14B39">
        <w:t>Compliance and Security</w:t>
      </w:r>
      <w:r w:rsidR="00104A2B" w:rsidRPr="00E14B39">
        <w:tab/>
      </w:r>
      <w:r w:rsidRPr="00E14B39">
        <w:t>1</w:t>
      </w:r>
      <w:r w:rsidR="00104A2B" w:rsidRPr="00E14B39">
        <w:t>0</w:t>
      </w:r>
    </w:p>
    <w:p w14:paraId="7A19B62E" w14:textId="2CAE975A" w:rsidR="00E14B39" w:rsidRPr="00E14B39" w:rsidRDefault="00E14B39" w:rsidP="00E14B39">
      <w:pPr>
        <w:pStyle w:val="Heading4"/>
      </w:pPr>
      <w:r w:rsidRPr="00E14B39">
        <w:t>Technical Specifications</w:t>
      </w:r>
      <w:r w:rsidRPr="00E14B39">
        <w:tab/>
        <w:t>5</w:t>
      </w:r>
    </w:p>
    <w:p w14:paraId="07E9A71B" w14:textId="498AC6A0" w:rsidR="00E14B39" w:rsidRPr="00E14B39" w:rsidRDefault="00E14B39" w:rsidP="00E14B39">
      <w:pPr>
        <w:pStyle w:val="Heading4"/>
      </w:pPr>
      <w:r w:rsidRPr="00E14B39">
        <w:t>Environmental Adaptability</w:t>
      </w:r>
      <w:r w:rsidRPr="00E14B39">
        <w:tab/>
        <w:t>5</w:t>
      </w:r>
    </w:p>
    <w:p w14:paraId="29BC6138" w14:textId="4F32377A" w:rsidR="00E14B39" w:rsidRPr="00E14B39" w:rsidRDefault="00E14B39" w:rsidP="00E14B39">
      <w:pPr>
        <w:pStyle w:val="Heading4"/>
      </w:pPr>
      <w:r w:rsidRPr="00E14B39">
        <w:t>Scalability and Future Expansion</w:t>
      </w:r>
      <w:r w:rsidRPr="00E14B39">
        <w:tab/>
        <w:t>5</w:t>
      </w:r>
    </w:p>
    <w:p w14:paraId="11E7FF36" w14:textId="55247B00" w:rsidR="00104A2B" w:rsidRPr="00E14B39" w:rsidRDefault="00104A2B" w:rsidP="009B21A9">
      <w:pPr>
        <w:pStyle w:val="Heading4"/>
      </w:pPr>
      <w:r w:rsidRPr="00E14B39">
        <w:t>Presentation Factor #1</w:t>
      </w:r>
      <w:r w:rsidR="00E14B39" w:rsidRPr="00E14B39">
        <w:t xml:space="preserve"> - Demonstration of equipment functionality</w:t>
      </w:r>
      <w:r w:rsidRPr="00E14B39">
        <w:tab/>
      </w:r>
      <w:r w:rsidR="00E14B39" w:rsidRPr="00E14B39">
        <w:t>50</w:t>
      </w:r>
    </w:p>
    <w:p w14:paraId="0C366ACD" w14:textId="2D586D17" w:rsidR="00104A2B" w:rsidRPr="00E14B39" w:rsidRDefault="00104A2B" w:rsidP="009B21A9">
      <w:pPr>
        <w:pStyle w:val="Heading4"/>
      </w:pPr>
      <w:r w:rsidRPr="00E14B39">
        <w:t>Presentation Factor #</w:t>
      </w:r>
      <w:r w:rsidR="00E14B39" w:rsidRPr="00E14B39">
        <w:t>2 - Ability to integrate with equipment</w:t>
      </w:r>
      <w:r w:rsidRPr="00E14B39">
        <w:tab/>
      </w:r>
      <w:r w:rsidR="00E14B39" w:rsidRPr="00E14B39">
        <w:t>50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104A2B">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104A2B">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104A2B">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104A2B">
      <w:pPr>
        <w:pStyle w:val="Heading4"/>
      </w:pPr>
      <w:r w:rsidRPr="00F64FE8">
        <w:t>The State reserves the right to add additional criteria or presentations.</w:t>
      </w:r>
    </w:p>
    <w:p w14:paraId="20365608" w14:textId="77777777" w:rsidR="00104A2B" w:rsidRPr="00F64FE8" w:rsidRDefault="00104A2B" w:rsidP="00104A2B">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 xml:space="preserve">Quote in </w:t>
      </w:r>
      <w:proofErr w:type="spellStart"/>
      <w:r>
        <w:t>NevadaEPro</w:t>
      </w:r>
      <w:proofErr w:type="spellEnd"/>
      <w:r>
        <w:t>.</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8"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w:t>
      </w:r>
      <w:proofErr w:type="spellStart"/>
      <w:r>
        <w:t>NevadaEPro</w:t>
      </w:r>
      <w:proofErr w:type="spellEnd"/>
      <w:r>
        <w:t>.</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8"/>
    <w:p w14:paraId="2356A012" w14:textId="77777777" w:rsidR="00104A2B" w:rsidRPr="00111CB9" w:rsidRDefault="00104A2B" w:rsidP="00104A2B"/>
    <w:p w14:paraId="2BD66B70" w14:textId="4105F5A4" w:rsidR="00C0347B" w:rsidRPr="00B66FFF" w:rsidRDefault="00C0347B" w:rsidP="00A33A03">
      <w:pPr>
        <w:pStyle w:val="Heading1"/>
      </w:pPr>
      <w:bookmarkStart w:id="29" w:name="_Toc106965216"/>
      <w:r w:rsidRPr="00B66FFF">
        <w:t xml:space="preserve">MANDATORY </w:t>
      </w:r>
      <w:r w:rsidR="00CF52F6" w:rsidRPr="00B66FFF">
        <w:t>MINIMUM REQUIREMENTS</w:t>
      </w:r>
      <w:bookmarkEnd w:id="22"/>
      <w:bookmarkEnd w:id="23"/>
      <w:bookmarkEnd w:id="29"/>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proofErr w:type="gramStart"/>
      <w:r w:rsidR="001658B9">
        <w:t>Proposal</w:t>
      </w:r>
      <w:proofErr w:type="gramEnd"/>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proofErr w:type="gramStart"/>
      <w:r w:rsidR="00323303" w:rsidRPr="000A10EC">
        <w:t>Contract</w:t>
      </w:r>
      <w:proofErr w:type="gramEnd"/>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30" w:name="_Toc70363818"/>
      <w:bookmarkStart w:id="31" w:name="_Toc70367353"/>
      <w:bookmarkStart w:id="32" w:name="_Toc106965217"/>
      <w:r w:rsidRPr="00B66FFF">
        <w:t>CRITICAL ITEMS</w:t>
      </w:r>
      <w:bookmarkEnd w:id="30"/>
      <w:bookmarkEnd w:id="31"/>
      <w:bookmarkEnd w:id="32"/>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w:t>
      </w:r>
      <w:proofErr w:type="gramStart"/>
      <w:r w:rsidR="000B0713" w:rsidRPr="00E07DDD">
        <w:t>evaluators</w:t>
      </w:r>
      <w:proofErr w:type="gramEnd"/>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proofErr w:type="gramStart"/>
      <w:r w:rsidR="00652786" w:rsidRPr="00E07DDD">
        <w:t>A</w:t>
      </w:r>
      <w:r w:rsidR="007574FF" w:rsidRPr="00E07DDD">
        <w:t>bility</w:t>
      </w:r>
      <w:proofErr w:type="gramEnd"/>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proofErr w:type="gramStart"/>
      <w:r>
        <w:t>A</w:t>
      </w:r>
      <w:r w:rsidRPr="002727A2">
        <w:t>warded</w:t>
      </w:r>
      <w:proofErr w:type="gramEnd"/>
      <w:r w:rsidRPr="002727A2">
        <w:t xml:space="preserve"> vendor shall maintain, for the duration of the contract, insurance coverages as set forth in the fully executed contract.</w:t>
      </w:r>
    </w:p>
    <w:p w14:paraId="4F858D24" w14:textId="77777777" w:rsidR="0007400C" w:rsidRDefault="0007400C" w:rsidP="00917638">
      <w:pPr>
        <w:pStyle w:val="Heading3"/>
      </w:pPr>
      <w:r>
        <w:t xml:space="preserve">Work on the contract shall not begin until after the awarded vendor has submitted acceptable evidence of the required insurance </w:t>
      </w:r>
      <w:proofErr w:type="gramStart"/>
      <w:r>
        <w:t>coverages</w:t>
      </w:r>
      <w:proofErr w:type="gramEnd"/>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proofErr w:type="gramStart"/>
      <w:r>
        <w:t>Proposal</w:t>
      </w:r>
      <w:proofErr w:type="gramEnd"/>
      <w:r>
        <w:t xml:space="preserve">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7F41A44A" w:rsidR="00BC7EBF" w:rsidRDefault="00BC7EBF" w:rsidP="00917638">
      <w:pPr>
        <w:pStyle w:val="Heading3"/>
      </w:pPr>
      <w:r w:rsidRPr="00160372">
        <w:t xml:space="preserve">Vendors shall provide a minimum of three (3) business references from similar projects performed for private and/or public sector clients within the last </w:t>
      </w:r>
      <w:r w:rsidR="00C74D2F">
        <w:t xml:space="preserve">three (3) to </w:t>
      </w:r>
      <w:r w:rsidRPr="00160372">
        <w:t>five (5) years</w:t>
      </w:r>
      <w:r w:rsidR="006E4643">
        <w:t xml:space="preserve">, see </w:t>
      </w:r>
      <w:r w:rsidR="006E4643" w:rsidRPr="006E4643">
        <w:rPr>
          <w:i/>
          <w:iCs/>
        </w:rPr>
        <w:t>Reference Questionnaire</w:t>
      </w:r>
      <w:r w:rsidRPr="00160372">
        <w:t>.</w:t>
      </w:r>
    </w:p>
    <w:p w14:paraId="42488335" w14:textId="30B70B04" w:rsidR="00C74D2F" w:rsidRDefault="00C74D2F" w:rsidP="00C74D2F">
      <w:pPr>
        <w:pStyle w:val="Heading4"/>
      </w:pPr>
      <w:bookmarkStart w:id="33" w:name="_Hlk157670137"/>
      <w:r>
        <w:t>In what capacity have you worked with this vendor in the past?</w:t>
      </w:r>
    </w:p>
    <w:p w14:paraId="03E98FAF" w14:textId="7BFC5F33" w:rsidR="00C74D2F" w:rsidRDefault="00C74D2F" w:rsidP="00C74D2F">
      <w:pPr>
        <w:pStyle w:val="Heading4"/>
      </w:pPr>
      <w:r>
        <w:t>How would you rate this firms’ knowledge and expertise?</w:t>
      </w:r>
    </w:p>
    <w:p w14:paraId="0AA3CCCA" w14:textId="1B33130E" w:rsidR="00C74D2F" w:rsidRDefault="00C74D2F" w:rsidP="00C74D2F">
      <w:pPr>
        <w:pStyle w:val="Heading4"/>
      </w:pPr>
      <w:r>
        <w:t>How would you rate this the vendor’s flexibility relative to changes in project scope and timelines?</w:t>
      </w:r>
    </w:p>
    <w:p w14:paraId="63AB61C7" w14:textId="2AB7C509" w:rsidR="00C74D2F" w:rsidRDefault="00C74D2F" w:rsidP="00C74D2F">
      <w:pPr>
        <w:pStyle w:val="Heading4"/>
      </w:pPr>
      <w:r>
        <w:t>What is your level of satisfaction with materials produced by the vendor?</w:t>
      </w:r>
    </w:p>
    <w:p w14:paraId="3C6F38E1" w14:textId="79A7105B" w:rsidR="00C74D2F" w:rsidRDefault="00C74D2F" w:rsidP="00C74D2F">
      <w:pPr>
        <w:pStyle w:val="Heading4"/>
      </w:pPr>
      <w:r>
        <w:t>How would you rate the dynamics/interaction between the vendor and your staff?</w:t>
      </w:r>
    </w:p>
    <w:p w14:paraId="2F17AF5F" w14:textId="54B3F0C2" w:rsidR="00C74D2F" w:rsidRDefault="00C74D2F" w:rsidP="00C74D2F">
      <w:pPr>
        <w:pStyle w:val="Heading4"/>
      </w:pPr>
      <w:r>
        <w:t>How would you rate ‘bad material’ resolution (if applicable).</w:t>
      </w:r>
    </w:p>
    <w:p w14:paraId="1ACAAD00" w14:textId="62C4C62D" w:rsidR="00C74D2F" w:rsidRDefault="00C74D2F" w:rsidP="00C74D2F">
      <w:pPr>
        <w:pStyle w:val="Heading4"/>
      </w:pPr>
      <w:r>
        <w:t>How satisfied are you with the materials supplied by the vendor?</w:t>
      </w:r>
    </w:p>
    <w:p w14:paraId="6A4C849E" w14:textId="77DB3017" w:rsidR="00C74D2F" w:rsidRDefault="00C74D2F" w:rsidP="00C74D2F">
      <w:pPr>
        <w:pStyle w:val="Heading4"/>
      </w:pPr>
      <w:r>
        <w:t>With which aspect(s) of this vendor’s services are you most satisfied?</w:t>
      </w:r>
    </w:p>
    <w:p w14:paraId="1DE9A133" w14:textId="34A48950" w:rsidR="00C74D2F" w:rsidRDefault="00C74D2F" w:rsidP="00C74D2F">
      <w:pPr>
        <w:pStyle w:val="Heading4"/>
      </w:pPr>
      <w:r>
        <w:t>With which aspect(s) of this vendor’s services are you least satisfied?</w:t>
      </w:r>
    </w:p>
    <w:p w14:paraId="25EC5A02" w14:textId="636F5238" w:rsidR="00C74D2F" w:rsidRPr="00160372" w:rsidRDefault="00C74D2F" w:rsidP="00C74D2F">
      <w:pPr>
        <w:pStyle w:val="Heading4"/>
      </w:pPr>
      <w:r>
        <w:t>Would you recommend this vendor’s services to your organization again?</w:t>
      </w:r>
    </w:p>
    <w:bookmarkEnd w:id="33"/>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316F63ED" w:rsidR="00B27BFE" w:rsidRDefault="001760B6" w:rsidP="001760B6">
      <w:pPr>
        <w:pStyle w:val="Heading3"/>
      </w:pPr>
      <w:r>
        <w:t>T</w:t>
      </w:r>
      <w:r w:rsidR="00B27BFE">
        <w:t xml:space="preserve">he State will not disclose submitted </w:t>
      </w:r>
      <w:r w:rsidR="00AA0EEC">
        <w:t>references but</w:t>
      </w:r>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4" w:name="_Toc65138429"/>
      <w:bookmarkStart w:id="35" w:name="_Toc66176037"/>
      <w:bookmarkStart w:id="36" w:name="_Toc70363820"/>
      <w:bookmarkStart w:id="37" w:name="_Toc70367355"/>
      <w:bookmarkStart w:id="38" w:name="_Toc106965218"/>
      <w:r w:rsidRPr="00111CB9">
        <w:t>SUBMISSION CHECKLIST</w:t>
      </w:r>
      <w:bookmarkEnd w:id="34"/>
      <w:bookmarkEnd w:id="35"/>
      <w:bookmarkEnd w:id="36"/>
      <w:bookmarkEnd w:id="37"/>
      <w:bookmarkEnd w:id="38"/>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 xml:space="preserve">Cost proposal attachment shall not be flagged as confidential in </w:t>
      </w:r>
      <w:proofErr w:type="spellStart"/>
      <w:r>
        <w:t>NevadaEPro</w:t>
      </w:r>
      <w:proofErr w:type="spellEnd"/>
      <w:r>
        <w:t>.</w:t>
      </w:r>
    </w:p>
    <w:p w14:paraId="2C3F75D8" w14:textId="4703C13B" w:rsidR="004D3B3F" w:rsidRPr="00E07DDD" w:rsidRDefault="004D3B3F" w:rsidP="005179C8">
      <w:pPr>
        <w:pStyle w:val="Heading3"/>
      </w:pPr>
      <w:r w:rsidRPr="00E07DDD">
        <w:t xml:space="preserve">Additional attachments may be </w:t>
      </w:r>
      <w:proofErr w:type="gramStart"/>
      <w:r w:rsidR="009E1A18" w:rsidRPr="00E07DDD">
        <w:t>included</w:t>
      </w:r>
      <w:r w:rsidRPr="00E07DDD">
        <w:t>, but</w:t>
      </w:r>
      <w:proofErr w:type="gramEnd"/>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proofErr w:type="gramStart"/>
      <w:r>
        <w:t>A</w:t>
      </w:r>
      <w:r w:rsidR="004D3B3F">
        <w:t>ttachment</w:t>
      </w:r>
      <w:proofErr w:type="gramEnd"/>
      <w:r w:rsidR="004D3B3F">
        <w:t xml:space="preserve"> </w:t>
      </w:r>
      <w:r w:rsidR="00580F97">
        <w:t>should</w:t>
      </w:r>
      <w:r w:rsidR="004D3B3F">
        <w:t xml:space="preserve"> be flagged confidential in </w:t>
      </w:r>
      <w:proofErr w:type="spellStart"/>
      <w:r w:rsidR="004D3B3F">
        <w:t>NevadaEPro</w:t>
      </w:r>
      <w:proofErr w:type="spellEnd"/>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 xml:space="preserve">Trade Secret information, cross referenced to the technical </w:t>
      </w:r>
      <w:proofErr w:type="gramStart"/>
      <w:r>
        <w:t>proposal</w:t>
      </w:r>
      <w:proofErr w:type="gramEnd"/>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 xml:space="preserve">VENDOR FINANCIAL INFORMATION. </w:t>
      </w:r>
      <w:proofErr w:type="gramStart"/>
      <w:r>
        <w:t>A</w:t>
      </w:r>
      <w:r w:rsidR="004D3B3F">
        <w:t>ttachment</w:t>
      </w:r>
      <w:proofErr w:type="gramEnd"/>
      <w:r w:rsidR="004D3B3F">
        <w:t xml:space="preserve">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2D8E78C7"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782341">
      <w:rPr>
        <w:i/>
        <w:iCs/>
      </w:rPr>
      <w:t>81DMV-S2681-License Plate Sheeting</w:t>
    </w:r>
    <w:r w:rsidR="000271B8">
      <w:rPr>
        <w:i/>
        <w:iCs/>
      </w:rPr>
      <w:t xml:space="preserve"> Materials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16B8F"/>
    <w:rsid w:val="00021B59"/>
    <w:rsid w:val="000249A8"/>
    <w:rsid w:val="00025A3A"/>
    <w:rsid w:val="00025B91"/>
    <w:rsid w:val="00026259"/>
    <w:rsid w:val="000271B8"/>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369"/>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3257E"/>
    <w:rsid w:val="00343444"/>
    <w:rsid w:val="003453F4"/>
    <w:rsid w:val="00354CB6"/>
    <w:rsid w:val="0035709A"/>
    <w:rsid w:val="003622B2"/>
    <w:rsid w:val="00365812"/>
    <w:rsid w:val="0037204D"/>
    <w:rsid w:val="00372CF6"/>
    <w:rsid w:val="00376AC2"/>
    <w:rsid w:val="00377C68"/>
    <w:rsid w:val="00380ED7"/>
    <w:rsid w:val="003837AC"/>
    <w:rsid w:val="003839CC"/>
    <w:rsid w:val="003918B6"/>
    <w:rsid w:val="00396143"/>
    <w:rsid w:val="003A32F7"/>
    <w:rsid w:val="003A37B2"/>
    <w:rsid w:val="003A4702"/>
    <w:rsid w:val="003A4F47"/>
    <w:rsid w:val="003A716F"/>
    <w:rsid w:val="003B1ECB"/>
    <w:rsid w:val="003B3F79"/>
    <w:rsid w:val="003B4684"/>
    <w:rsid w:val="003B6B5A"/>
    <w:rsid w:val="003B6DF8"/>
    <w:rsid w:val="003C2386"/>
    <w:rsid w:val="003C23D5"/>
    <w:rsid w:val="003C6489"/>
    <w:rsid w:val="003C7C4F"/>
    <w:rsid w:val="003D1E0E"/>
    <w:rsid w:val="003D2C7F"/>
    <w:rsid w:val="003D5F13"/>
    <w:rsid w:val="003E0EAD"/>
    <w:rsid w:val="003E4695"/>
    <w:rsid w:val="003F5E44"/>
    <w:rsid w:val="00411933"/>
    <w:rsid w:val="004154FC"/>
    <w:rsid w:val="00416BEE"/>
    <w:rsid w:val="004174EF"/>
    <w:rsid w:val="00422D1B"/>
    <w:rsid w:val="00425646"/>
    <w:rsid w:val="00430FAF"/>
    <w:rsid w:val="00437ADD"/>
    <w:rsid w:val="00442A39"/>
    <w:rsid w:val="00446BF7"/>
    <w:rsid w:val="00447B89"/>
    <w:rsid w:val="00452DAB"/>
    <w:rsid w:val="00464CE1"/>
    <w:rsid w:val="00470B98"/>
    <w:rsid w:val="0047234A"/>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8AF"/>
    <w:rsid w:val="004F2D52"/>
    <w:rsid w:val="004F45EE"/>
    <w:rsid w:val="00501C93"/>
    <w:rsid w:val="00502439"/>
    <w:rsid w:val="00512951"/>
    <w:rsid w:val="00513FA5"/>
    <w:rsid w:val="005179C8"/>
    <w:rsid w:val="005224A8"/>
    <w:rsid w:val="00524655"/>
    <w:rsid w:val="005354A8"/>
    <w:rsid w:val="005374CB"/>
    <w:rsid w:val="00547F4C"/>
    <w:rsid w:val="005515B9"/>
    <w:rsid w:val="00555D25"/>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726A6"/>
    <w:rsid w:val="00781A9C"/>
    <w:rsid w:val="00782341"/>
    <w:rsid w:val="00785D00"/>
    <w:rsid w:val="00786390"/>
    <w:rsid w:val="00791F2A"/>
    <w:rsid w:val="007A6029"/>
    <w:rsid w:val="007A619F"/>
    <w:rsid w:val="007A7D18"/>
    <w:rsid w:val="007B465E"/>
    <w:rsid w:val="007C1322"/>
    <w:rsid w:val="007C531F"/>
    <w:rsid w:val="007C5E7E"/>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37E07"/>
    <w:rsid w:val="00840A72"/>
    <w:rsid w:val="00844086"/>
    <w:rsid w:val="0085550D"/>
    <w:rsid w:val="0085760D"/>
    <w:rsid w:val="0086378C"/>
    <w:rsid w:val="00864B43"/>
    <w:rsid w:val="00870D63"/>
    <w:rsid w:val="00873F92"/>
    <w:rsid w:val="00875B0F"/>
    <w:rsid w:val="00876B0B"/>
    <w:rsid w:val="00876C65"/>
    <w:rsid w:val="00885AD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567AD"/>
    <w:rsid w:val="00961CD9"/>
    <w:rsid w:val="00966987"/>
    <w:rsid w:val="00970BC2"/>
    <w:rsid w:val="00973CBD"/>
    <w:rsid w:val="009745E2"/>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AB6"/>
    <w:rsid w:val="00A55DAB"/>
    <w:rsid w:val="00A6408C"/>
    <w:rsid w:val="00A828BC"/>
    <w:rsid w:val="00A86042"/>
    <w:rsid w:val="00AA0EEC"/>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BF761F"/>
    <w:rsid w:val="00C0347B"/>
    <w:rsid w:val="00C058D2"/>
    <w:rsid w:val="00C25667"/>
    <w:rsid w:val="00C279AD"/>
    <w:rsid w:val="00C371BD"/>
    <w:rsid w:val="00C37CD2"/>
    <w:rsid w:val="00C4165E"/>
    <w:rsid w:val="00C531F1"/>
    <w:rsid w:val="00C56046"/>
    <w:rsid w:val="00C65313"/>
    <w:rsid w:val="00C74D2F"/>
    <w:rsid w:val="00C77838"/>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14B39"/>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E63F6"/>
    <w:rsid w:val="00EE6E0C"/>
    <w:rsid w:val="00EF33DC"/>
    <w:rsid w:val="00EF48C7"/>
    <w:rsid w:val="00EF5CFD"/>
    <w:rsid w:val="00F00A2B"/>
    <w:rsid w:val="00F03610"/>
    <w:rsid w:val="00F123EC"/>
    <w:rsid w:val="00F12579"/>
    <w:rsid w:val="00F13D05"/>
    <w:rsid w:val="00F22275"/>
    <w:rsid w:val="00F34CA8"/>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782341"/>
    <w:rPr>
      <w:color w:val="605E5C"/>
      <w:shd w:val="clear" w:color="auto" w:fill="E1DFDD"/>
    </w:rPr>
  </w:style>
  <w:style w:type="table" w:styleId="TableGrid">
    <w:name w:val="Table Grid"/>
    <w:basedOn w:val="TableNormal"/>
    <w:uiPriority w:val="59"/>
    <w:rsid w:val="00870D63"/>
    <w:pPr>
      <w:ind w:left="0" w:firstLine="0"/>
      <w:jc w:val="left"/>
    </w:pPr>
    <w:rPr>
      <w:rFonts w:eastAsia="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rsid w:val="00870D6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moon@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210</TotalTime>
  <Pages>16</Pages>
  <Words>7896</Words>
  <Characters>45008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Heather L. Moon</cp:lastModifiedBy>
  <cp:revision>66</cp:revision>
  <cp:lastPrinted>2021-03-03T00:07:00Z</cp:lastPrinted>
  <dcterms:created xsi:type="dcterms:W3CDTF">2021-09-22T15:01:00Z</dcterms:created>
  <dcterms:modified xsi:type="dcterms:W3CDTF">2024-03-08T15:18:00Z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