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9FF84" w14:textId="77777777" w:rsidR="009159EA" w:rsidRDefault="00F233FB" w:rsidP="00F233F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Assignment – 3 (AI in Finance)</w:t>
      </w:r>
      <w:r w:rsidR="009159EA">
        <w:rPr>
          <w:sz w:val="20"/>
          <w:szCs w:val="20"/>
          <w:lang w:val="en-US"/>
        </w:rPr>
        <w:t xml:space="preserve"> </w:t>
      </w:r>
    </w:p>
    <w:p w14:paraId="08227E51" w14:textId="23DCBD30" w:rsidR="00362066" w:rsidRDefault="009159EA" w:rsidP="00F233F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By: Viren Varma</w:t>
      </w:r>
    </w:p>
    <w:p w14:paraId="04F71798" w14:textId="77777777" w:rsidR="00F233FB" w:rsidRPr="00F233FB" w:rsidRDefault="00F233FB" w:rsidP="00F233FB">
      <w:pPr>
        <w:rPr>
          <w:b/>
          <w:bCs/>
          <w:sz w:val="20"/>
          <w:szCs w:val="20"/>
        </w:rPr>
      </w:pPr>
      <w:r w:rsidRPr="00F233FB">
        <w:rPr>
          <w:b/>
          <w:bCs/>
          <w:sz w:val="20"/>
          <w:szCs w:val="20"/>
        </w:rPr>
        <w:t>Selected Variables and Explanations for Bankruptcy Prediction</w:t>
      </w:r>
    </w:p>
    <w:p w14:paraId="1650CDAE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Total Assets (at)</w:t>
      </w:r>
      <w:r w:rsidRPr="00F233FB">
        <w:rPr>
          <w:sz w:val="20"/>
          <w:szCs w:val="20"/>
        </w:rPr>
        <w:br/>
        <w:t>Description: Represents the total assets of a company, reflecting the company's size and financial health.</w:t>
      </w:r>
      <w:r w:rsidRPr="00F233FB">
        <w:rPr>
          <w:sz w:val="20"/>
          <w:szCs w:val="20"/>
        </w:rPr>
        <w:br/>
        <w:t>Metric: Used to calculate ratios such as Debt-to-Assets and Return on Assets.</w:t>
      </w:r>
    </w:p>
    <w:p w14:paraId="34EF4D2D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Total Liabilities (</w:t>
      </w:r>
      <w:proofErr w:type="spellStart"/>
      <w:r w:rsidRPr="00F233FB">
        <w:rPr>
          <w:b/>
          <w:bCs/>
          <w:sz w:val="20"/>
          <w:szCs w:val="20"/>
        </w:rPr>
        <w:t>lt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Indicates total liabilities, crucial for understanding the company's debt burden.</w:t>
      </w:r>
      <w:r w:rsidRPr="00F233FB">
        <w:rPr>
          <w:sz w:val="20"/>
          <w:szCs w:val="20"/>
        </w:rPr>
        <w:br/>
        <w:t>Metric: Debt-to-Equity ratio, Debt-to-Assets ratio.</w:t>
      </w:r>
    </w:p>
    <w:p w14:paraId="5B707D54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Common Equity (</w:t>
      </w:r>
      <w:proofErr w:type="spellStart"/>
      <w:r w:rsidRPr="00F233FB">
        <w:rPr>
          <w:b/>
          <w:bCs/>
          <w:sz w:val="20"/>
          <w:szCs w:val="20"/>
        </w:rPr>
        <w:t>ceq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Measures the value of shareholders' equity, reflecting the company's net worth.</w:t>
      </w:r>
      <w:r w:rsidRPr="00F233FB">
        <w:rPr>
          <w:sz w:val="20"/>
          <w:szCs w:val="20"/>
        </w:rPr>
        <w:br/>
        <w:t>Metric: Debt-to-Equity ratio.</w:t>
      </w:r>
    </w:p>
    <w:p w14:paraId="0584F262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Common Shares Outstanding (</w:t>
      </w:r>
      <w:proofErr w:type="spellStart"/>
      <w:r w:rsidRPr="00F233FB">
        <w:rPr>
          <w:b/>
          <w:bCs/>
          <w:sz w:val="20"/>
          <w:szCs w:val="20"/>
        </w:rPr>
        <w:t>csho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Represents the number of shares outstanding, aiding in per-share value calculations.</w:t>
      </w:r>
      <w:r w:rsidRPr="00F233FB">
        <w:rPr>
          <w:sz w:val="20"/>
          <w:szCs w:val="20"/>
        </w:rPr>
        <w:br/>
        <w:t>Metric: Earnings per Share (EPS).</w:t>
      </w:r>
    </w:p>
    <w:p w14:paraId="58535E89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Total Revenue (</w:t>
      </w:r>
      <w:proofErr w:type="spellStart"/>
      <w:r w:rsidRPr="00F233FB">
        <w:rPr>
          <w:b/>
          <w:bCs/>
          <w:sz w:val="20"/>
          <w:szCs w:val="20"/>
        </w:rPr>
        <w:t>revt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Measures total revenue generated by the company, essential for profitability metrics.</w:t>
      </w:r>
      <w:r w:rsidRPr="00F233FB">
        <w:rPr>
          <w:sz w:val="20"/>
          <w:szCs w:val="20"/>
        </w:rPr>
        <w:br/>
        <w:t>Metric: Profit Margin, Revenue Growth.</w:t>
      </w:r>
    </w:p>
    <w:p w14:paraId="115E8BCF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Cost of Goods Sold (cogs)</w:t>
      </w:r>
      <w:r w:rsidRPr="00F233FB">
        <w:rPr>
          <w:sz w:val="20"/>
          <w:szCs w:val="20"/>
        </w:rPr>
        <w:br/>
        <w:t>Description: Shows the direct costs attributable to the production of goods sold, critical for margin analysis.</w:t>
      </w:r>
      <w:r w:rsidRPr="00F233FB">
        <w:rPr>
          <w:sz w:val="20"/>
          <w:szCs w:val="20"/>
        </w:rPr>
        <w:br/>
        <w:t>Metric: Gross Profit Margin.</w:t>
      </w:r>
    </w:p>
    <w:p w14:paraId="73263619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Selling, General, and Administrative Expenses (</w:t>
      </w:r>
      <w:proofErr w:type="spellStart"/>
      <w:r w:rsidRPr="00F233FB">
        <w:rPr>
          <w:b/>
          <w:bCs/>
          <w:sz w:val="20"/>
          <w:szCs w:val="20"/>
        </w:rPr>
        <w:t>xsga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 xml:space="preserve">Description: Tracks overhead expenses, important for </w:t>
      </w:r>
      <w:proofErr w:type="spellStart"/>
      <w:r w:rsidRPr="00F233FB">
        <w:rPr>
          <w:sz w:val="20"/>
          <w:szCs w:val="20"/>
        </w:rPr>
        <w:t>analyzing</w:t>
      </w:r>
      <w:proofErr w:type="spellEnd"/>
      <w:r w:rsidRPr="00F233FB">
        <w:rPr>
          <w:sz w:val="20"/>
          <w:szCs w:val="20"/>
        </w:rPr>
        <w:t xml:space="preserve"> operating efficiency.</w:t>
      </w:r>
      <w:r w:rsidRPr="00F233FB">
        <w:rPr>
          <w:sz w:val="20"/>
          <w:szCs w:val="20"/>
        </w:rPr>
        <w:br/>
        <w:t>Metric: Operating Margin.</w:t>
      </w:r>
    </w:p>
    <w:p w14:paraId="1BF65C3D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Net Income (</w:t>
      </w:r>
      <w:proofErr w:type="spellStart"/>
      <w:r w:rsidRPr="00F233FB">
        <w:rPr>
          <w:b/>
          <w:bCs/>
          <w:sz w:val="20"/>
          <w:szCs w:val="20"/>
        </w:rPr>
        <w:t>ni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Indicates profitability after all expenses, crucial for assessing overall performance.</w:t>
      </w:r>
      <w:r w:rsidRPr="00F233FB">
        <w:rPr>
          <w:sz w:val="20"/>
          <w:szCs w:val="20"/>
        </w:rPr>
        <w:br/>
        <w:t>Metric: Profit Margin, Return on Equity.</w:t>
      </w:r>
    </w:p>
    <w:p w14:paraId="553D4D13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Operating Cash Flow (</w:t>
      </w:r>
      <w:proofErr w:type="spellStart"/>
      <w:r w:rsidRPr="00F233FB">
        <w:rPr>
          <w:b/>
          <w:bCs/>
          <w:sz w:val="20"/>
          <w:szCs w:val="20"/>
        </w:rPr>
        <w:t>oancf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Measures cash generated from operations, highlighting the company's ability to generate cash.</w:t>
      </w:r>
      <w:r w:rsidRPr="00F233FB">
        <w:rPr>
          <w:sz w:val="20"/>
          <w:szCs w:val="20"/>
        </w:rPr>
        <w:br/>
        <w:t>Metric: Cash Flow to Debt Ratio.</w:t>
      </w:r>
    </w:p>
    <w:p w14:paraId="2BC2C598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Capital Expenditures (</w:t>
      </w:r>
      <w:proofErr w:type="spellStart"/>
      <w:r w:rsidRPr="00F233FB">
        <w:rPr>
          <w:b/>
          <w:bCs/>
          <w:sz w:val="20"/>
          <w:szCs w:val="20"/>
        </w:rPr>
        <w:t>capx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Indicates investment in capital assets, used to assess the company's reinvestment strategy.</w:t>
      </w:r>
      <w:r w:rsidRPr="00F233FB">
        <w:rPr>
          <w:sz w:val="20"/>
          <w:szCs w:val="20"/>
        </w:rPr>
        <w:br/>
        <w:t>Metric: Capital Expenditure Ratio.</w:t>
      </w:r>
    </w:p>
    <w:p w14:paraId="6A231D13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Earnings Before Interest and Taxes (</w:t>
      </w:r>
      <w:proofErr w:type="spellStart"/>
      <w:r w:rsidRPr="00F233FB">
        <w:rPr>
          <w:b/>
          <w:bCs/>
          <w:sz w:val="20"/>
          <w:szCs w:val="20"/>
        </w:rPr>
        <w:t>ebit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Reflects the core operational profitability before financial costs.</w:t>
      </w:r>
      <w:r w:rsidRPr="00F233FB">
        <w:rPr>
          <w:sz w:val="20"/>
          <w:szCs w:val="20"/>
        </w:rPr>
        <w:br/>
        <w:t>Metric: Interest Coverage Ratio.</w:t>
      </w:r>
    </w:p>
    <w:p w14:paraId="601F5F55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lastRenderedPageBreak/>
        <w:t>Earnings Before Interest, Taxes, Depreciation, and Amortization (</w:t>
      </w:r>
      <w:proofErr w:type="spellStart"/>
      <w:r w:rsidRPr="00F233FB">
        <w:rPr>
          <w:b/>
          <w:bCs/>
          <w:sz w:val="20"/>
          <w:szCs w:val="20"/>
        </w:rPr>
        <w:t>ebitda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Assesses operating performance by eliminating non-operational factors.</w:t>
      </w:r>
      <w:r w:rsidRPr="00F233FB">
        <w:rPr>
          <w:sz w:val="20"/>
          <w:szCs w:val="20"/>
        </w:rPr>
        <w:br/>
        <w:t>Metric: EBITDA Margin.</w:t>
      </w:r>
    </w:p>
    <w:p w14:paraId="2E991C44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Long-Term Debt (</w:t>
      </w:r>
      <w:proofErr w:type="spellStart"/>
      <w:r w:rsidRPr="00F233FB">
        <w:rPr>
          <w:b/>
          <w:bCs/>
          <w:sz w:val="20"/>
          <w:szCs w:val="20"/>
        </w:rPr>
        <w:t>dltt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Represents long-term obligations, crucial for assessing financial leverage.</w:t>
      </w:r>
      <w:r w:rsidRPr="00F233FB">
        <w:rPr>
          <w:sz w:val="20"/>
          <w:szCs w:val="20"/>
        </w:rPr>
        <w:br/>
        <w:t>Metric: Debt-to-Equity, Long-Term Debt Ratio.</w:t>
      </w:r>
    </w:p>
    <w:p w14:paraId="42DE351E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Current Debt (</w:t>
      </w:r>
      <w:proofErr w:type="spellStart"/>
      <w:r w:rsidRPr="00F233FB">
        <w:rPr>
          <w:b/>
          <w:bCs/>
          <w:sz w:val="20"/>
          <w:szCs w:val="20"/>
        </w:rPr>
        <w:t>dlc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Short-term liabilities, essential for liquidity and short-term solvency analysis.</w:t>
      </w:r>
      <w:r w:rsidRPr="00F233FB">
        <w:rPr>
          <w:sz w:val="20"/>
          <w:szCs w:val="20"/>
        </w:rPr>
        <w:br/>
        <w:t>Metric: Current Ratio.</w:t>
      </w:r>
    </w:p>
    <w:p w14:paraId="61A8A6A0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Current Assets (act)</w:t>
      </w:r>
      <w:r w:rsidRPr="00F233FB">
        <w:rPr>
          <w:sz w:val="20"/>
          <w:szCs w:val="20"/>
        </w:rPr>
        <w:br/>
        <w:t>Description: Measures assets expected to be converted into cash within a year.</w:t>
      </w:r>
      <w:r w:rsidRPr="00F233FB">
        <w:rPr>
          <w:sz w:val="20"/>
          <w:szCs w:val="20"/>
        </w:rPr>
        <w:br/>
        <w:t>Metric: Current Ratio, Quick Ratio.</w:t>
      </w:r>
    </w:p>
    <w:p w14:paraId="1E0D2317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Current Liabilities (</w:t>
      </w:r>
      <w:proofErr w:type="spellStart"/>
      <w:r w:rsidRPr="00F233FB">
        <w:rPr>
          <w:b/>
          <w:bCs/>
          <w:sz w:val="20"/>
          <w:szCs w:val="20"/>
        </w:rPr>
        <w:t>lct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Represents short-term obligations due within a year.</w:t>
      </w:r>
      <w:r w:rsidRPr="00F233FB">
        <w:rPr>
          <w:sz w:val="20"/>
          <w:szCs w:val="20"/>
        </w:rPr>
        <w:br/>
        <w:t>Metric: Current Ratio, Quick Ratio.</w:t>
      </w:r>
    </w:p>
    <w:p w14:paraId="7907F076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Short-Term Investments (</w:t>
      </w:r>
      <w:proofErr w:type="spellStart"/>
      <w:r w:rsidRPr="00F233FB">
        <w:rPr>
          <w:b/>
          <w:bCs/>
          <w:sz w:val="20"/>
          <w:szCs w:val="20"/>
        </w:rPr>
        <w:t>ivst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Measures investments that can be easily liquidated.</w:t>
      </w:r>
      <w:r w:rsidRPr="00F233FB">
        <w:rPr>
          <w:sz w:val="20"/>
          <w:szCs w:val="20"/>
        </w:rPr>
        <w:br/>
        <w:t>Metric: Cash Ratio.</w:t>
      </w:r>
    </w:p>
    <w:p w14:paraId="40A0C72B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Other Investments (</w:t>
      </w:r>
      <w:proofErr w:type="spellStart"/>
      <w:r w:rsidRPr="00F233FB">
        <w:rPr>
          <w:b/>
          <w:bCs/>
          <w:sz w:val="20"/>
          <w:szCs w:val="20"/>
        </w:rPr>
        <w:t>ivao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Tracks long-term investments not part of operations, relevant for evaluating asset quality.</w:t>
      </w:r>
      <w:r w:rsidRPr="00F233FB">
        <w:rPr>
          <w:sz w:val="20"/>
          <w:szCs w:val="20"/>
        </w:rPr>
        <w:br/>
        <w:t>Metric: Total Investment to Assets Ratio.</w:t>
      </w:r>
    </w:p>
    <w:p w14:paraId="73059077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Cash and Cash Equivalents (capr1)</w:t>
      </w:r>
      <w:r w:rsidRPr="00F233FB">
        <w:rPr>
          <w:sz w:val="20"/>
          <w:szCs w:val="20"/>
        </w:rPr>
        <w:br/>
        <w:t>Description: Tracks liquid cash, important for liquidity analysis.</w:t>
      </w:r>
      <w:r w:rsidRPr="00F233FB">
        <w:rPr>
          <w:sz w:val="20"/>
          <w:szCs w:val="20"/>
        </w:rPr>
        <w:br/>
        <w:t>Metric: Cash Ratio.</w:t>
      </w:r>
    </w:p>
    <w:p w14:paraId="378408E3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Property, Plant, and Equipment Gross (</w:t>
      </w:r>
      <w:proofErr w:type="spellStart"/>
      <w:r w:rsidRPr="00F233FB">
        <w:rPr>
          <w:b/>
          <w:bCs/>
          <w:sz w:val="20"/>
          <w:szCs w:val="20"/>
        </w:rPr>
        <w:t>ppegt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Represents investment in fixed assets.</w:t>
      </w:r>
      <w:r w:rsidRPr="00F233FB">
        <w:rPr>
          <w:sz w:val="20"/>
          <w:szCs w:val="20"/>
        </w:rPr>
        <w:br/>
        <w:t>Metric: Asset Turnover Ratio.</w:t>
      </w:r>
    </w:p>
    <w:p w14:paraId="5F55B645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Goodwill (</w:t>
      </w:r>
      <w:proofErr w:type="spellStart"/>
      <w:r w:rsidRPr="00F233FB">
        <w:rPr>
          <w:b/>
          <w:bCs/>
          <w:sz w:val="20"/>
          <w:szCs w:val="20"/>
        </w:rPr>
        <w:t>gdwl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Measures the value of acquired intangible assets, relevant for assessing asset quality and impairment risks.</w:t>
      </w:r>
      <w:r w:rsidRPr="00F233FB">
        <w:rPr>
          <w:sz w:val="20"/>
          <w:szCs w:val="20"/>
        </w:rPr>
        <w:br/>
        <w:t>Metric: Goodwill to Assets Ratio.</w:t>
      </w:r>
    </w:p>
    <w:p w14:paraId="763E4BAE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Intangible Assets (</w:t>
      </w:r>
      <w:proofErr w:type="spellStart"/>
      <w:r w:rsidRPr="00F233FB">
        <w:rPr>
          <w:b/>
          <w:bCs/>
          <w:sz w:val="20"/>
          <w:szCs w:val="20"/>
        </w:rPr>
        <w:t>intan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Reflects non-physical assets, crucial for evaluating long-term value creation potential.</w:t>
      </w:r>
      <w:r w:rsidRPr="00F233FB">
        <w:rPr>
          <w:sz w:val="20"/>
          <w:szCs w:val="20"/>
        </w:rPr>
        <w:br/>
        <w:t>Metric: Intangible to Total Assets Ratio.</w:t>
      </w:r>
    </w:p>
    <w:p w14:paraId="4EEA5183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Deferred Taxes (</w:t>
      </w:r>
      <w:proofErr w:type="spellStart"/>
      <w:r w:rsidRPr="00F233FB">
        <w:rPr>
          <w:b/>
          <w:bCs/>
          <w:sz w:val="20"/>
          <w:szCs w:val="20"/>
        </w:rPr>
        <w:t>txdb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Represents taxes delayed for future payment, highlighting potential future liabilities.</w:t>
      </w:r>
      <w:r w:rsidRPr="00F233FB">
        <w:rPr>
          <w:sz w:val="20"/>
          <w:szCs w:val="20"/>
        </w:rPr>
        <w:br/>
        <w:t>Metric: Deferred Tax Ratio.</w:t>
      </w:r>
    </w:p>
    <w:p w14:paraId="0E45FFCF" w14:textId="77777777" w:rsidR="00F233FB" w:rsidRP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Interest Expense (</w:t>
      </w:r>
      <w:proofErr w:type="spellStart"/>
      <w:r w:rsidRPr="00F233FB">
        <w:rPr>
          <w:b/>
          <w:bCs/>
          <w:sz w:val="20"/>
          <w:szCs w:val="20"/>
        </w:rPr>
        <w:t>xint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 xml:space="preserve">Description: Measures the cost of borrowed funds, critical for understanding financial risk and </w:t>
      </w:r>
      <w:r w:rsidRPr="00F233FB">
        <w:rPr>
          <w:sz w:val="20"/>
          <w:szCs w:val="20"/>
        </w:rPr>
        <w:lastRenderedPageBreak/>
        <w:t>leverage.</w:t>
      </w:r>
      <w:r w:rsidRPr="00F233FB">
        <w:rPr>
          <w:sz w:val="20"/>
          <w:szCs w:val="20"/>
        </w:rPr>
        <w:br/>
        <w:t>Metric: Interest Coverage Ratio.</w:t>
      </w:r>
    </w:p>
    <w:p w14:paraId="434716A6" w14:textId="404123CF" w:rsidR="00F233FB" w:rsidRDefault="00F233FB" w:rsidP="00F233FB">
      <w:pPr>
        <w:numPr>
          <w:ilvl w:val="0"/>
          <w:numId w:val="2"/>
        </w:numPr>
        <w:rPr>
          <w:sz w:val="20"/>
          <w:szCs w:val="20"/>
        </w:rPr>
      </w:pPr>
      <w:r w:rsidRPr="00F233FB">
        <w:rPr>
          <w:b/>
          <w:bCs/>
          <w:sz w:val="20"/>
          <w:szCs w:val="20"/>
        </w:rPr>
        <w:t>Working Capital (</w:t>
      </w:r>
      <w:proofErr w:type="spellStart"/>
      <w:r w:rsidRPr="00F233FB">
        <w:rPr>
          <w:b/>
          <w:bCs/>
          <w:sz w:val="20"/>
          <w:szCs w:val="20"/>
        </w:rPr>
        <w:t>wcap</w:t>
      </w:r>
      <w:proofErr w:type="spellEnd"/>
      <w:r w:rsidRPr="00F233FB">
        <w:rPr>
          <w:b/>
          <w:bCs/>
          <w:sz w:val="20"/>
          <w:szCs w:val="20"/>
        </w:rPr>
        <w:t>)</w:t>
      </w:r>
      <w:r w:rsidRPr="00F233FB">
        <w:rPr>
          <w:sz w:val="20"/>
          <w:szCs w:val="20"/>
        </w:rPr>
        <w:br/>
        <w:t>Description: Represents the difference between current assets and current liabilities, a key measure of operational liquidity.</w:t>
      </w:r>
      <w:r w:rsidRPr="00F233FB">
        <w:rPr>
          <w:sz w:val="20"/>
          <w:szCs w:val="20"/>
        </w:rPr>
        <w:br/>
        <w:t>Metric: Working Capital to Assets Ratio.</w:t>
      </w:r>
    </w:p>
    <w:p w14:paraId="265B550E" w14:textId="0A6F0607" w:rsidR="000268FC" w:rsidRDefault="000268FC" w:rsidP="000268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Correlation Matrix:</w:t>
      </w:r>
    </w:p>
    <w:p w14:paraId="1E312FF4" w14:textId="63E3CE99" w:rsidR="000268FC" w:rsidRDefault="000268FC" w:rsidP="000268F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79C0F0" wp14:editId="73085819">
            <wp:extent cx="5731510" cy="4093845"/>
            <wp:effectExtent l="0" t="0" r="0" b="0"/>
            <wp:docPr id="44176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14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48B0" w14:textId="77777777" w:rsidR="000268FC" w:rsidRDefault="000268FC" w:rsidP="000268FC">
      <w:pPr>
        <w:rPr>
          <w:sz w:val="20"/>
          <w:szCs w:val="20"/>
        </w:rPr>
      </w:pPr>
    </w:p>
    <w:p w14:paraId="73A5850C" w14:textId="77777777" w:rsidR="000268FC" w:rsidRPr="000268FC" w:rsidRDefault="000268FC" w:rsidP="000268FC">
      <w:pPr>
        <w:rPr>
          <w:b/>
          <w:bCs/>
          <w:sz w:val="20"/>
          <w:szCs w:val="20"/>
        </w:rPr>
      </w:pPr>
      <w:r w:rsidRPr="000268FC">
        <w:rPr>
          <w:b/>
          <w:bCs/>
          <w:sz w:val="20"/>
          <w:szCs w:val="20"/>
        </w:rPr>
        <w:t>Highly Correlated Pairs of Variables</w:t>
      </w:r>
    </w:p>
    <w:p w14:paraId="2FEE0F67" w14:textId="77777777" w:rsidR="000268FC" w:rsidRPr="000268FC" w:rsidRDefault="000268FC" w:rsidP="000268FC">
      <w:pPr>
        <w:rPr>
          <w:sz w:val="20"/>
          <w:szCs w:val="20"/>
        </w:rPr>
      </w:pPr>
      <w:r w:rsidRPr="000268FC">
        <w:rPr>
          <w:sz w:val="20"/>
          <w:szCs w:val="20"/>
        </w:rPr>
        <w:t>Operating Margin and EBITDA Margin</w:t>
      </w:r>
      <w:r w:rsidRPr="000268FC">
        <w:rPr>
          <w:sz w:val="20"/>
          <w:szCs w:val="20"/>
        </w:rPr>
        <w:br/>
        <w:t>Correlation: 1.00</w:t>
      </w:r>
      <w:r w:rsidRPr="000268FC">
        <w:rPr>
          <w:sz w:val="20"/>
          <w:szCs w:val="20"/>
        </w:rPr>
        <w:br/>
        <w:t>Total Assets (at) and Total Liabilities (</w:t>
      </w:r>
      <w:proofErr w:type="spellStart"/>
      <w:r w:rsidRPr="000268FC">
        <w:rPr>
          <w:sz w:val="20"/>
          <w:szCs w:val="20"/>
        </w:rPr>
        <w:t>lt</w:t>
      </w:r>
      <w:proofErr w:type="spellEnd"/>
      <w:r w:rsidRPr="000268FC">
        <w:rPr>
          <w:sz w:val="20"/>
          <w:szCs w:val="20"/>
        </w:rPr>
        <w:t>)</w:t>
      </w:r>
      <w:r w:rsidRPr="000268FC">
        <w:rPr>
          <w:sz w:val="20"/>
          <w:szCs w:val="20"/>
        </w:rPr>
        <w:br/>
        <w:t>Correlation: 1.00</w:t>
      </w:r>
      <w:r w:rsidRPr="000268FC">
        <w:rPr>
          <w:sz w:val="20"/>
          <w:szCs w:val="20"/>
        </w:rPr>
        <w:br/>
        <w:t>Current Ratio and Quick Ratio</w:t>
      </w:r>
      <w:r w:rsidRPr="000268FC">
        <w:rPr>
          <w:sz w:val="20"/>
          <w:szCs w:val="20"/>
        </w:rPr>
        <w:br/>
        <w:t>Correlation: 0.99</w:t>
      </w:r>
      <w:r w:rsidRPr="000268FC">
        <w:rPr>
          <w:sz w:val="20"/>
          <w:szCs w:val="20"/>
        </w:rPr>
        <w:br/>
        <w:t>Debt-to-Assets and Working Capital to Assets</w:t>
      </w:r>
      <w:r w:rsidRPr="000268FC">
        <w:rPr>
          <w:sz w:val="20"/>
          <w:szCs w:val="20"/>
        </w:rPr>
        <w:br/>
        <w:t>Correlation: -0.98</w:t>
      </w:r>
      <w:r w:rsidRPr="000268FC">
        <w:rPr>
          <w:sz w:val="20"/>
          <w:szCs w:val="20"/>
        </w:rPr>
        <w:br/>
        <w:t>Goodwill (</w:t>
      </w:r>
      <w:proofErr w:type="spellStart"/>
      <w:r w:rsidRPr="000268FC">
        <w:rPr>
          <w:sz w:val="20"/>
          <w:szCs w:val="20"/>
        </w:rPr>
        <w:t>gdwl</w:t>
      </w:r>
      <w:proofErr w:type="spellEnd"/>
      <w:r w:rsidRPr="000268FC">
        <w:rPr>
          <w:sz w:val="20"/>
          <w:szCs w:val="20"/>
        </w:rPr>
        <w:t>) and Intangible Assets (</w:t>
      </w:r>
      <w:proofErr w:type="spellStart"/>
      <w:r w:rsidRPr="000268FC">
        <w:rPr>
          <w:sz w:val="20"/>
          <w:szCs w:val="20"/>
        </w:rPr>
        <w:t>intan</w:t>
      </w:r>
      <w:proofErr w:type="spellEnd"/>
      <w:r w:rsidRPr="000268FC">
        <w:rPr>
          <w:sz w:val="20"/>
          <w:szCs w:val="20"/>
        </w:rPr>
        <w:t>)</w:t>
      </w:r>
      <w:r w:rsidRPr="000268FC">
        <w:rPr>
          <w:sz w:val="20"/>
          <w:szCs w:val="20"/>
        </w:rPr>
        <w:br/>
        <w:t>Correlation: 0.92</w:t>
      </w:r>
      <w:r w:rsidRPr="000268FC">
        <w:rPr>
          <w:sz w:val="20"/>
          <w:szCs w:val="20"/>
        </w:rPr>
        <w:br/>
        <w:t>Total Revenue (</w:t>
      </w:r>
      <w:proofErr w:type="spellStart"/>
      <w:r w:rsidRPr="000268FC">
        <w:rPr>
          <w:sz w:val="20"/>
          <w:szCs w:val="20"/>
        </w:rPr>
        <w:t>revt</w:t>
      </w:r>
      <w:proofErr w:type="spellEnd"/>
      <w:r w:rsidRPr="000268FC">
        <w:rPr>
          <w:sz w:val="20"/>
          <w:szCs w:val="20"/>
        </w:rPr>
        <w:t>) and Cost of Goods Sold (cogs)</w:t>
      </w:r>
      <w:r w:rsidRPr="000268FC">
        <w:rPr>
          <w:sz w:val="20"/>
          <w:szCs w:val="20"/>
        </w:rPr>
        <w:br/>
        <w:t>Correlation: 0.92</w:t>
      </w:r>
      <w:r w:rsidRPr="000268FC">
        <w:rPr>
          <w:sz w:val="20"/>
          <w:szCs w:val="20"/>
        </w:rPr>
        <w:br/>
        <w:t>Capital Expenditures (</w:t>
      </w:r>
      <w:proofErr w:type="spellStart"/>
      <w:r w:rsidRPr="000268FC">
        <w:rPr>
          <w:sz w:val="20"/>
          <w:szCs w:val="20"/>
        </w:rPr>
        <w:t>capx</w:t>
      </w:r>
      <w:proofErr w:type="spellEnd"/>
      <w:r w:rsidRPr="000268FC">
        <w:rPr>
          <w:sz w:val="20"/>
          <w:szCs w:val="20"/>
        </w:rPr>
        <w:t>) and Depreciation (</w:t>
      </w:r>
      <w:proofErr w:type="spellStart"/>
      <w:r w:rsidRPr="000268FC">
        <w:rPr>
          <w:sz w:val="20"/>
          <w:szCs w:val="20"/>
        </w:rPr>
        <w:t>dp</w:t>
      </w:r>
      <w:proofErr w:type="spellEnd"/>
      <w:r w:rsidRPr="000268FC">
        <w:rPr>
          <w:sz w:val="20"/>
          <w:szCs w:val="20"/>
        </w:rPr>
        <w:t>)</w:t>
      </w:r>
      <w:r w:rsidRPr="000268FC">
        <w:rPr>
          <w:sz w:val="20"/>
          <w:szCs w:val="20"/>
        </w:rPr>
        <w:br/>
        <w:t>Correlation: 0.84</w:t>
      </w:r>
      <w:r w:rsidRPr="000268FC">
        <w:rPr>
          <w:sz w:val="20"/>
          <w:szCs w:val="20"/>
        </w:rPr>
        <w:br/>
      </w:r>
      <w:r w:rsidRPr="000268FC">
        <w:rPr>
          <w:sz w:val="20"/>
          <w:szCs w:val="20"/>
        </w:rPr>
        <w:lastRenderedPageBreak/>
        <w:t>Accounts Payable (ap) and Cash Equivalents (</w:t>
      </w:r>
      <w:proofErr w:type="spellStart"/>
      <w:r w:rsidRPr="000268FC">
        <w:rPr>
          <w:sz w:val="20"/>
          <w:szCs w:val="20"/>
        </w:rPr>
        <w:t>che</w:t>
      </w:r>
      <w:proofErr w:type="spellEnd"/>
      <w:r w:rsidRPr="000268FC">
        <w:rPr>
          <w:sz w:val="20"/>
          <w:szCs w:val="20"/>
        </w:rPr>
        <w:t>)</w:t>
      </w:r>
      <w:r w:rsidRPr="000268FC">
        <w:rPr>
          <w:sz w:val="20"/>
          <w:szCs w:val="20"/>
        </w:rPr>
        <w:br/>
        <w:t>Correlation: 0.82</w:t>
      </w:r>
      <w:r w:rsidRPr="000268FC">
        <w:rPr>
          <w:sz w:val="20"/>
          <w:szCs w:val="20"/>
        </w:rPr>
        <w:br/>
        <w:t>Goodwill to Assets and Intangible to Total Assets</w:t>
      </w:r>
      <w:r w:rsidRPr="000268FC">
        <w:rPr>
          <w:sz w:val="20"/>
          <w:szCs w:val="20"/>
        </w:rPr>
        <w:br/>
        <w:t>Correlation: 0.80</w:t>
      </w:r>
    </w:p>
    <w:p w14:paraId="1F406B59" w14:textId="77777777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The analysis reveals several key points:</w:t>
      </w:r>
    </w:p>
    <w:p w14:paraId="0562EB49" w14:textId="7BCDCAF2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Operating Margin and EBITDA Margin</w:t>
      </w:r>
      <w:r w:rsidRPr="00C70A85">
        <w:rPr>
          <w:sz w:val="20"/>
          <w:szCs w:val="20"/>
        </w:rPr>
        <w:br/>
        <w:t>Correlation: 1.00</w:t>
      </w:r>
      <w:r w:rsidRPr="00C70A85">
        <w:rPr>
          <w:sz w:val="20"/>
          <w:szCs w:val="20"/>
        </w:rPr>
        <w:br/>
        <w:t xml:space="preserve">Indicating they provide similar information. </w:t>
      </w:r>
      <w:r>
        <w:rPr>
          <w:sz w:val="20"/>
          <w:szCs w:val="20"/>
        </w:rPr>
        <w:t>I r</w:t>
      </w:r>
      <w:r w:rsidRPr="00C70A85">
        <w:rPr>
          <w:sz w:val="20"/>
          <w:szCs w:val="20"/>
        </w:rPr>
        <w:t>etain</w:t>
      </w:r>
      <w:r>
        <w:rPr>
          <w:sz w:val="20"/>
          <w:szCs w:val="20"/>
        </w:rPr>
        <w:t>ed</w:t>
      </w:r>
      <w:r w:rsidRPr="00C70A85">
        <w:rPr>
          <w:sz w:val="20"/>
          <w:szCs w:val="20"/>
        </w:rPr>
        <w:t xml:space="preserve"> only one</w:t>
      </w:r>
      <w:r>
        <w:rPr>
          <w:sz w:val="20"/>
          <w:szCs w:val="20"/>
        </w:rPr>
        <w:t xml:space="preserve"> using PCA</w:t>
      </w:r>
      <w:r w:rsidRPr="00C70A85">
        <w:rPr>
          <w:sz w:val="20"/>
          <w:szCs w:val="20"/>
        </w:rPr>
        <w:t xml:space="preserve"> to avoid redundancy.</w:t>
      </w:r>
    </w:p>
    <w:p w14:paraId="3EE8FA9B" w14:textId="75D06AB9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Total Assets and Total Liabilities</w:t>
      </w:r>
      <w:r w:rsidRPr="00C70A85">
        <w:rPr>
          <w:sz w:val="20"/>
          <w:szCs w:val="20"/>
        </w:rPr>
        <w:br/>
        <w:t>Correlation: 1.00</w:t>
      </w:r>
      <w:r w:rsidRPr="00C70A85">
        <w:rPr>
          <w:sz w:val="20"/>
          <w:szCs w:val="20"/>
        </w:rPr>
        <w:br/>
        <w:t xml:space="preserve">Reflecting the fundamental accounting equation. </w:t>
      </w:r>
      <w:r>
        <w:rPr>
          <w:sz w:val="20"/>
          <w:szCs w:val="20"/>
        </w:rPr>
        <w:t>I c</w:t>
      </w:r>
      <w:r w:rsidRPr="00C70A85">
        <w:rPr>
          <w:sz w:val="20"/>
          <w:szCs w:val="20"/>
        </w:rPr>
        <w:t>hoose one</w:t>
      </w:r>
      <w:r>
        <w:rPr>
          <w:sz w:val="20"/>
          <w:szCs w:val="20"/>
        </w:rPr>
        <w:t xml:space="preserve"> using PCA</w:t>
      </w:r>
      <w:r w:rsidRPr="00C70A85">
        <w:rPr>
          <w:sz w:val="20"/>
          <w:szCs w:val="20"/>
        </w:rPr>
        <w:t xml:space="preserve"> to avoid multicollinearity.</w:t>
      </w:r>
    </w:p>
    <w:p w14:paraId="0AE2D0CC" w14:textId="1238F4E5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Current Ratio and Quick Ratio</w:t>
      </w:r>
      <w:r w:rsidRPr="00C70A85">
        <w:rPr>
          <w:sz w:val="20"/>
          <w:szCs w:val="20"/>
        </w:rPr>
        <w:br/>
        <w:t>Correlation: 0.99</w:t>
      </w:r>
      <w:r w:rsidRPr="00C70A85">
        <w:rPr>
          <w:sz w:val="20"/>
          <w:szCs w:val="20"/>
        </w:rPr>
        <w:br/>
        <w:t>Both measure liquidity, but the Quick Ratio is more stringent.</w:t>
      </w:r>
      <w:r>
        <w:rPr>
          <w:sz w:val="20"/>
          <w:szCs w:val="20"/>
        </w:rPr>
        <w:t xml:space="preserve"> I</w:t>
      </w:r>
      <w:r w:rsidRPr="00C70A85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Pr="00C70A85">
        <w:rPr>
          <w:sz w:val="20"/>
          <w:szCs w:val="20"/>
        </w:rPr>
        <w:t>nclude</w:t>
      </w:r>
      <w:r>
        <w:rPr>
          <w:sz w:val="20"/>
          <w:szCs w:val="20"/>
        </w:rPr>
        <w:t>d</w:t>
      </w:r>
      <w:r w:rsidRPr="00C70A85">
        <w:rPr>
          <w:sz w:val="20"/>
          <w:szCs w:val="20"/>
        </w:rPr>
        <w:t xml:space="preserve"> only one to streamline the model.</w:t>
      </w:r>
    </w:p>
    <w:p w14:paraId="3A70D656" w14:textId="77777777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Debt-to-Assets and Working Capital to Assets</w:t>
      </w:r>
      <w:r w:rsidRPr="00C70A85">
        <w:rPr>
          <w:sz w:val="20"/>
          <w:szCs w:val="20"/>
        </w:rPr>
        <w:br/>
        <w:t>Correlation: -0.98</w:t>
      </w:r>
      <w:r w:rsidRPr="00C70A85">
        <w:rPr>
          <w:sz w:val="20"/>
          <w:szCs w:val="20"/>
        </w:rPr>
        <w:br/>
        <w:t>This inverse relationship suggests that as debt increases, working capital relative to assets decreases. Including both might be redundant.</w:t>
      </w:r>
    </w:p>
    <w:p w14:paraId="15DB6BE0" w14:textId="0036A2FE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Goodwill and Intangible Assets</w:t>
      </w:r>
      <w:r w:rsidRPr="00C70A85">
        <w:rPr>
          <w:sz w:val="20"/>
          <w:szCs w:val="20"/>
        </w:rPr>
        <w:br/>
        <w:t>Correlation: 0.92</w:t>
      </w:r>
      <w:r w:rsidRPr="00C70A85">
        <w:rPr>
          <w:sz w:val="20"/>
          <w:szCs w:val="20"/>
        </w:rPr>
        <w:br/>
        <w:t xml:space="preserve">Indicating they often vary together. </w:t>
      </w:r>
      <w:r>
        <w:rPr>
          <w:sz w:val="20"/>
          <w:szCs w:val="20"/>
        </w:rPr>
        <w:t>I c</w:t>
      </w:r>
      <w:r w:rsidRPr="00C70A85">
        <w:rPr>
          <w:sz w:val="20"/>
          <w:szCs w:val="20"/>
        </w:rPr>
        <w:t>onsider</w:t>
      </w:r>
      <w:r>
        <w:rPr>
          <w:sz w:val="20"/>
          <w:szCs w:val="20"/>
        </w:rPr>
        <w:t>ed</w:t>
      </w:r>
      <w:r w:rsidRPr="00C70A85">
        <w:rPr>
          <w:sz w:val="20"/>
          <w:szCs w:val="20"/>
        </w:rPr>
        <w:t xml:space="preserve"> including only one to reduce redundancy.</w:t>
      </w:r>
    </w:p>
    <w:p w14:paraId="1DC6208E" w14:textId="51184750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Total Revenue and Cost of Goods Sold</w:t>
      </w:r>
      <w:r w:rsidRPr="00C70A85">
        <w:rPr>
          <w:sz w:val="20"/>
          <w:szCs w:val="20"/>
        </w:rPr>
        <w:br/>
        <w:t>Correlation: 0.92</w:t>
      </w:r>
      <w:r w:rsidRPr="00C70A85">
        <w:rPr>
          <w:sz w:val="20"/>
          <w:szCs w:val="20"/>
        </w:rPr>
        <w:br/>
        <w:t xml:space="preserve">This relationship is typical and </w:t>
      </w:r>
      <w:r>
        <w:rPr>
          <w:sz w:val="20"/>
          <w:szCs w:val="20"/>
        </w:rPr>
        <w:t>is</w:t>
      </w:r>
      <w:r w:rsidRPr="00C70A85">
        <w:rPr>
          <w:sz w:val="20"/>
          <w:szCs w:val="20"/>
        </w:rPr>
        <w:t xml:space="preserve"> noted as COGS typically scales with revenue.</w:t>
      </w:r>
    </w:p>
    <w:p w14:paraId="54DBB98E" w14:textId="77777777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Capital Expenditures and Depreciation</w:t>
      </w:r>
      <w:r w:rsidRPr="00C70A85">
        <w:rPr>
          <w:sz w:val="20"/>
          <w:szCs w:val="20"/>
        </w:rPr>
        <w:br/>
        <w:t>Correlation: 0.84</w:t>
      </w:r>
      <w:r w:rsidRPr="00C70A85">
        <w:rPr>
          <w:sz w:val="20"/>
          <w:szCs w:val="20"/>
        </w:rPr>
        <w:br/>
        <w:t>Reflecting that higher capital expenditures lead to increased depreciation.</w:t>
      </w:r>
    </w:p>
    <w:p w14:paraId="0C6A71DA" w14:textId="77777777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Accounts Payable and Cash Equivalents</w:t>
      </w:r>
      <w:r w:rsidRPr="00C70A85">
        <w:rPr>
          <w:sz w:val="20"/>
          <w:szCs w:val="20"/>
        </w:rPr>
        <w:br/>
        <w:t>Correlation: 0.82</w:t>
      </w:r>
      <w:r w:rsidRPr="00C70A85">
        <w:rPr>
          <w:sz w:val="20"/>
          <w:szCs w:val="20"/>
        </w:rPr>
        <w:br/>
        <w:t>Suggesting that changes in cash are closely linked to accounts payable.</w:t>
      </w:r>
    </w:p>
    <w:p w14:paraId="6A9E75EF" w14:textId="77777777" w:rsidR="00C70A85" w:rsidRPr="00C70A85" w:rsidRDefault="00C70A85" w:rsidP="00C70A85">
      <w:pPr>
        <w:rPr>
          <w:sz w:val="20"/>
          <w:szCs w:val="20"/>
        </w:rPr>
      </w:pPr>
      <w:r w:rsidRPr="00C70A85">
        <w:rPr>
          <w:sz w:val="20"/>
          <w:szCs w:val="20"/>
        </w:rPr>
        <w:t>Goodwill to Assets and Intangible to Total Assets</w:t>
      </w:r>
      <w:r w:rsidRPr="00C70A85">
        <w:rPr>
          <w:sz w:val="20"/>
          <w:szCs w:val="20"/>
        </w:rPr>
        <w:br/>
        <w:t>Correlation: 0.80</w:t>
      </w:r>
      <w:r w:rsidRPr="00C70A85">
        <w:rPr>
          <w:sz w:val="20"/>
          <w:szCs w:val="20"/>
        </w:rPr>
        <w:br/>
        <w:t>Indicating they move together in relation to asset values.</w:t>
      </w:r>
    </w:p>
    <w:p w14:paraId="766153F9" w14:textId="341230FD" w:rsidR="000268FC" w:rsidRDefault="00C70A85" w:rsidP="000268F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8EE25F7" wp14:editId="2ED94FED">
            <wp:extent cx="5731384" cy="8860790"/>
            <wp:effectExtent l="0" t="0" r="0" b="3810"/>
            <wp:docPr id="1000772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206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2BB5" w14:textId="7A7E986C" w:rsidR="00BC058C" w:rsidRPr="00BC058C" w:rsidRDefault="00BC058C" w:rsidP="00BC058C">
      <w:pPr>
        <w:rPr>
          <w:sz w:val="20"/>
          <w:szCs w:val="20"/>
          <w:lang w:val="en-GB"/>
        </w:rPr>
      </w:pPr>
      <w:r w:rsidRPr="00BC058C">
        <w:rPr>
          <w:sz w:val="20"/>
          <w:szCs w:val="20"/>
          <w:lang w:val="en-GB"/>
        </w:rPr>
        <w:lastRenderedPageBreak/>
        <w:t>Across most variables, such as total assets (at), liabilities (</w:t>
      </w:r>
      <w:proofErr w:type="spellStart"/>
      <w:r w:rsidRPr="00BC058C">
        <w:rPr>
          <w:sz w:val="20"/>
          <w:szCs w:val="20"/>
          <w:lang w:val="en-GB"/>
        </w:rPr>
        <w:t>lt</w:t>
      </w:r>
      <w:proofErr w:type="spellEnd"/>
      <w:r w:rsidRPr="00BC058C">
        <w:rPr>
          <w:sz w:val="20"/>
          <w:szCs w:val="20"/>
          <w:lang w:val="en-GB"/>
        </w:rPr>
        <w:t>), and common equity (</w:t>
      </w:r>
      <w:proofErr w:type="spellStart"/>
      <w:r w:rsidRPr="00BC058C">
        <w:rPr>
          <w:sz w:val="20"/>
          <w:szCs w:val="20"/>
          <w:lang w:val="en-GB"/>
        </w:rPr>
        <w:t>ceq</w:t>
      </w:r>
      <w:proofErr w:type="spellEnd"/>
      <w:r w:rsidRPr="00BC058C">
        <w:rPr>
          <w:sz w:val="20"/>
          <w:szCs w:val="20"/>
          <w:lang w:val="en-GB"/>
        </w:rPr>
        <w:t>), there remains a strong concentration near smaller values, with a sharp decline as the values increase. This pattern suggests that most firms operate at a moderate scale, while only a few reach the higher financial thresholds. Notably, the distribution for net income (</w:t>
      </w:r>
      <w:proofErr w:type="spellStart"/>
      <w:r w:rsidRPr="00BC058C">
        <w:rPr>
          <w:sz w:val="20"/>
          <w:szCs w:val="20"/>
          <w:lang w:val="en-GB"/>
        </w:rPr>
        <w:t>ni</w:t>
      </w:r>
      <w:proofErr w:type="spellEnd"/>
      <w:r w:rsidRPr="00BC058C">
        <w:rPr>
          <w:sz w:val="20"/>
          <w:szCs w:val="20"/>
          <w:lang w:val="en-GB"/>
        </w:rPr>
        <w:t xml:space="preserve">) shows a more pronounced difference between recession and non-recession periods, with recession periods exhibiting a tighter, more negative distribution, indicative of the financial strain firms </w:t>
      </w:r>
      <w:proofErr w:type="gramStart"/>
      <w:r w:rsidRPr="00BC058C">
        <w:rPr>
          <w:sz w:val="20"/>
          <w:szCs w:val="20"/>
          <w:lang w:val="en-GB"/>
        </w:rPr>
        <w:t>experience</w:t>
      </w:r>
      <w:proofErr w:type="gramEnd"/>
      <w:r w:rsidRPr="00BC058C">
        <w:rPr>
          <w:sz w:val="20"/>
          <w:szCs w:val="20"/>
          <w:lang w:val="en-GB"/>
        </w:rPr>
        <w:t xml:space="preserve"> during economic downturns.</w:t>
      </w:r>
    </w:p>
    <w:p w14:paraId="2B2F7DB2" w14:textId="77777777" w:rsidR="00BC058C" w:rsidRDefault="00BC058C" w:rsidP="00BC058C">
      <w:pPr>
        <w:rPr>
          <w:sz w:val="20"/>
          <w:szCs w:val="20"/>
          <w:lang w:val="en-GB"/>
        </w:rPr>
      </w:pPr>
      <w:r w:rsidRPr="00BC058C">
        <w:rPr>
          <w:sz w:val="20"/>
          <w:szCs w:val="20"/>
          <w:lang w:val="en-GB"/>
        </w:rPr>
        <w:t>The cross-sectional analysis shows that even though many variables, such as cash flow from operations (</w:t>
      </w:r>
      <w:proofErr w:type="spellStart"/>
      <w:r w:rsidRPr="00BC058C">
        <w:rPr>
          <w:sz w:val="20"/>
          <w:szCs w:val="20"/>
          <w:lang w:val="en-GB"/>
        </w:rPr>
        <w:t>oancf</w:t>
      </w:r>
      <w:proofErr w:type="spellEnd"/>
      <w:r w:rsidRPr="00BC058C">
        <w:rPr>
          <w:sz w:val="20"/>
          <w:szCs w:val="20"/>
          <w:lang w:val="en-GB"/>
        </w:rPr>
        <w:t>) and capital expenditures (</w:t>
      </w:r>
      <w:proofErr w:type="spellStart"/>
      <w:r w:rsidRPr="00BC058C">
        <w:rPr>
          <w:sz w:val="20"/>
          <w:szCs w:val="20"/>
          <w:lang w:val="en-GB"/>
        </w:rPr>
        <w:t>capx</w:t>
      </w:r>
      <w:proofErr w:type="spellEnd"/>
      <w:r w:rsidRPr="00BC058C">
        <w:rPr>
          <w:sz w:val="20"/>
          <w:szCs w:val="20"/>
          <w:lang w:val="en-GB"/>
        </w:rPr>
        <w:t>), exhibit right-skewed distributions, the difference between recession and non-recession periods remains subtle for most variables, except for those directly impacted by economic contractions. Variables like net income and dividends paid (</w:t>
      </w:r>
      <w:proofErr w:type="spellStart"/>
      <w:r w:rsidRPr="00BC058C">
        <w:rPr>
          <w:sz w:val="20"/>
          <w:szCs w:val="20"/>
          <w:lang w:val="en-GB"/>
        </w:rPr>
        <w:t>dvp</w:t>
      </w:r>
      <w:proofErr w:type="spellEnd"/>
      <w:r w:rsidRPr="00BC058C">
        <w:rPr>
          <w:sz w:val="20"/>
          <w:szCs w:val="20"/>
          <w:lang w:val="en-GB"/>
        </w:rPr>
        <w:t>) demonstrate clearer shifts during recession periods, where firms face more significant challenges. Overall, the changes across periods reflect the resilience of most firms, with only a few key metrics showing distinct stress during recessions.</w:t>
      </w:r>
    </w:p>
    <w:p w14:paraId="77FF087E" w14:textId="77777777" w:rsidR="00BC058C" w:rsidRDefault="00BC058C" w:rsidP="00BC058C">
      <w:pPr>
        <w:rPr>
          <w:sz w:val="20"/>
          <w:szCs w:val="20"/>
          <w:lang w:val="en-GB"/>
        </w:rPr>
      </w:pPr>
    </w:p>
    <w:p w14:paraId="288356E1" w14:textId="59AC0D29" w:rsidR="00BC058C" w:rsidRDefault="00BC058C" w:rsidP="00BC058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PCA:</w:t>
      </w:r>
      <w:r w:rsidR="008C311D">
        <w:rPr>
          <w:sz w:val="20"/>
          <w:szCs w:val="20"/>
          <w:lang w:val="en-GB"/>
        </w:rPr>
        <w:t xml:space="preserve"> Reduced to 10 variables</w:t>
      </w:r>
    </w:p>
    <w:p w14:paraId="3E1A029B" w14:textId="44D7C750" w:rsidR="00BC058C" w:rsidRPr="00BC058C" w:rsidRDefault="00BC058C" w:rsidP="00BC058C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inline distT="0" distB="0" distL="0" distR="0" wp14:anchorId="25063469" wp14:editId="2687165D">
            <wp:extent cx="5731510" cy="3439160"/>
            <wp:effectExtent l="0" t="0" r="0" b="2540"/>
            <wp:docPr id="1415680767" name="Picture 1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0767" name="Picture 1" descr="A graph with blue and white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58E5" w14:textId="3D4D3EEA" w:rsidR="009159EA" w:rsidRDefault="008C311D" w:rsidP="009159EA">
      <w:pPr>
        <w:rPr>
          <w:sz w:val="20"/>
          <w:szCs w:val="20"/>
        </w:rPr>
      </w:pPr>
      <w:r w:rsidRPr="008C311D">
        <w:rPr>
          <w:sz w:val="20"/>
          <w:szCs w:val="20"/>
        </w:rPr>
        <w:drawing>
          <wp:inline distT="0" distB="0" distL="0" distR="0" wp14:anchorId="577375A4" wp14:editId="53B66752">
            <wp:extent cx="5731510" cy="1367155"/>
            <wp:effectExtent l="0" t="0" r="0" b="4445"/>
            <wp:docPr id="13512612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1295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17B7" w14:textId="77777777" w:rsidR="009159EA" w:rsidRDefault="009159EA" w:rsidP="009159EA">
      <w:pPr>
        <w:rPr>
          <w:sz w:val="20"/>
          <w:szCs w:val="20"/>
        </w:rPr>
      </w:pPr>
    </w:p>
    <w:p w14:paraId="6C6CA1F3" w14:textId="77777777" w:rsidR="00C70A85" w:rsidRPr="000268FC" w:rsidRDefault="00C70A85" w:rsidP="000268FC">
      <w:pPr>
        <w:rPr>
          <w:sz w:val="20"/>
          <w:szCs w:val="20"/>
        </w:rPr>
      </w:pPr>
    </w:p>
    <w:sectPr w:rsidR="00C70A85" w:rsidRPr="0002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119C"/>
    <w:multiLevelType w:val="multilevel"/>
    <w:tmpl w:val="8322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833F1"/>
    <w:multiLevelType w:val="multilevel"/>
    <w:tmpl w:val="D60A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852735">
    <w:abstractNumId w:val="0"/>
  </w:num>
  <w:num w:numId="2" w16cid:durableId="73342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FB"/>
    <w:rsid w:val="000268FC"/>
    <w:rsid w:val="00362066"/>
    <w:rsid w:val="00645C01"/>
    <w:rsid w:val="008C311D"/>
    <w:rsid w:val="009159EA"/>
    <w:rsid w:val="009D7386"/>
    <w:rsid w:val="00BA6F9C"/>
    <w:rsid w:val="00BC058C"/>
    <w:rsid w:val="00BD41D5"/>
    <w:rsid w:val="00C32D00"/>
    <w:rsid w:val="00C70A85"/>
    <w:rsid w:val="00F2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D6AFC"/>
  <w15:chartTrackingRefBased/>
  <w15:docId w15:val="{633E185F-1ACD-8843-898C-52943798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Viren D</dc:creator>
  <cp:keywords/>
  <dc:description/>
  <cp:lastModifiedBy>Varma, Viren D</cp:lastModifiedBy>
  <cp:revision>4</cp:revision>
  <dcterms:created xsi:type="dcterms:W3CDTF">2024-09-10T06:07:00Z</dcterms:created>
  <dcterms:modified xsi:type="dcterms:W3CDTF">2024-09-10T14:52:00Z</dcterms:modified>
</cp:coreProperties>
</file>