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23213" w14:textId="49647293" w:rsidR="00331440" w:rsidRPr="00331440" w:rsidRDefault="00331440" w:rsidP="00331440">
      <w:pPr>
        <w:jc w:val="center"/>
        <w:rPr>
          <w:b/>
          <w:bCs/>
          <w:lang w:val="en-GB"/>
        </w:rPr>
      </w:pPr>
      <w:r w:rsidRPr="00331440">
        <w:rPr>
          <w:b/>
          <w:bCs/>
          <w:lang w:val="en-GB"/>
        </w:rPr>
        <w:t xml:space="preserve">Analysis </w:t>
      </w:r>
      <w:r w:rsidR="00AB0029">
        <w:rPr>
          <w:b/>
          <w:bCs/>
          <w:lang w:val="en-GB"/>
        </w:rPr>
        <w:t xml:space="preserve">for </w:t>
      </w:r>
      <w:r w:rsidRPr="00331440">
        <w:rPr>
          <w:b/>
          <w:bCs/>
          <w:lang w:val="en-GB"/>
        </w:rPr>
        <w:t>Descriptive Statistics</w:t>
      </w:r>
      <w:r w:rsidR="00AB0029">
        <w:rPr>
          <w:b/>
          <w:bCs/>
          <w:lang w:val="en-GB"/>
        </w:rPr>
        <w:t xml:space="preserve"> using calculated Metrics</w:t>
      </w:r>
    </w:p>
    <w:p w14:paraId="0577E031" w14:textId="2D8C49E5" w:rsidR="00331440" w:rsidRPr="00331440" w:rsidRDefault="00331440" w:rsidP="00331440">
      <w:pPr>
        <w:rPr>
          <w:lang w:val="en-GB"/>
        </w:rPr>
      </w:pPr>
      <w:r w:rsidRPr="00331440">
        <w:rPr>
          <w:b/>
          <w:bCs/>
          <w:lang w:val="en-GB"/>
        </w:rPr>
        <w:t>Stocks vs. ETFs:</w:t>
      </w:r>
    </w:p>
    <w:p w14:paraId="61AD6D0C" w14:textId="012BE100" w:rsidR="00B40B1F" w:rsidRPr="00B40B1F" w:rsidRDefault="00B40B1F" w:rsidP="00331440">
      <w:pPr>
        <w:numPr>
          <w:ilvl w:val="0"/>
          <w:numId w:val="5"/>
        </w:numPr>
        <w:rPr>
          <w:lang w:val="en-GB"/>
        </w:rPr>
      </w:pPr>
      <w:r>
        <w:t>Regarding stocks</w:t>
      </w:r>
      <w:r w:rsidRPr="00B40B1F">
        <w:t xml:space="preserve"> </w:t>
      </w:r>
      <w:r>
        <w:t xml:space="preserve">the </w:t>
      </w:r>
      <w:r w:rsidRPr="00B40B1F">
        <w:t xml:space="preserve">Cancel-to-Trade ratio is consistently lower and remains relatively stable over time, rarely exceeding 20 on the mean scale. </w:t>
      </w:r>
      <w:r>
        <w:t xml:space="preserve">However </w:t>
      </w:r>
      <w:r w:rsidRPr="00B40B1F">
        <w:t>ETFs show a significantly higher and more volatile Cancel-to-Trade ratio, with means frequently ranging between 200 and 600. This suggests that ETF orders are cancelled far more often in comparison to executed trades.</w:t>
      </w:r>
      <w:r w:rsidR="00AB0029">
        <w:t xml:space="preserve"> W</w:t>
      </w:r>
      <w:r w:rsidR="00AB0029" w:rsidRPr="00AB0029">
        <w:t>hich could be due to the market makers' strategies in managing liquidity, or because of the inherent structure and trading strategies involving ETFs.</w:t>
      </w:r>
    </w:p>
    <w:p w14:paraId="1D952300" w14:textId="6073D696" w:rsidR="00B40B1F" w:rsidRPr="00B40B1F" w:rsidRDefault="00B40B1F" w:rsidP="00B40B1F">
      <w:pPr>
        <w:numPr>
          <w:ilvl w:val="0"/>
          <w:numId w:val="5"/>
        </w:numPr>
      </w:pPr>
      <w:r w:rsidRPr="00B40B1F">
        <w:t xml:space="preserve">The Hidden Rate for stocks shows more fluctuations over time, with values generally ranging between 8% to 15%. This indicates that a notable portion of stock trades involves hidden orders, but this involvement varies. </w:t>
      </w:r>
      <w:r>
        <w:t>On the other hand t</w:t>
      </w:r>
      <w:r w:rsidRPr="00B40B1F">
        <w:t>he Hidden Rate for ETFs shows slightly higher values, ranging from 10% to 16%, with occasional peaks.</w:t>
      </w:r>
      <w:r>
        <w:t xml:space="preserve"> Meaning </w:t>
      </w:r>
      <w:r w:rsidRPr="00B40B1F">
        <w:t xml:space="preserve">ETFs seem to have a slightly higher reliance on </w:t>
      </w:r>
      <w:r w:rsidR="00AB0029">
        <w:t>hidden orders</w:t>
      </w:r>
      <w:r w:rsidRPr="00B40B1F">
        <w:t xml:space="preserve">. This could reflect different trading strategies or market conditions that </w:t>
      </w:r>
      <w:proofErr w:type="spellStart"/>
      <w:r w:rsidRPr="00B40B1F">
        <w:t>favor</w:t>
      </w:r>
      <w:proofErr w:type="spellEnd"/>
      <w:r w:rsidRPr="00B40B1F">
        <w:t xml:space="preserve"> the use of hidden orders in ETFs.</w:t>
      </w:r>
    </w:p>
    <w:p w14:paraId="4FB3FF02" w14:textId="2859A4C6" w:rsidR="00E610C3" w:rsidRPr="00E610C3" w:rsidRDefault="00E610C3" w:rsidP="00331440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610C3">
        <w:t xml:space="preserve">The analysis of </w:t>
      </w:r>
      <w:proofErr w:type="spellStart"/>
      <w:r w:rsidRPr="00E610C3">
        <w:t>oddlot</w:t>
      </w:r>
      <w:proofErr w:type="spellEnd"/>
      <w:r w:rsidRPr="00E610C3">
        <w:t xml:space="preserve"> volumes reveals a distinct trend where the mean </w:t>
      </w:r>
      <w:proofErr w:type="spellStart"/>
      <w:r w:rsidRPr="00E610C3">
        <w:t>oddlot</w:t>
      </w:r>
      <w:proofErr w:type="spellEnd"/>
      <w:r w:rsidRPr="00E610C3">
        <w:t xml:space="preserve"> volume for stocks has been steadily increasing</w:t>
      </w:r>
      <w:r>
        <w:t xml:space="preserve"> showing increase in trading interest, w</w:t>
      </w:r>
      <w:r w:rsidRPr="00E610C3">
        <w:t>hile the mean for ETFs remains stable. Concurrently, the standard deviation for both stocks and ETFs has been decreasing</w:t>
      </w:r>
      <w:r>
        <w:t xml:space="preserve">, </w:t>
      </w:r>
      <w:r w:rsidRPr="00E610C3">
        <w:t>indicating reduced variability and more consistent trading patterns over time, with stocks becoming increasingly active and ETFs maintaining steadier volumes.</w:t>
      </w:r>
    </w:p>
    <w:p w14:paraId="5FF2250D" w14:textId="46AF5746" w:rsidR="00331440" w:rsidRPr="00331440" w:rsidRDefault="00331440" w:rsidP="00331440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1440">
        <w:t xml:space="preserve">In stocks, </w:t>
      </w:r>
      <w:proofErr w:type="spellStart"/>
      <w:r w:rsidRPr="00331440">
        <w:t>oddlot</w:t>
      </w:r>
      <w:proofErr w:type="spellEnd"/>
      <w:r w:rsidRPr="00331440">
        <w:t xml:space="preserve"> trades</w:t>
      </w:r>
      <w:r w:rsidR="00B40B1F">
        <w:t xml:space="preserve"> </w:t>
      </w:r>
      <w:r w:rsidRPr="00331440">
        <w:t xml:space="preserve">are more common. This might be indicative of the actions of </w:t>
      </w:r>
      <w:r w:rsidR="00B40B1F">
        <w:t>retail</w:t>
      </w:r>
      <w:r w:rsidRPr="00331440">
        <w:t xml:space="preserve"> investors or certain stock trading methods, as opposed to ETFs, which usually entail bigger trades from institutions.</w:t>
      </w:r>
    </w:p>
    <w:p w14:paraId="4EDEAB51" w14:textId="77777777" w:rsidR="00331440" w:rsidRDefault="00331440" w:rsidP="00331440">
      <w:pPr>
        <w:rPr>
          <w:b/>
          <w:bCs/>
          <w:lang w:val="en-GB"/>
        </w:rPr>
      </w:pPr>
      <w:r w:rsidRPr="00331440">
        <w:rPr>
          <w:b/>
          <w:bCs/>
          <w:lang w:val="en-GB"/>
        </w:rPr>
        <w:t>Sampling Strategy Considerations:</w:t>
      </w:r>
    </w:p>
    <w:p w14:paraId="4D13686E" w14:textId="183156AD" w:rsidR="002323E6" w:rsidRPr="00331440" w:rsidRDefault="00E610C3" w:rsidP="00E610C3">
      <w:pPr>
        <w:rPr>
          <w:lang w:val="en-GB"/>
        </w:rPr>
      </w:pPr>
      <w:r>
        <w:t>We can a</w:t>
      </w:r>
      <w:r w:rsidRPr="00E610C3">
        <w:t>djust the sample size based on the initial data's distribution mean</w:t>
      </w:r>
      <w:r>
        <w:t>ing</w:t>
      </w:r>
      <w:r w:rsidRPr="00E610C3">
        <w:t xml:space="preserve"> either increasing the number of samples or concentrating on the metrics that show the most variation. If certain measures, like Hidden Volume</w:t>
      </w:r>
      <w:r>
        <w:t xml:space="preserve"> or Cancel-To-Trade</w:t>
      </w:r>
      <w:r w:rsidRPr="00E610C3">
        <w:t xml:space="preserve">, show big changes, </w:t>
      </w:r>
      <w:r>
        <w:t>we might</w:t>
      </w:r>
      <w:r w:rsidRPr="00E610C3">
        <w:t xml:space="preserve"> need a larger sample size to accurately capture these details.</w:t>
      </w:r>
    </w:p>
    <w:sectPr w:rsidR="002323E6" w:rsidRPr="00331440" w:rsidSect="003314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360" w:hanging="360"/>
      </w:pPr>
    </w:lvl>
    <w:lvl w:ilvl="1" w:tplc="00000066">
      <w:start w:val="1"/>
      <w:numFmt w:val="bullet"/>
      <w:lvlText w:val="•"/>
      <w:lvlJc w:val="left"/>
      <w:pPr>
        <w:ind w:left="108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857555"/>
    <w:multiLevelType w:val="hybridMultilevel"/>
    <w:tmpl w:val="2E9EA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EF576F6"/>
    <w:multiLevelType w:val="multilevel"/>
    <w:tmpl w:val="26CA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77CC9"/>
    <w:multiLevelType w:val="multilevel"/>
    <w:tmpl w:val="194E3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9855328">
    <w:abstractNumId w:val="4"/>
  </w:num>
  <w:num w:numId="2" w16cid:durableId="2056157272">
    <w:abstractNumId w:val="3"/>
  </w:num>
  <w:num w:numId="3" w16cid:durableId="931626459">
    <w:abstractNumId w:val="0"/>
  </w:num>
  <w:num w:numId="4" w16cid:durableId="109053255">
    <w:abstractNumId w:val="1"/>
  </w:num>
  <w:num w:numId="5" w16cid:durableId="339359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40"/>
    <w:rsid w:val="000E1636"/>
    <w:rsid w:val="002323E6"/>
    <w:rsid w:val="00283644"/>
    <w:rsid w:val="00331440"/>
    <w:rsid w:val="00645C01"/>
    <w:rsid w:val="006A6037"/>
    <w:rsid w:val="008A4F0C"/>
    <w:rsid w:val="009D7386"/>
    <w:rsid w:val="00AB0029"/>
    <w:rsid w:val="00B404BA"/>
    <w:rsid w:val="00B40B1F"/>
    <w:rsid w:val="00E610C3"/>
    <w:rsid w:val="00E6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59BD7"/>
  <w15:chartTrackingRefBased/>
  <w15:docId w15:val="{9FAD9EC0-7D91-6B4D-94A1-F58A650C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4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4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4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4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4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4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4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4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4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4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4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4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4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4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4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4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4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Varma, Viren D</dc:creator>
  <cp:keywords/>
  <dc:description/>
  <cp:lastModifiedBy>Varma, Viren D</cp:lastModifiedBy>
  <cp:revision>2</cp:revision>
  <dcterms:created xsi:type="dcterms:W3CDTF">2024-08-26T22:48:00Z</dcterms:created>
  <dcterms:modified xsi:type="dcterms:W3CDTF">2024-08-26T22:48:00Z</dcterms:modified>
</cp:coreProperties>
</file>