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FEA" w:rsidRDefault="006A2CAF" w:rsidP="00A55FEA">
      <w:pPr>
        <w:pStyle w:val="Heading1"/>
      </w:pPr>
      <w:bookmarkStart w:id="0" w:name="_Hlk530277913"/>
      <w:r>
        <w:t>The Road to 1955</w:t>
      </w:r>
    </w:p>
    <w:p w:rsidR="00A55FEA" w:rsidRPr="00A55FEA" w:rsidRDefault="00A55FEA" w:rsidP="00A55FEA">
      <w:pPr>
        <w:pStyle w:val="Heading2"/>
      </w:pPr>
      <w:r>
        <w:t>The Retreat of Empire</w:t>
      </w:r>
    </w:p>
    <w:bookmarkEnd w:id="0"/>
    <w:p w:rsidR="00055174" w:rsidRDefault="00AD6C2F" w:rsidP="00055174">
      <w:r>
        <w:t xml:space="preserve">By 1950, </w:t>
      </w:r>
      <w:r w:rsidR="00271E53">
        <w:t>the British Empire was in retreat.</w:t>
      </w:r>
      <w:r w:rsidR="00722972">
        <w:t xml:space="preserve"> India, which had for so long been the reservoir of manpower and resources on which Britain built and maintained its Empire, achieved independence in 1948. </w:t>
      </w:r>
      <w:r w:rsidR="004A0743">
        <w:t>Once, the vastness of Britain’s empire was a source of prestige, as the “empire on which the son never sets”. World War II has shown, to disastrous effect, that this Empire was too large to defend. The people of the United Kingdom itself – England, Scotland, Wales, and Northern Ireland – had suffered through German bombings</w:t>
      </w:r>
      <w:r w:rsidR="00626833">
        <w:t xml:space="preserve"> and wartime military service and wanted peace. There was little </w:t>
      </w:r>
      <w:r w:rsidR="00626833" w:rsidRPr="00626833">
        <w:t>appetite</w:t>
      </w:r>
      <w:r w:rsidR="00626833">
        <w:t xml:space="preserve"> to spend the little money they had left in maintaining a needlessly huge empire. Even less was the willingness of Britons to send its sons and husbands to fight wars in defence of far-away colonies.</w:t>
      </w:r>
      <w:r w:rsidR="004374CE" w:rsidRPr="004374CE">
        <w:rPr>
          <w:rStyle w:val="FootnoteReference"/>
        </w:rPr>
        <w:t xml:space="preserve"> </w:t>
      </w:r>
      <w:r w:rsidR="004374CE">
        <w:rPr>
          <w:rStyle w:val="FootnoteReference"/>
        </w:rPr>
        <w:footnoteReference w:id="1"/>
      </w:r>
      <w:r w:rsidR="00626833">
        <w:t xml:space="preserve"> But even more compelling for the British Government was </w:t>
      </w:r>
      <w:r w:rsidR="003C40D8">
        <w:t xml:space="preserve">international pressure from the world’s two newly ascended superpowers. The United States and Soviet Union only ever agreed on one thing: that there is no room for European imperialism in the newly emerging Cold War. The United States funded the economic recovery of </w:t>
      </w:r>
      <w:r w:rsidR="003C40D8">
        <w:lastRenderedPageBreak/>
        <w:t>war-torn United Kingdom</w:t>
      </w:r>
      <w:r w:rsidR="00BE1073">
        <w:t>,</w:t>
      </w:r>
      <w:r w:rsidR="003C40D8">
        <w:t xml:space="preserve"> on the </w:t>
      </w:r>
      <w:r w:rsidR="00BE1073">
        <w:t xml:space="preserve">sole </w:t>
      </w:r>
      <w:r w:rsidR="003C40D8">
        <w:t xml:space="preserve">condition that Britain decolonise. </w:t>
      </w:r>
      <w:r w:rsidR="00BE1073">
        <w:t xml:space="preserve">Not even Winston Churchill, the arch-imperialist, </w:t>
      </w:r>
      <w:r w:rsidR="00055174">
        <w:t>found it in himself to defy the Americans</w:t>
      </w:r>
      <w:r w:rsidR="00865281">
        <w:t>.</w:t>
      </w:r>
      <w:r w:rsidR="004374CE">
        <w:rPr>
          <w:rStyle w:val="FootnoteReference"/>
        </w:rPr>
        <w:footnoteReference w:id="2"/>
      </w:r>
    </w:p>
    <w:p w:rsidR="00055174" w:rsidRDefault="005401C9" w:rsidP="005401C9">
      <w:pPr>
        <w:pStyle w:val="Quote"/>
        <w:rPr>
          <w:rFonts w:ascii="Georgia" w:hAnsi="Georgia"/>
          <w:color w:val="000000"/>
          <w:sz w:val="20"/>
          <w:szCs w:val="20"/>
          <w:shd w:val="clear" w:color="auto" w:fill="FFFFFF"/>
        </w:rPr>
      </w:pPr>
      <w:r>
        <w:rPr>
          <w:rFonts w:ascii="Georgia" w:hAnsi="Georgia"/>
          <w:color w:val="000000"/>
          <w:sz w:val="20"/>
          <w:szCs w:val="20"/>
          <w:shd w:val="clear" w:color="auto" w:fill="FFFFFF"/>
        </w:rPr>
        <w:t> ‘We cannot police half the world at our own expense when we have already gone into pawn to the other half.’</w:t>
      </w:r>
    </w:p>
    <w:p w:rsidR="00E7233B" w:rsidRPr="004374CE" w:rsidRDefault="00865281" w:rsidP="00865281">
      <w:pPr>
        <w:pStyle w:val="ListParagraph"/>
        <w:numPr>
          <w:ilvl w:val="0"/>
          <w:numId w:val="2"/>
        </w:numPr>
        <w:jc w:val="right"/>
        <w:rPr>
          <w:rStyle w:val="SubtleReference"/>
          <w:smallCaps w:val="0"/>
        </w:rPr>
      </w:pPr>
      <w:r w:rsidRPr="00865281">
        <w:rPr>
          <w:rStyle w:val="SubtleReference"/>
          <w:color w:val="5A5A5A" w:themeColor="text1" w:themeTint="A5"/>
          <w:spacing w:val="15"/>
          <w:sz w:val="22"/>
        </w:rPr>
        <w:t>John Maynard Keynes</w:t>
      </w:r>
      <w:r w:rsidR="004374CE">
        <w:rPr>
          <w:rStyle w:val="SubtleReference"/>
          <w:color w:val="5A5A5A" w:themeColor="text1" w:themeTint="A5"/>
          <w:spacing w:val="15"/>
          <w:sz w:val="22"/>
        </w:rPr>
        <w:t xml:space="preserve">, </w:t>
      </w:r>
      <w:r w:rsidR="00A53291">
        <w:rPr>
          <w:rStyle w:val="SubtleReference"/>
          <w:color w:val="5A5A5A" w:themeColor="text1" w:themeTint="A5"/>
          <w:spacing w:val="15"/>
          <w:sz w:val="22"/>
        </w:rPr>
        <w:t>1942</w:t>
      </w:r>
      <w:r>
        <w:rPr>
          <w:rStyle w:val="FootnoteReference"/>
          <w:smallCaps/>
          <w:color w:val="5A5A5A" w:themeColor="text1" w:themeTint="A5"/>
          <w:spacing w:val="15"/>
          <w:sz w:val="22"/>
        </w:rPr>
        <w:footnoteReference w:id="3"/>
      </w:r>
    </w:p>
    <w:p w:rsidR="004374CE" w:rsidRDefault="004374CE" w:rsidP="004374CE">
      <w:pPr>
        <w:pStyle w:val="Quote"/>
        <w:rPr>
          <w:rFonts w:ascii="Georgia" w:hAnsi="Georgia"/>
          <w:color w:val="000000"/>
          <w:sz w:val="20"/>
          <w:szCs w:val="20"/>
          <w:shd w:val="clear" w:color="auto" w:fill="FFFFFF"/>
        </w:rPr>
      </w:pPr>
      <w:r>
        <w:rPr>
          <w:rFonts w:ascii="Georgia" w:hAnsi="Georgia"/>
          <w:color w:val="000000"/>
          <w:sz w:val="20"/>
          <w:szCs w:val="20"/>
          <w:shd w:val="clear" w:color="auto" w:fill="FFFFFF"/>
        </w:rPr>
        <w:t> ‘</w:t>
      </w:r>
      <w:r>
        <w:t xml:space="preserve">The British Empire seems to be running off almost as fast as the American Loan. The steady and remorseless process of divesting </w:t>
      </w:r>
      <w:proofErr w:type="gramStart"/>
      <w:r>
        <w:t>ourselves</w:t>
      </w:r>
      <w:proofErr w:type="gramEnd"/>
      <w:r>
        <w:t xml:space="preserve"> of what has been gained by so many generations of toil, administration and sacrifice continues. In the case of Burma…this haste is appalling. ‘Scuttle’ is the only word that can be applied</w:t>
      </w:r>
      <w:r>
        <w:rPr>
          <w:rFonts w:ascii="Georgia" w:hAnsi="Georgia"/>
          <w:color w:val="000000"/>
          <w:sz w:val="20"/>
          <w:szCs w:val="20"/>
          <w:shd w:val="clear" w:color="auto" w:fill="FFFFFF"/>
        </w:rPr>
        <w:t>.’</w:t>
      </w:r>
    </w:p>
    <w:p w:rsidR="004374CE" w:rsidRPr="00595E4D" w:rsidRDefault="004374CE" w:rsidP="004374CE">
      <w:pPr>
        <w:pStyle w:val="ListParagraph"/>
        <w:numPr>
          <w:ilvl w:val="0"/>
          <w:numId w:val="2"/>
        </w:numPr>
        <w:jc w:val="right"/>
      </w:pPr>
      <w:r>
        <w:rPr>
          <w:rStyle w:val="SubtleReference"/>
          <w:color w:val="5A5A5A" w:themeColor="text1" w:themeTint="A5"/>
          <w:spacing w:val="15"/>
          <w:sz w:val="22"/>
        </w:rPr>
        <w:t xml:space="preserve">Winston Churchill, </w:t>
      </w:r>
      <w:r w:rsidR="00A53291">
        <w:rPr>
          <w:rStyle w:val="SubtleReference"/>
          <w:color w:val="5A5A5A" w:themeColor="text1" w:themeTint="A5"/>
          <w:spacing w:val="15"/>
          <w:sz w:val="22"/>
        </w:rPr>
        <w:t>1944</w:t>
      </w:r>
      <w:r>
        <w:rPr>
          <w:rStyle w:val="FootnoteReference"/>
          <w:smallCaps/>
          <w:color w:val="5A5A5A" w:themeColor="text1" w:themeTint="A5"/>
          <w:spacing w:val="15"/>
          <w:sz w:val="22"/>
        </w:rPr>
        <w:footnoteReference w:id="4"/>
      </w:r>
    </w:p>
    <w:p w:rsidR="00FD28B1" w:rsidRDefault="00FD28B1" w:rsidP="00FD28B1">
      <w:pPr>
        <w:pStyle w:val="Heading2"/>
      </w:pPr>
      <w:r>
        <w:t>Singapore’s First Partition</w:t>
      </w:r>
    </w:p>
    <w:p w:rsidR="00A53291" w:rsidRDefault="00A53291" w:rsidP="00A53291">
      <w:r>
        <w:t>The British planned to retreat from Malaya with dignity. Despite returning to a peninsular riddled with ethnic conflict and lawlessness, the British forged ahead with their plans. In 1946, barely 216 days after th</w:t>
      </w:r>
      <w:r w:rsidR="000944E9">
        <w:t xml:space="preserve">e first British warship moored in Singapore harbour </w:t>
      </w:r>
      <w:r>
        <w:t>to accept the surrender of the Japanese garrison,</w:t>
      </w:r>
      <w:r w:rsidR="000944E9">
        <w:t xml:space="preserve"> Lord </w:t>
      </w:r>
      <w:r w:rsidR="000944E9">
        <w:lastRenderedPageBreak/>
        <w:t>Mountbatten dissolved the Straits Settlements, of which Singapore was the capital. Singapore found itself separated from its sister cities of Malacca and Penang.</w:t>
      </w:r>
    </w:p>
    <w:p w:rsidR="00FD28B1" w:rsidRDefault="000944E9" w:rsidP="00FD28B1">
      <w:r>
        <w:t xml:space="preserve">More importantly, however, Singapore’s destiny became unmoored from that of the Malaysian mainland. Barely seven months after </w:t>
      </w:r>
      <w:r w:rsidR="00FD28B1">
        <w:t>liberation, most Singaporeans were preoccupied with day-by-day survival. The few Singaporeans who heard about this momentaneous event met it with a surprised shrug; it is not like they could have done anything about it. Nevertheless, the Chinese Chamber of Commerce echoed most objections by arguing Singapore is “the centre of Malayan</w:t>
      </w:r>
      <w:r w:rsidR="00434415">
        <w:t xml:space="preserve"> </w:t>
      </w:r>
      <w:r w:rsidR="00FD28B1">
        <w:t>economy, politics, and culture”.</w:t>
      </w:r>
      <w:r w:rsidR="00FD28B1">
        <w:rPr>
          <w:rStyle w:val="FootnoteReference"/>
        </w:rPr>
        <w:footnoteReference w:id="5"/>
      </w:r>
      <w:r w:rsidR="004935D9" w:rsidRPr="004935D9">
        <w:rPr>
          <w:noProof/>
        </w:rPr>
        <w:t xml:space="preserve"> </w:t>
      </w:r>
      <w:r w:rsidR="00434415">
        <w:rPr>
          <w:noProof/>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5200650</wp:posOffset>
                </wp:positionV>
                <wp:extent cx="774382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3825" cy="1404620"/>
                        </a:xfrm>
                        <a:prstGeom prst="rect">
                          <a:avLst/>
                        </a:prstGeom>
                        <a:solidFill>
                          <a:srgbClr val="FFFFFF"/>
                        </a:solidFill>
                        <a:ln w="9525">
                          <a:solidFill>
                            <a:srgbClr val="000000"/>
                          </a:solidFill>
                          <a:miter lim="800000"/>
                          <a:headEnd/>
                          <a:tailEnd/>
                        </a:ln>
                      </wps:spPr>
                      <wps:txbx>
                        <w:txbxContent>
                          <w:p w:rsidR="004935D9" w:rsidRDefault="004935D9">
                            <w:pPr>
                              <w:rPr>
                                <w:sz w:val="14"/>
                                <w:szCs w:val="14"/>
                              </w:rPr>
                            </w:pPr>
                            <w:r w:rsidRPr="004935D9">
                              <w:rPr>
                                <w:rFonts w:hint="eastAsia"/>
                                <w:sz w:val="14"/>
                                <w:szCs w:val="14"/>
                              </w:rPr>
                              <w:t>马来亚联邦与星加坡新政制临别的加陀政府昨日发表白皮器</w:t>
                            </w:r>
                            <w:r w:rsidRPr="004935D9">
                              <w:rPr>
                                <w:rFonts w:hint="eastAsia"/>
                                <w:sz w:val="14"/>
                                <w:szCs w:val="14"/>
                              </w:rPr>
                              <w:t xml:space="preserve"> , </w:t>
                            </w:r>
                            <w:r w:rsidRPr="004935D9">
                              <w:rPr>
                                <w:rFonts w:hint="eastAsia"/>
                                <w:sz w:val="14"/>
                                <w:szCs w:val="14"/>
                              </w:rPr>
                              <w:t>定布设立星加坡成为统一国家</w:t>
                            </w:r>
                            <w:r w:rsidRPr="004935D9">
                              <w:rPr>
                                <w:rFonts w:hint="eastAsia"/>
                                <w:sz w:val="14"/>
                                <w:szCs w:val="14"/>
                              </w:rPr>
                              <w:t xml:space="preserve"> , </w:t>
                            </w:r>
                            <w:r w:rsidRPr="004935D9">
                              <w:rPr>
                                <w:rFonts w:hint="eastAsia"/>
                                <w:sz w:val="14"/>
                                <w:szCs w:val="14"/>
                              </w:rPr>
                              <w:t>可使马及亚联邦新行政机构</w:t>
                            </w:r>
                            <w:r w:rsidRPr="004935D9">
                              <w:rPr>
                                <w:rFonts w:hint="eastAsia"/>
                                <w:sz w:val="14"/>
                                <w:szCs w:val="14"/>
                              </w:rPr>
                              <w:t xml:space="preserve"> </w:t>
                            </w:r>
                            <w:r w:rsidRPr="004935D9">
                              <w:rPr>
                                <w:rFonts w:hint="eastAsia"/>
                                <w:sz w:val="14"/>
                                <w:szCs w:val="14"/>
                              </w:rPr>
                              <w:t>。此为必进收妥张础制度</w:t>
                            </w:r>
                            <w:r w:rsidRPr="004935D9">
                              <w:rPr>
                                <w:rFonts w:hint="eastAsia"/>
                                <w:sz w:val="14"/>
                                <w:szCs w:val="14"/>
                              </w:rPr>
                              <w:t xml:space="preserve">, </w:t>
                            </w:r>
                            <w:r w:rsidRPr="004935D9">
                              <w:rPr>
                                <w:rFonts w:hint="eastAsia"/>
                                <w:sz w:val="14"/>
                                <w:szCs w:val="14"/>
                              </w:rPr>
                              <w:t>而她会成之位为来阳后以新施策</w:t>
                            </w:r>
                            <w:r w:rsidRPr="004935D9">
                              <w:rPr>
                                <w:rFonts w:hint="eastAsia"/>
                                <w:sz w:val="14"/>
                                <w:szCs w:val="14"/>
                              </w:rPr>
                              <w:t xml:space="preserve">, </w:t>
                            </w:r>
                            <w:r w:rsidRPr="004935D9">
                              <w:rPr>
                                <w:rFonts w:hint="eastAsia"/>
                                <w:sz w:val="14"/>
                                <w:szCs w:val="14"/>
                              </w:rPr>
                              <w:t>此效果如何</w:t>
                            </w:r>
                            <w:r w:rsidRPr="004935D9">
                              <w:rPr>
                                <w:rFonts w:hint="eastAsia"/>
                                <w:sz w:val="14"/>
                                <w:szCs w:val="14"/>
                              </w:rPr>
                              <w:t xml:space="preserve">, </w:t>
                            </w:r>
                            <w:r w:rsidRPr="004935D9">
                              <w:rPr>
                                <w:rFonts w:hint="eastAsia"/>
                                <w:sz w:val="14"/>
                                <w:szCs w:val="14"/>
                              </w:rPr>
                              <w:t>似伪全究其既泛水桃制度的初始以来亚人所关注</w:t>
                            </w:r>
                            <w:r w:rsidRPr="004935D9">
                              <w:rPr>
                                <w:rFonts w:hint="eastAsia"/>
                                <w:sz w:val="14"/>
                                <w:szCs w:val="14"/>
                              </w:rPr>
                              <w:t xml:space="preserve">, </w:t>
                            </w:r>
                            <w:r w:rsidRPr="004935D9">
                              <w:rPr>
                                <w:rFonts w:hint="eastAsia"/>
                                <w:sz w:val="14"/>
                                <w:szCs w:val="14"/>
                              </w:rPr>
                              <w:t>吾人站在人民将来福利之自治以外</w:t>
                            </w:r>
                            <w:r w:rsidRPr="004935D9">
                              <w:rPr>
                                <w:rFonts w:hint="eastAsia"/>
                                <w:sz w:val="14"/>
                                <w:szCs w:val="14"/>
                              </w:rPr>
                              <w:t xml:space="preserve">, </w:t>
                            </w:r>
                            <w:r w:rsidRPr="004935D9">
                              <w:rPr>
                                <w:rFonts w:hint="eastAsia"/>
                                <w:sz w:val="14"/>
                                <w:szCs w:val="14"/>
                              </w:rPr>
                              <w:t>并木明订人深皆现马来亚安局</w:t>
                            </w:r>
                            <w:r w:rsidRPr="004935D9">
                              <w:rPr>
                                <w:rFonts w:hint="eastAsia"/>
                                <w:sz w:val="14"/>
                                <w:szCs w:val="14"/>
                              </w:rPr>
                              <w:t xml:space="preserve">, </w:t>
                            </w:r>
                            <w:r w:rsidRPr="004935D9">
                              <w:rPr>
                                <w:rFonts w:hint="eastAsia"/>
                                <w:sz w:val="14"/>
                                <w:szCs w:val="14"/>
                              </w:rPr>
                              <w:t>由于昔日割裂洋与太平洋之歌要的币</w:t>
                            </w:r>
                            <w:r w:rsidRPr="004935D9">
                              <w:rPr>
                                <w:rFonts w:hint="eastAsia"/>
                                <w:sz w:val="14"/>
                                <w:szCs w:val="14"/>
                              </w:rPr>
                              <w:t xml:space="preserve">, </w:t>
                            </w:r>
                            <w:r w:rsidRPr="004935D9">
                              <w:rPr>
                                <w:rFonts w:hint="eastAsia"/>
                                <w:sz w:val="14"/>
                                <w:szCs w:val="14"/>
                              </w:rPr>
                              <w:t>亦为改善</w:t>
                            </w:r>
                            <w:r w:rsidRPr="004935D9">
                              <w:rPr>
                                <w:rFonts w:hint="eastAsia"/>
                                <w:sz w:val="14"/>
                                <w:szCs w:val="14"/>
                              </w:rPr>
                              <w:t xml:space="preserve">, </w:t>
                            </w:r>
                            <w:r w:rsidRPr="004935D9">
                              <w:rPr>
                                <w:rFonts w:hint="eastAsia"/>
                                <w:sz w:val="14"/>
                                <w:szCs w:val="14"/>
                              </w:rPr>
                              <w:t>在行政魏得比物良好</w:t>
                            </w:r>
                            <w:r w:rsidRPr="004935D9">
                              <w:rPr>
                                <w:rFonts w:hint="eastAsia"/>
                                <w:sz w:val="14"/>
                                <w:szCs w:val="14"/>
                              </w:rPr>
                              <w:t xml:space="preserve">, </w:t>
                            </w:r>
                            <w:r w:rsidRPr="004935D9">
                              <w:rPr>
                                <w:rFonts w:hint="eastAsia"/>
                                <w:sz w:val="14"/>
                                <w:szCs w:val="14"/>
                              </w:rPr>
                              <w:t>效率</w:t>
                            </w:r>
                            <w:r w:rsidRPr="004935D9">
                              <w:rPr>
                                <w:rFonts w:hint="eastAsia"/>
                                <w:sz w:val="14"/>
                                <w:szCs w:val="14"/>
                              </w:rPr>
                              <w:t xml:space="preserve">, </w:t>
                            </w:r>
                            <w:r w:rsidRPr="004935D9">
                              <w:rPr>
                                <w:rFonts w:hint="eastAsia"/>
                                <w:sz w:val="14"/>
                                <w:szCs w:val="14"/>
                              </w:rPr>
                              <w:t>故地。而是加坡本身除们常有山则此渴望埃政时路局</w:t>
                            </w:r>
                            <w:r w:rsidRPr="004935D9">
                              <w:rPr>
                                <w:rFonts w:hint="eastAsia"/>
                                <w:sz w:val="14"/>
                                <w:szCs w:val="14"/>
                              </w:rPr>
                              <w:t xml:space="preserve">, </w:t>
                            </w:r>
                            <w:r w:rsidRPr="004935D9">
                              <w:rPr>
                                <w:rFonts w:hint="eastAsia"/>
                                <w:sz w:val="14"/>
                                <w:szCs w:val="14"/>
                              </w:rPr>
                              <w:t>改变一九简说外</w:t>
                            </w:r>
                            <w:r w:rsidRPr="004935D9">
                              <w:rPr>
                                <w:rFonts w:hint="eastAsia"/>
                                <w:sz w:val="14"/>
                                <w:szCs w:val="14"/>
                              </w:rPr>
                              <w:t xml:space="preserve">, </w:t>
                            </w:r>
                            <w:r w:rsidRPr="004935D9">
                              <w:rPr>
                                <w:rFonts w:hint="eastAsia"/>
                                <w:sz w:val="14"/>
                                <w:szCs w:val="14"/>
                              </w:rPr>
                              <w:t>则仙微商场而已</w:t>
                            </w:r>
                            <w:r w:rsidRPr="004935D9">
                              <w:rPr>
                                <w:rFonts w:hint="eastAsia"/>
                                <w:sz w:val="14"/>
                                <w:szCs w:val="14"/>
                              </w:rPr>
                              <w:t xml:space="preserve">, </w:t>
                            </w:r>
                            <w:r w:rsidRPr="004935D9">
                              <w:rPr>
                                <w:rFonts w:hint="eastAsia"/>
                                <w:sz w:val="14"/>
                                <w:szCs w:val="14"/>
                              </w:rPr>
                              <w:t>他们的来职前统治宛民地照成</w:t>
                            </w:r>
                            <w:r w:rsidRPr="004935D9">
                              <w:rPr>
                                <w:rFonts w:hint="eastAsia"/>
                                <w:sz w:val="14"/>
                                <w:szCs w:val="14"/>
                              </w:rPr>
                              <w:t xml:space="preserve">, </w:t>
                            </w:r>
                            <w:r w:rsidRPr="004935D9">
                              <w:rPr>
                                <w:rFonts w:hint="eastAsia"/>
                                <w:sz w:val="14"/>
                                <w:szCs w:val="14"/>
                              </w:rPr>
                              <w:t>切饭股行联合国山亚联邦分离以</w:t>
                            </w:r>
                            <w:r w:rsidRPr="004935D9">
                              <w:rPr>
                                <w:rFonts w:hint="eastAsia"/>
                                <w:sz w:val="14"/>
                                <w:szCs w:val="14"/>
                              </w:rPr>
                              <w:t xml:space="preserve">, </w:t>
                            </w:r>
                            <w:r w:rsidRPr="004935D9">
                              <w:rPr>
                                <w:rFonts w:hint="eastAsia"/>
                                <w:sz w:val="14"/>
                                <w:szCs w:val="14"/>
                              </w:rPr>
                              <w:t>将生加则为以易商心大冰率</w:t>
                            </w:r>
                            <w:r w:rsidRPr="004935D9">
                              <w:rPr>
                                <w:rFonts w:hint="eastAsia"/>
                                <w:sz w:val="14"/>
                                <w:szCs w:val="14"/>
                              </w:rPr>
                              <w:t xml:space="preserve">, </w:t>
                            </w:r>
                            <w:proofErr w:type="gramStart"/>
                            <w:r w:rsidRPr="004935D9">
                              <w:rPr>
                                <w:rFonts w:hint="eastAsia"/>
                                <w:sz w:val="14"/>
                                <w:szCs w:val="14"/>
                              </w:rPr>
                              <w:t>改善马来亚</w:t>
                            </w:r>
                            <w:r w:rsidRPr="004935D9">
                              <w:rPr>
                                <w:rFonts w:hint="eastAsia"/>
                                <w:sz w:val="14"/>
                                <w:szCs w:val="14"/>
                              </w:rPr>
                              <w:t xml:space="preserve">( </w:t>
                            </w:r>
                            <w:r w:rsidRPr="004935D9">
                              <w:rPr>
                                <w:rFonts w:hint="eastAsia"/>
                                <w:sz w:val="14"/>
                                <w:szCs w:val="14"/>
                              </w:rPr>
                              <w:t>民生治</w:t>
                            </w:r>
                            <w:proofErr w:type="gramEnd"/>
                            <w:r w:rsidRPr="004935D9">
                              <w:rPr>
                                <w:rFonts w:hint="eastAsia"/>
                                <w:sz w:val="14"/>
                                <w:szCs w:val="14"/>
                              </w:rPr>
                              <w:t xml:space="preserve">, </w:t>
                            </w:r>
                            <w:r w:rsidRPr="004935D9">
                              <w:rPr>
                                <w:rFonts w:hint="eastAsia"/>
                                <w:sz w:val="14"/>
                                <w:szCs w:val="14"/>
                              </w:rPr>
                              <w:t>丁马来亚人民</w:t>
                            </w:r>
                            <w:r w:rsidRPr="004935D9">
                              <w:rPr>
                                <w:rFonts w:hint="eastAsia"/>
                                <w:sz w:val="14"/>
                                <w:szCs w:val="14"/>
                              </w:rPr>
                              <w:t xml:space="preserve">) </w:t>
                            </w:r>
                            <w:r w:rsidRPr="004935D9">
                              <w:rPr>
                                <w:rFonts w:hint="eastAsia"/>
                                <w:sz w:val="14"/>
                                <w:szCs w:val="14"/>
                              </w:rPr>
                              <w:t>马来亚联邦则以立法行政州成</w:t>
                            </w:r>
                            <w:r w:rsidRPr="004935D9">
                              <w:rPr>
                                <w:rFonts w:hint="eastAsia"/>
                                <w:sz w:val="14"/>
                                <w:szCs w:val="14"/>
                              </w:rPr>
                              <w:t xml:space="preserve">, </w:t>
                            </w:r>
                            <w:r w:rsidRPr="004935D9">
                              <w:rPr>
                                <w:rFonts w:hint="eastAsia"/>
                                <w:sz w:val="14"/>
                                <w:szCs w:val="14"/>
                              </w:rPr>
                              <w:t>不同胡的肌出</w:t>
                            </w:r>
                            <w:r w:rsidRPr="004935D9">
                              <w:rPr>
                                <w:rFonts w:hint="eastAsia"/>
                                <w:sz w:val="14"/>
                                <w:szCs w:val="14"/>
                              </w:rPr>
                              <w:t xml:space="preserve">, </w:t>
                            </w:r>
                            <w:r w:rsidRPr="004935D9">
                              <w:rPr>
                                <w:rFonts w:hint="eastAsia"/>
                                <w:sz w:val="14"/>
                                <w:szCs w:val="14"/>
                              </w:rPr>
                              <w:t>认马来亚各民族蹈上自治前程。</w:t>
                            </w:r>
                            <w:r w:rsidRPr="004935D9">
                              <w:rPr>
                                <w:rFonts w:hint="eastAsia"/>
                                <w:sz w:val="14"/>
                                <w:szCs w:val="14"/>
                              </w:rPr>
                              <w:t xml:space="preserve"> </w:t>
                            </w:r>
                            <w:r w:rsidRPr="004935D9">
                              <w:rPr>
                                <w:rFonts w:hint="eastAsia"/>
                                <w:sz w:val="14"/>
                                <w:szCs w:val="14"/>
                              </w:rPr>
                              <w:t>监制政策</w:t>
                            </w:r>
                            <w:r w:rsidRPr="004935D9">
                              <w:rPr>
                                <w:rFonts w:hint="eastAsia"/>
                                <w:sz w:val="14"/>
                                <w:szCs w:val="14"/>
                              </w:rPr>
                              <w:t xml:space="preserve">, </w:t>
                            </w:r>
                            <w:r w:rsidRPr="004935D9">
                              <w:rPr>
                                <w:rFonts w:hint="eastAsia"/>
                                <w:sz w:val="14"/>
                                <w:szCs w:val="14"/>
                              </w:rPr>
                              <w:t>其结果必使他成功之处仍然三日美琳说目来扮扎价盘香铁路下之弱小民族</w:t>
                            </w:r>
                            <w:r w:rsidRPr="004935D9">
                              <w:rPr>
                                <w:rFonts w:hint="eastAsia"/>
                                <w:sz w:val="14"/>
                                <w:szCs w:val="14"/>
                              </w:rPr>
                              <w:t xml:space="preserve">, </w:t>
                            </w:r>
                            <w:r w:rsidRPr="004935D9">
                              <w:rPr>
                                <w:rFonts w:hint="eastAsia"/>
                                <w:sz w:val="14"/>
                                <w:szCs w:val="14"/>
                              </w:rPr>
                              <w:t>已由此</w:t>
                            </w:r>
                            <w:r w:rsidRPr="004935D9">
                              <w:rPr>
                                <w:rFonts w:hint="eastAsia"/>
                                <w:sz w:val="14"/>
                                <w:szCs w:val="14"/>
                              </w:rPr>
                              <w:t xml:space="preserve">, </w:t>
                            </w:r>
                            <w:r w:rsidRPr="004935D9">
                              <w:rPr>
                                <w:rFonts w:hint="eastAsia"/>
                                <w:sz w:val="14"/>
                                <w:szCs w:val="14"/>
                              </w:rPr>
                              <w:t>如今日在星加坡所采收之对外贸易政策研计会标次次放尔炮火所恐醒</w:t>
                            </w:r>
                            <w:r w:rsidRPr="004935D9">
                              <w:rPr>
                                <w:rFonts w:hint="eastAsia"/>
                                <w:sz w:val="14"/>
                                <w:szCs w:val="14"/>
                              </w:rPr>
                              <w:t xml:space="preserve">, </w:t>
                            </w:r>
                            <w:r w:rsidRPr="004935D9">
                              <w:rPr>
                                <w:rFonts w:hint="eastAsia"/>
                                <w:sz w:val="14"/>
                                <w:szCs w:val="14"/>
                              </w:rPr>
                              <w:t>所渴望苦</w:t>
                            </w:r>
                            <w:r w:rsidRPr="004935D9">
                              <w:rPr>
                                <w:rFonts w:hint="eastAsia"/>
                                <w:sz w:val="14"/>
                                <w:szCs w:val="14"/>
                              </w:rPr>
                              <w:t xml:space="preserve">, </w:t>
                            </w:r>
                            <w:r w:rsidRPr="004935D9">
                              <w:rPr>
                                <w:rFonts w:hint="eastAsia"/>
                                <w:sz w:val="14"/>
                                <w:szCs w:val="14"/>
                              </w:rPr>
                              <w:t>乃为自由平等。</w:t>
                            </w:r>
                            <w:r w:rsidRPr="004935D9">
                              <w:rPr>
                                <w:rFonts w:hint="eastAsia"/>
                                <w:sz w:val="14"/>
                                <w:szCs w:val="14"/>
                              </w:rPr>
                              <w:t xml:space="preserve"> </w:t>
                            </w:r>
                            <w:r w:rsidRPr="004935D9">
                              <w:rPr>
                                <w:rFonts w:hint="eastAsia"/>
                                <w:sz w:val="14"/>
                                <w:szCs w:val="14"/>
                              </w:rPr>
                              <w:t>立场碎块管盟之观点</w:t>
                            </w:r>
                            <w:r w:rsidRPr="004935D9">
                              <w:rPr>
                                <w:rFonts w:hint="eastAsia"/>
                                <w:sz w:val="14"/>
                                <w:szCs w:val="14"/>
                              </w:rPr>
                              <w:t xml:space="preserve">, </w:t>
                            </w:r>
                            <w:r w:rsidRPr="004935D9">
                              <w:rPr>
                                <w:rFonts w:hint="eastAsia"/>
                                <w:sz w:val="14"/>
                                <w:szCs w:val="14"/>
                              </w:rPr>
                              <w:t>而非空白共求之形式也。</w:t>
                            </w:r>
                            <w:r w:rsidRPr="004935D9">
                              <w:rPr>
                                <w:rFonts w:hint="eastAsia"/>
                                <w:sz w:val="14"/>
                                <w:szCs w:val="14"/>
                              </w:rPr>
                              <w:t xml:space="preserve"> </w:t>
                            </w:r>
                            <w:r w:rsidRPr="004935D9">
                              <w:rPr>
                                <w:rFonts w:hint="eastAsia"/>
                                <w:sz w:val="14"/>
                                <w:szCs w:val="14"/>
                              </w:rPr>
                              <w:t>马来亚郭新机</w:t>
                            </w:r>
                            <w:r w:rsidRPr="004935D9">
                              <w:rPr>
                                <w:rFonts w:hint="eastAsia"/>
                                <w:sz w:val="14"/>
                                <w:szCs w:val="14"/>
                              </w:rPr>
                              <w:t xml:space="preserve">, </w:t>
                            </w:r>
                            <w:r w:rsidRPr="004935D9">
                              <w:rPr>
                                <w:rFonts w:hint="eastAsia"/>
                                <w:sz w:val="14"/>
                                <w:szCs w:val="14"/>
                              </w:rPr>
                              <w:t>目前马来亚络海峡殖民地之调整</w:t>
                            </w:r>
                            <w:r w:rsidRPr="004935D9">
                              <w:rPr>
                                <w:rFonts w:hint="eastAsia"/>
                                <w:sz w:val="14"/>
                                <w:szCs w:val="14"/>
                              </w:rPr>
                              <w:t xml:space="preserve">, </w:t>
                            </w:r>
                            <w:r w:rsidRPr="004935D9">
                              <w:rPr>
                                <w:rFonts w:hint="eastAsia"/>
                                <w:sz w:val="14"/>
                                <w:szCs w:val="14"/>
                              </w:rPr>
                              <w:t>已由协海峡殖民法案丹尚保有特别地位</w:t>
                            </w:r>
                            <w:r w:rsidRPr="004935D9">
                              <w:rPr>
                                <w:rFonts w:hint="eastAsia"/>
                                <w:sz w:val="14"/>
                                <w:szCs w:val="14"/>
                              </w:rPr>
                              <w:t xml:space="preserve">, </w:t>
                            </w:r>
                            <w:r w:rsidRPr="004935D9">
                              <w:rPr>
                                <w:rFonts w:hint="eastAsia"/>
                                <w:sz w:val="14"/>
                                <w:szCs w:val="14"/>
                              </w:rPr>
                              <w:t>就立客邦火诗如取而你坦疾</w:t>
                            </w:r>
                            <w:r w:rsidRPr="004935D9">
                              <w:rPr>
                                <w:rFonts w:hint="eastAsia"/>
                                <w:sz w:val="14"/>
                                <w:szCs w:val="14"/>
                              </w:rPr>
                              <w:t xml:space="preserve">, </w:t>
                            </w:r>
                            <w:r w:rsidRPr="004935D9">
                              <w:rPr>
                                <w:rFonts w:hint="eastAsia"/>
                                <w:sz w:val="14"/>
                                <w:szCs w:val="14"/>
                              </w:rPr>
                              <w:t>撤白皮料所拟定</w:t>
                            </w:r>
                            <w:r w:rsidRPr="004935D9">
                              <w:rPr>
                                <w:rFonts w:hint="eastAsia"/>
                                <w:sz w:val="14"/>
                                <w:szCs w:val="14"/>
                              </w:rPr>
                              <w:t xml:space="preserve">, </w:t>
                            </w:r>
                            <w:r w:rsidRPr="004935D9">
                              <w:rPr>
                                <w:rFonts w:hint="eastAsia"/>
                                <w:sz w:val="14"/>
                                <w:szCs w:val="14"/>
                              </w:rPr>
                              <w:t>马来亚联邦</w:t>
                            </w:r>
                            <w:r w:rsidRPr="004935D9">
                              <w:rPr>
                                <w:rFonts w:hint="eastAsia"/>
                                <w:sz w:val="14"/>
                                <w:szCs w:val="14"/>
                              </w:rPr>
                              <w:t xml:space="preserve">, </w:t>
                            </w:r>
                            <w:r w:rsidRPr="004935D9">
                              <w:rPr>
                                <w:rFonts w:hint="eastAsia"/>
                                <w:sz w:val="14"/>
                                <w:szCs w:val="14"/>
                              </w:rPr>
                              <w:t>以地理宗教事务。</w:t>
                            </w:r>
                            <w:r w:rsidRPr="004935D9">
                              <w:rPr>
                                <w:rFonts w:hint="eastAsia"/>
                                <w:sz w:val="14"/>
                                <w:szCs w:val="14"/>
                              </w:rPr>
                              <w:t xml:space="preserve"> </w:t>
                            </w:r>
                            <w:r w:rsidRPr="004935D9">
                              <w:rPr>
                                <w:rFonts w:hint="eastAsia"/>
                                <w:sz w:val="14"/>
                                <w:szCs w:val="14"/>
                              </w:rPr>
                              <w:t>历妃日加坡</w:t>
                            </w:r>
                            <w:r w:rsidRPr="004935D9">
                              <w:rPr>
                                <w:rFonts w:hint="eastAsia"/>
                                <w:sz w:val="14"/>
                                <w:szCs w:val="14"/>
                              </w:rPr>
                              <w:t xml:space="preserve">, </w:t>
                            </w:r>
                            <w:r w:rsidRPr="004935D9">
                              <w:rPr>
                                <w:rFonts w:hint="eastAsia"/>
                                <w:sz w:val="14"/>
                                <w:szCs w:val="14"/>
                              </w:rPr>
                              <w:t>乃为分纵之行政域</w:t>
                            </w:r>
                            <w:r w:rsidRPr="004935D9">
                              <w:rPr>
                                <w:rFonts w:hint="eastAsia"/>
                                <w:sz w:val="14"/>
                                <w:szCs w:val="14"/>
                              </w:rPr>
                              <w:t xml:space="preserve">, </w:t>
                            </w:r>
                            <w:r w:rsidRPr="004935D9">
                              <w:rPr>
                                <w:rFonts w:hint="eastAsia"/>
                                <w:sz w:val="14"/>
                                <w:szCs w:val="14"/>
                              </w:rPr>
                              <w:t>设有二名不立法例</w:t>
                            </w:r>
                            <w:r w:rsidRPr="004935D9">
                              <w:rPr>
                                <w:rFonts w:hint="eastAsia"/>
                                <w:sz w:val="14"/>
                                <w:szCs w:val="14"/>
                              </w:rPr>
                              <w:t xml:space="preserve">, </w:t>
                            </w:r>
                            <w:r w:rsidRPr="004935D9">
                              <w:rPr>
                                <w:rFonts w:hint="eastAsia"/>
                                <w:sz w:val="14"/>
                                <w:szCs w:val="14"/>
                              </w:rPr>
                              <w:t>此极们是否将阻碍珊同之被性及立法会珠</w:t>
                            </w:r>
                            <w:r w:rsidRPr="004935D9">
                              <w:rPr>
                                <w:rFonts w:hint="eastAsia"/>
                                <w:sz w:val="14"/>
                                <w:szCs w:val="14"/>
                              </w:rPr>
                              <w:t xml:space="preserve">; </w:t>
                            </w:r>
                            <w:r w:rsidRPr="004935D9">
                              <w:rPr>
                                <w:rFonts w:hint="eastAsia"/>
                                <w:sz w:val="14"/>
                                <w:szCs w:val="14"/>
                              </w:rPr>
                              <w:t>虽然类别附对此新组织之合作</w:t>
                            </w:r>
                            <w:r w:rsidRPr="004935D9">
                              <w:rPr>
                                <w:rFonts w:hint="eastAsia"/>
                                <w:sz w:val="14"/>
                                <w:szCs w:val="14"/>
                              </w:rPr>
                              <w:t xml:space="preserve">, </w:t>
                            </w:r>
                            <w:r w:rsidRPr="004935D9">
                              <w:rPr>
                                <w:rFonts w:hint="eastAsia"/>
                                <w:sz w:val="14"/>
                                <w:szCs w:val="14"/>
                              </w:rPr>
                              <w:t>以阻延自治州之个继说</w:t>
                            </w:r>
                            <w:r w:rsidRPr="004935D9">
                              <w:rPr>
                                <w:rFonts w:hint="eastAsia"/>
                                <w:sz w:val="14"/>
                                <w:szCs w:val="14"/>
                              </w:rPr>
                              <w:t xml:space="preserve">, </w:t>
                            </w:r>
                            <w:r w:rsidRPr="004935D9">
                              <w:rPr>
                                <w:rFonts w:hint="eastAsia"/>
                                <w:sz w:val="14"/>
                                <w:szCs w:val="14"/>
                              </w:rPr>
                              <w:t>称系在央皇国外裁判权法令下。</w:t>
                            </w:r>
                            <w:r w:rsidRPr="004935D9">
                              <w:rPr>
                                <w:rFonts w:hint="eastAsia"/>
                                <w:sz w:val="14"/>
                                <w:szCs w:val="14"/>
                              </w:rPr>
                              <w:t xml:space="preserve"> </w:t>
                            </w:r>
                            <w:r w:rsidRPr="004935D9">
                              <w:rPr>
                                <w:rFonts w:hint="eastAsia"/>
                                <w:sz w:val="14"/>
                                <w:szCs w:val="14"/>
                              </w:rPr>
                              <w:t>使其疑问。</w:t>
                            </w:r>
                          </w:p>
                          <w:p w:rsidR="004935D9" w:rsidRPr="004935D9" w:rsidRDefault="002629DD" w:rsidP="004935D9">
                            <w:pPr>
                              <w:rPr>
                                <w:sz w:val="18"/>
                                <w:szCs w:val="18"/>
                              </w:rPr>
                            </w:pPr>
                            <w:r>
                              <w:rPr>
                                <w:sz w:val="18"/>
                                <w:szCs w:val="18"/>
                              </w:rPr>
                              <w:t>According to</w:t>
                            </w:r>
                            <w:r w:rsidR="004935D9" w:rsidRPr="004935D9">
                              <w:rPr>
                                <w:sz w:val="18"/>
                                <w:szCs w:val="18"/>
                              </w:rPr>
                              <w:t xml:space="preserve"> </w:t>
                            </w:r>
                            <w:r>
                              <w:rPr>
                                <w:sz w:val="18"/>
                                <w:szCs w:val="18"/>
                              </w:rPr>
                              <w:t xml:space="preserve">a </w:t>
                            </w:r>
                            <w:r w:rsidR="004935D9" w:rsidRPr="004935D9">
                              <w:rPr>
                                <w:sz w:val="18"/>
                                <w:szCs w:val="18"/>
                              </w:rPr>
                              <w:t>White P</w:t>
                            </w:r>
                            <w:r w:rsidR="004935D9">
                              <w:rPr>
                                <w:sz w:val="18"/>
                                <w:szCs w:val="18"/>
                              </w:rPr>
                              <w:t xml:space="preserve">aper released </w:t>
                            </w:r>
                            <w:r>
                              <w:rPr>
                                <w:sz w:val="18"/>
                                <w:szCs w:val="18"/>
                              </w:rPr>
                              <w:t xml:space="preserve">by the Government </w:t>
                            </w:r>
                            <w:r w:rsidR="004935D9">
                              <w:rPr>
                                <w:sz w:val="18"/>
                                <w:szCs w:val="18"/>
                              </w:rPr>
                              <w:t>yesterday</w:t>
                            </w:r>
                            <w:r>
                              <w:rPr>
                                <w:sz w:val="18"/>
                                <w:szCs w:val="18"/>
                              </w:rPr>
                              <w:t>, Malaya and Singapore will form different governments - with Singapore becoming its own country.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8.55pt;margin-top:409.5pt;width:609.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">
                <v:textbox style="mso-fit-shape-to-text:t">
                  <w:txbxContent>
                    <w:p w:rsidR="004935D9" w:rsidRDefault="004935D9">
                      <w:pPr>
                        <w:rPr>
                          <w:sz w:val="14"/>
                          <w:szCs w:val="14"/>
                        </w:rPr>
                      </w:pPr>
                      <w:r w:rsidRPr="004935D9">
                        <w:rPr>
                          <w:rFonts w:hint="eastAsia"/>
                          <w:sz w:val="14"/>
                          <w:szCs w:val="14"/>
                        </w:rPr>
                        <w:t>马来亚联邦与星加坡新政制临别的加陀政府昨日发表白皮器</w:t>
                      </w:r>
                      <w:r w:rsidRPr="004935D9">
                        <w:rPr>
                          <w:rFonts w:hint="eastAsia"/>
                          <w:sz w:val="14"/>
                          <w:szCs w:val="14"/>
                        </w:rPr>
                        <w:t xml:space="preserve"> , </w:t>
                      </w:r>
                      <w:r w:rsidRPr="004935D9">
                        <w:rPr>
                          <w:rFonts w:hint="eastAsia"/>
                          <w:sz w:val="14"/>
                          <w:szCs w:val="14"/>
                        </w:rPr>
                        <w:t>定布设立星加坡成为统一国家</w:t>
                      </w:r>
                      <w:r w:rsidRPr="004935D9">
                        <w:rPr>
                          <w:rFonts w:hint="eastAsia"/>
                          <w:sz w:val="14"/>
                          <w:szCs w:val="14"/>
                        </w:rPr>
                        <w:t xml:space="preserve"> , </w:t>
                      </w:r>
                      <w:r w:rsidRPr="004935D9">
                        <w:rPr>
                          <w:rFonts w:hint="eastAsia"/>
                          <w:sz w:val="14"/>
                          <w:szCs w:val="14"/>
                        </w:rPr>
                        <w:t>可使马及亚联邦新行政机构</w:t>
                      </w:r>
                      <w:r w:rsidRPr="004935D9">
                        <w:rPr>
                          <w:rFonts w:hint="eastAsia"/>
                          <w:sz w:val="14"/>
                          <w:szCs w:val="14"/>
                        </w:rPr>
                        <w:t xml:space="preserve"> </w:t>
                      </w:r>
                      <w:r w:rsidRPr="004935D9">
                        <w:rPr>
                          <w:rFonts w:hint="eastAsia"/>
                          <w:sz w:val="14"/>
                          <w:szCs w:val="14"/>
                        </w:rPr>
                        <w:t>。此为必进收妥张础制度</w:t>
                      </w:r>
                      <w:r w:rsidRPr="004935D9">
                        <w:rPr>
                          <w:rFonts w:hint="eastAsia"/>
                          <w:sz w:val="14"/>
                          <w:szCs w:val="14"/>
                        </w:rPr>
                        <w:t xml:space="preserve">, </w:t>
                      </w:r>
                      <w:r w:rsidRPr="004935D9">
                        <w:rPr>
                          <w:rFonts w:hint="eastAsia"/>
                          <w:sz w:val="14"/>
                          <w:szCs w:val="14"/>
                        </w:rPr>
                        <w:t>而她会成之位为来阳后以新施策</w:t>
                      </w:r>
                      <w:r w:rsidRPr="004935D9">
                        <w:rPr>
                          <w:rFonts w:hint="eastAsia"/>
                          <w:sz w:val="14"/>
                          <w:szCs w:val="14"/>
                        </w:rPr>
                        <w:t xml:space="preserve">, </w:t>
                      </w:r>
                      <w:r w:rsidRPr="004935D9">
                        <w:rPr>
                          <w:rFonts w:hint="eastAsia"/>
                          <w:sz w:val="14"/>
                          <w:szCs w:val="14"/>
                        </w:rPr>
                        <w:t>此效果如何</w:t>
                      </w:r>
                      <w:r w:rsidRPr="004935D9">
                        <w:rPr>
                          <w:rFonts w:hint="eastAsia"/>
                          <w:sz w:val="14"/>
                          <w:szCs w:val="14"/>
                        </w:rPr>
                        <w:t xml:space="preserve">, </w:t>
                      </w:r>
                      <w:r w:rsidRPr="004935D9">
                        <w:rPr>
                          <w:rFonts w:hint="eastAsia"/>
                          <w:sz w:val="14"/>
                          <w:szCs w:val="14"/>
                        </w:rPr>
                        <w:t>似伪全究其既泛水桃制度的初始以来亚人所关注</w:t>
                      </w:r>
                      <w:r w:rsidRPr="004935D9">
                        <w:rPr>
                          <w:rFonts w:hint="eastAsia"/>
                          <w:sz w:val="14"/>
                          <w:szCs w:val="14"/>
                        </w:rPr>
                        <w:t xml:space="preserve">, </w:t>
                      </w:r>
                      <w:r w:rsidRPr="004935D9">
                        <w:rPr>
                          <w:rFonts w:hint="eastAsia"/>
                          <w:sz w:val="14"/>
                          <w:szCs w:val="14"/>
                        </w:rPr>
                        <w:t>吾人站在人民将来福利之自治以外</w:t>
                      </w:r>
                      <w:r w:rsidRPr="004935D9">
                        <w:rPr>
                          <w:rFonts w:hint="eastAsia"/>
                          <w:sz w:val="14"/>
                          <w:szCs w:val="14"/>
                        </w:rPr>
                        <w:t xml:space="preserve">, </w:t>
                      </w:r>
                      <w:r w:rsidRPr="004935D9">
                        <w:rPr>
                          <w:rFonts w:hint="eastAsia"/>
                          <w:sz w:val="14"/>
                          <w:szCs w:val="14"/>
                        </w:rPr>
                        <w:t>并木明订人深皆现马来亚安局</w:t>
                      </w:r>
                      <w:r w:rsidRPr="004935D9">
                        <w:rPr>
                          <w:rFonts w:hint="eastAsia"/>
                          <w:sz w:val="14"/>
                          <w:szCs w:val="14"/>
                        </w:rPr>
                        <w:t xml:space="preserve">, </w:t>
                      </w:r>
                      <w:r w:rsidRPr="004935D9">
                        <w:rPr>
                          <w:rFonts w:hint="eastAsia"/>
                          <w:sz w:val="14"/>
                          <w:szCs w:val="14"/>
                        </w:rPr>
                        <w:t>由于昔日割裂洋与太平洋之歌要的币</w:t>
                      </w:r>
                      <w:r w:rsidRPr="004935D9">
                        <w:rPr>
                          <w:rFonts w:hint="eastAsia"/>
                          <w:sz w:val="14"/>
                          <w:szCs w:val="14"/>
                        </w:rPr>
                        <w:t xml:space="preserve">, </w:t>
                      </w:r>
                      <w:r w:rsidRPr="004935D9">
                        <w:rPr>
                          <w:rFonts w:hint="eastAsia"/>
                          <w:sz w:val="14"/>
                          <w:szCs w:val="14"/>
                        </w:rPr>
                        <w:t>亦为改善</w:t>
                      </w:r>
                      <w:r w:rsidRPr="004935D9">
                        <w:rPr>
                          <w:rFonts w:hint="eastAsia"/>
                          <w:sz w:val="14"/>
                          <w:szCs w:val="14"/>
                        </w:rPr>
                        <w:t xml:space="preserve">, </w:t>
                      </w:r>
                      <w:r w:rsidRPr="004935D9">
                        <w:rPr>
                          <w:rFonts w:hint="eastAsia"/>
                          <w:sz w:val="14"/>
                          <w:szCs w:val="14"/>
                        </w:rPr>
                        <w:t>在行政魏得比物良好</w:t>
                      </w:r>
                      <w:r w:rsidRPr="004935D9">
                        <w:rPr>
                          <w:rFonts w:hint="eastAsia"/>
                          <w:sz w:val="14"/>
                          <w:szCs w:val="14"/>
                        </w:rPr>
                        <w:t xml:space="preserve">, </w:t>
                      </w:r>
                      <w:r w:rsidRPr="004935D9">
                        <w:rPr>
                          <w:rFonts w:hint="eastAsia"/>
                          <w:sz w:val="14"/>
                          <w:szCs w:val="14"/>
                        </w:rPr>
                        <w:t>效率</w:t>
                      </w:r>
                      <w:r w:rsidRPr="004935D9">
                        <w:rPr>
                          <w:rFonts w:hint="eastAsia"/>
                          <w:sz w:val="14"/>
                          <w:szCs w:val="14"/>
                        </w:rPr>
                        <w:t xml:space="preserve">, </w:t>
                      </w:r>
                      <w:r w:rsidRPr="004935D9">
                        <w:rPr>
                          <w:rFonts w:hint="eastAsia"/>
                          <w:sz w:val="14"/>
                          <w:szCs w:val="14"/>
                        </w:rPr>
                        <w:t>故地。而是加坡本身除们常有山则此渴望埃政时路局</w:t>
                      </w:r>
                      <w:r w:rsidRPr="004935D9">
                        <w:rPr>
                          <w:rFonts w:hint="eastAsia"/>
                          <w:sz w:val="14"/>
                          <w:szCs w:val="14"/>
                        </w:rPr>
                        <w:t xml:space="preserve">, </w:t>
                      </w:r>
                      <w:r w:rsidRPr="004935D9">
                        <w:rPr>
                          <w:rFonts w:hint="eastAsia"/>
                          <w:sz w:val="14"/>
                          <w:szCs w:val="14"/>
                        </w:rPr>
                        <w:t>改变一九简说外</w:t>
                      </w:r>
                      <w:r w:rsidRPr="004935D9">
                        <w:rPr>
                          <w:rFonts w:hint="eastAsia"/>
                          <w:sz w:val="14"/>
                          <w:szCs w:val="14"/>
                        </w:rPr>
                        <w:t xml:space="preserve">, </w:t>
                      </w:r>
                      <w:r w:rsidRPr="004935D9">
                        <w:rPr>
                          <w:rFonts w:hint="eastAsia"/>
                          <w:sz w:val="14"/>
                          <w:szCs w:val="14"/>
                        </w:rPr>
                        <w:t>则仙微商场而已</w:t>
                      </w:r>
                      <w:r w:rsidRPr="004935D9">
                        <w:rPr>
                          <w:rFonts w:hint="eastAsia"/>
                          <w:sz w:val="14"/>
                          <w:szCs w:val="14"/>
                        </w:rPr>
                        <w:t xml:space="preserve">, </w:t>
                      </w:r>
                      <w:r w:rsidRPr="004935D9">
                        <w:rPr>
                          <w:rFonts w:hint="eastAsia"/>
                          <w:sz w:val="14"/>
                          <w:szCs w:val="14"/>
                        </w:rPr>
                        <w:t>他们的来职前统治宛民地照成</w:t>
                      </w:r>
                      <w:r w:rsidRPr="004935D9">
                        <w:rPr>
                          <w:rFonts w:hint="eastAsia"/>
                          <w:sz w:val="14"/>
                          <w:szCs w:val="14"/>
                        </w:rPr>
                        <w:t xml:space="preserve">, </w:t>
                      </w:r>
                      <w:r w:rsidRPr="004935D9">
                        <w:rPr>
                          <w:rFonts w:hint="eastAsia"/>
                          <w:sz w:val="14"/>
                          <w:szCs w:val="14"/>
                        </w:rPr>
                        <w:t>切饭股行联合国山亚联邦分离以</w:t>
                      </w:r>
                      <w:r w:rsidRPr="004935D9">
                        <w:rPr>
                          <w:rFonts w:hint="eastAsia"/>
                          <w:sz w:val="14"/>
                          <w:szCs w:val="14"/>
                        </w:rPr>
                        <w:t xml:space="preserve">, </w:t>
                      </w:r>
                      <w:r w:rsidRPr="004935D9">
                        <w:rPr>
                          <w:rFonts w:hint="eastAsia"/>
                          <w:sz w:val="14"/>
                          <w:szCs w:val="14"/>
                        </w:rPr>
                        <w:t>将生加则为以易商心大冰率</w:t>
                      </w:r>
                      <w:r w:rsidRPr="004935D9">
                        <w:rPr>
                          <w:rFonts w:hint="eastAsia"/>
                          <w:sz w:val="14"/>
                          <w:szCs w:val="14"/>
                        </w:rPr>
                        <w:t xml:space="preserve">, </w:t>
                      </w:r>
                      <w:proofErr w:type="gramStart"/>
                      <w:r w:rsidRPr="004935D9">
                        <w:rPr>
                          <w:rFonts w:hint="eastAsia"/>
                          <w:sz w:val="14"/>
                          <w:szCs w:val="14"/>
                        </w:rPr>
                        <w:t>改善马来亚</w:t>
                      </w:r>
                      <w:r w:rsidRPr="004935D9">
                        <w:rPr>
                          <w:rFonts w:hint="eastAsia"/>
                          <w:sz w:val="14"/>
                          <w:szCs w:val="14"/>
                        </w:rPr>
                        <w:t xml:space="preserve">( </w:t>
                      </w:r>
                      <w:r w:rsidRPr="004935D9">
                        <w:rPr>
                          <w:rFonts w:hint="eastAsia"/>
                          <w:sz w:val="14"/>
                          <w:szCs w:val="14"/>
                        </w:rPr>
                        <w:t>民生治</w:t>
                      </w:r>
                      <w:proofErr w:type="gramEnd"/>
                      <w:r w:rsidRPr="004935D9">
                        <w:rPr>
                          <w:rFonts w:hint="eastAsia"/>
                          <w:sz w:val="14"/>
                          <w:szCs w:val="14"/>
                        </w:rPr>
                        <w:t xml:space="preserve">, </w:t>
                      </w:r>
                      <w:r w:rsidRPr="004935D9">
                        <w:rPr>
                          <w:rFonts w:hint="eastAsia"/>
                          <w:sz w:val="14"/>
                          <w:szCs w:val="14"/>
                        </w:rPr>
                        <w:t>丁马来亚人民</w:t>
                      </w:r>
                      <w:r w:rsidRPr="004935D9">
                        <w:rPr>
                          <w:rFonts w:hint="eastAsia"/>
                          <w:sz w:val="14"/>
                          <w:szCs w:val="14"/>
                        </w:rPr>
                        <w:t>)</w:t>
                      </w:r>
                      <w:r w:rsidRPr="004935D9">
                        <w:rPr>
                          <w:rFonts w:hint="eastAsia"/>
                          <w:sz w:val="14"/>
                          <w:szCs w:val="14"/>
                        </w:rPr>
                        <w:t xml:space="preserve"> </w:t>
                      </w:r>
                      <w:r w:rsidRPr="004935D9">
                        <w:rPr>
                          <w:rFonts w:hint="eastAsia"/>
                          <w:sz w:val="14"/>
                          <w:szCs w:val="14"/>
                        </w:rPr>
                        <w:t>马来亚联邦则以立法行政州成</w:t>
                      </w:r>
                      <w:r w:rsidRPr="004935D9">
                        <w:rPr>
                          <w:rFonts w:hint="eastAsia"/>
                          <w:sz w:val="14"/>
                          <w:szCs w:val="14"/>
                        </w:rPr>
                        <w:t xml:space="preserve">, </w:t>
                      </w:r>
                      <w:r w:rsidRPr="004935D9">
                        <w:rPr>
                          <w:rFonts w:hint="eastAsia"/>
                          <w:sz w:val="14"/>
                          <w:szCs w:val="14"/>
                        </w:rPr>
                        <w:t>不同胡的肌出</w:t>
                      </w:r>
                      <w:r w:rsidRPr="004935D9">
                        <w:rPr>
                          <w:rFonts w:hint="eastAsia"/>
                          <w:sz w:val="14"/>
                          <w:szCs w:val="14"/>
                        </w:rPr>
                        <w:t xml:space="preserve">, </w:t>
                      </w:r>
                      <w:r w:rsidRPr="004935D9">
                        <w:rPr>
                          <w:rFonts w:hint="eastAsia"/>
                          <w:sz w:val="14"/>
                          <w:szCs w:val="14"/>
                        </w:rPr>
                        <w:t>认马来亚各民族蹈上自治前程。</w:t>
                      </w:r>
                      <w:r w:rsidRPr="004935D9">
                        <w:rPr>
                          <w:rFonts w:hint="eastAsia"/>
                          <w:sz w:val="14"/>
                          <w:szCs w:val="14"/>
                        </w:rPr>
                        <w:t xml:space="preserve"> </w:t>
                      </w:r>
                      <w:r w:rsidRPr="004935D9">
                        <w:rPr>
                          <w:rFonts w:hint="eastAsia"/>
                          <w:sz w:val="14"/>
                          <w:szCs w:val="14"/>
                        </w:rPr>
                        <w:t>监制政策</w:t>
                      </w:r>
                      <w:r w:rsidRPr="004935D9">
                        <w:rPr>
                          <w:rFonts w:hint="eastAsia"/>
                          <w:sz w:val="14"/>
                          <w:szCs w:val="14"/>
                        </w:rPr>
                        <w:t xml:space="preserve">, </w:t>
                      </w:r>
                      <w:r w:rsidRPr="004935D9">
                        <w:rPr>
                          <w:rFonts w:hint="eastAsia"/>
                          <w:sz w:val="14"/>
                          <w:szCs w:val="14"/>
                        </w:rPr>
                        <w:t>其结果必使他成功之处仍然三日美琳说目来扮扎价盘香铁路下之弱小民族</w:t>
                      </w:r>
                      <w:r w:rsidRPr="004935D9">
                        <w:rPr>
                          <w:rFonts w:hint="eastAsia"/>
                          <w:sz w:val="14"/>
                          <w:szCs w:val="14"/>
                        </w:rPr>
                        <w:t xml:space="preserve">, </w:t>
                      </w:r>
                      <w:r w:rsidRPr="004935D9">
                        <w:rPr>
                          <w:rFonts w:hint="eastAsia"/>
                          <w:sz w:val="14"/>
                          <w:szCs w:val="14"/>
                        </w:rPr>
                        <w:t>已由此</w:t>
                      </w:r>
                      <w:r w:rsidRPr="004935D9">
                        <w:rPr>
                          <w:rFonts w:hint="eastAsia"/>
                          <w:sz w:val="14"/>
                          <w:szCs w:val="14"/>
                        </w:rPr>
                        <w:t xml:space="preserve">, </w:t>
                      </w:r>
                      <w:r w:rsidRPr="004935D9">
                        <w:rPr>
                          <w:rFonts w:hint="eastAsia"/>
                          <w:sz w:val="14"/>
                          <w:szCs w:val="14"/>
                        </w:rPr>
                        <w:t>如今日在星加坡所采收之对外贸易政策研计会标次次放尔炮火所恐醒</w:t>
                      </w:r>
                      <w:r w:rsidRPr="004935D9">
                        <w:rPr>
                          <w:rFonts w:hint="eastAsia"/>
                          <w:sz w:val="14"/>
                          <w:szCs w:val="14"/>
                        </w:rPr>
                        <w:t xml:space="preserve">, </w:t>
                      </w:r>
                      <w:r w:rsidRPr="004935D9">
                        <w:rPr>
                          <w:rFonts w:hint="eastAsia"/>
                          <w:sz w:val="14"/>
                          <w:szCs w:val="14"/>
                        </w:rPr>
                        <w:t>所渴望苦</w:t>
                      </w:r>
                      <w:r w:rsidRPr="004935D9">
                        <w:rPr>
                          <w:rFonts w:hint="eastAsia"/>
                          <w:sz w:val="14"/>
                          <w:szCs w:val="14"/>
                        </w:rPr>
                        <w:t xml:space="preserve">, </w:t>
                      </w:r>
                      <w:r w:rsidRPr="004935D9">
                        <w:rPr>
                          <w:rFonts w:hint="eastAsia"/>
                          <w:sz w:val="14"/>
                          <w:szCs w:val="14"/>
                        </w:rPr>
                        <w:t>乃为自由平等。</w:t>
                      </w:r>
                      <w:r w:rsidRPr="004935D9">
                        <w:rPr>
                          <w:rFonts w:hint="eastAsia"/>
                          <w:sz w:val="14"/>
                          <w:szCs w:val="14"/>
                        </w:rPr>
                        <w:t xml:space="preserve"> </w:t>
                      </w:r>
                      <w:r w:rsidRPr="004935D9">
                        <w:rPr>
                          <w:rFonts w:hint="eastAsia"/>
                          <w:sz w:val="14"/>
                          <w:szCs w:val="14"/>
                        </w:rPr>
                        <w:t>立场碎块管盟之观点</w:t>
                      </w:r>
                      <w:r w:rsidRPr="004935D9">
                        <w:rPr>
                          <w:rFonts w:hint="eastAsia"/>
                          <w:sz w:val="14"/>
                          <w:szCs w:val="14"/>
                        </w:rPr>
                        <w:t xml:space="preserve">, </w:t>
                      </w:r>
                      <w:r w:rsidRPr="004935D9">
                        <w:rPr>
                          <w:rFonts w:hint="eastAsia"/>
                          <w:sz w:val="14"/>
                          <w:szCs w:val="14"/>
                        </w:rPr>
                        <w:t>而非空白共求之形式也。</w:t>
                      </w:r>
                      <w:r w:rsidRPr="004935D9">
                        <w:rPr>
                          <w:rFonts w:hint="eastAsia"/>
                          <w:sz w:val="14"/>
                          <w:szCs w:val="14"/>
                        </w:rPr>
                        <w:t xml:space="preserve"> </w:t>
                      </w:r>
                      <w:r w:rsidRPr="004935D9">
                        <w:rPr>
                          <w:rFonts w:hint="eastAsia"/>
                          <w:sz w:val="14"/>
                          <w:szCs w:val="14"/>
                        </w:rPr>
                        <w:t>马来亚郭新机</w:t>
                      </w:r>
                      <w:r w:rsidRPr="004935D9">
                        <w:rPr>
                          <w:rFonts w:hint="eastAsia"/>
                          <w:sz w:val="14"/>
                          <w:szCs w:val="14"/>
                        </w:rPr>
                        <w:t xml:space="preserve">, </w:t>
                      </w:r>
                      <w:r w:rsidRPr="004935D9">
                        <w:rPr>
                          <w:rFonts w:hint="eastAsia"/>
                          <w:sz w:val="14"/>
                          <w:szCs w:val="14"/>
                        </w:rPr>
                        <w:t>目前马来亚络海峡殖民地之调整</w:t>
                      </w:r>
                      <w:r w:rsidRPr="004935D9">
                        <w:rPr>
                          <w:rFonts w:hint="eastAsia"/>
                          <w:sz w:val="14"/>
                          <w:szCs w:val="14"/>
                        </w:rPr>
                        <w:t xml:space="preserve">, </w:t>
                      </w:r>
                      <w:r w:rsidRPr="004935D9">
                        <w:rPr>
                          <w:rFonts w:hint="eastAsia"/>
                          <w:sz w:val="14"/>
                          <w:szCs w:val="14"/>
                        </w:rPr>
                        <w:t>已由协海峡殖民法案丹尚保有特别地位</w:t>
                      </w:r>
                      <w:r w:rsidRPr="004935D9">
                        <w:rPr>
                          <w:rFonts w:hint="eastAsia"/>
                          <w:sz w:val="14"/>
                          <w:szCs w:val="14"/>
                        </w:rPr>
                        <w:t xml:space="preserve">, </w:t>
                      </w:r>
                      <w:r w:rsidRPr="004935D9">
                        <w:rPr>
                          <w:rFonts w:hint="eastAsia"/>
                          <w:sz w:val="14"/>
                          <w:szCs w:val="14"/>
                        </w:rPr>
                        <w:t>就立客邦火诗如取而你坦疾</w:t>
                      </w:r>
                      <w:r w:rsidRPr="004935D9">
                        <w:rPr>
                          <w:rFonts w:hint="eastAsia"/>
                          <w:sz w:val="14"/>
                          <w:szCs w:val="14"/>
                        </w:rPr>
                        <w:t xml:space="preserve">, </w:t>
                      </w:r>
                      <w:r w:rsidRPr="004935D9">
                        <w:rPr>
                          <w:rFonts w:hint="eastAsia"/>
                          <w:sz w:val="14"/>
                          <w:szCs w:val="14"/>
                        </w:rPr>
                        <w:t>撤白皮料所拟定</w:t>
                      </w:r>
                      <w:r w:rsidRPr="004935D9">
                        <w:rPr>
                          <w:rFonts w:hint="eastAsia"/>
                          <w:sz w:val="14"/>
                          <w:szCs w:val="14"/>
                        </w:rPr>
                        <w:t xml:space="preserve">, </w:t>
                      </w:r>
                      <w:r w:rsidRPr="004935D9">
                        <w:rPr>
                          <w:rFonts w:hint="eastAsia"/>
                          <w:sz w:val="14"/>
                          <w:szCs w:val="14"/>
                        </w:rPr>
                        <w:t>马来亚联邦</w:t>
                      </w:r>
                      <w:r w:rsidRPr="004935D9">
                        <w:rPr>
                          <w:rFonts w:hint="eastAsia"/>
                          <w:sz w:val="14"/>
                          <w:szCs w:val="14"/>
                        </w:rPr>
                        <w:t xml:space="preserve">, </w:t>
                      </w:r>
                      <w:r w:rsidRPr="004935D9">
                        <w:rPr>
                          <w:rFonts w:hint="eastAsia"/>
                          <w:sz w:val="14"/>
                          <w:szCs w:val="14"/>
                        </w:rPr>
                        <w:t>以地理宗教事务。</w:t>
                      </w:r>
                      <w:r w:rsidRPr="004935D9">
                        <w:rPr>
                          <w:rFonts w:hint="eastAsia"/>
                          <w:sz w:val="14"/>
                          <w:szCs w:val="14"/>
                        </w:rPr>
                        <w:t xml:space="preserve"> </w:t>
                      </w:r>
                      <w:r w:rsidRPr="004935D9">
                        <w:rPr>
                          <w:rFonts w:hint="eastAsia"/>
                          <w:sz w:val="14"/>
                          <w:szCs w:val="14"/>
                        </w:rPr>
                        <w:t>历妃日加坡</w:t>
                      </w:r>
                      <w:r w:rsidRPr="004935D9">
                        <w:rPr>
                          <w:rFonts w:hint="eastAsia"/>
                          <w:sz w:val="14"/>
                          <w:szCs w:val="14"/>
                        </w:rPr>
                        <w:t xml:space="preserve">, </w:t>
                      </w:r>
                      <w:r w:rsidRPr="004935D9">
                        <w:rPr>
                          <w:rFonts w:hint="eastAsia"/>
                          <w:sz w:val="14"/>
                          <w:szCs w:val="14"/>
                        </w:rPr>
                        <w:t>乃为分纵之行政域</w:t>
                      </w:r>
                      <w:r w:rsidRPr="004935D9">
                        <w:rPr>
                          <w:rFonts w:hint="eastAsia"/>
                          <w:sz w:val="14"/>
                          <w:szCs w:val="14"/>
                        </w:rPr>
                        <w:t xml:space="preserve">, </w:t>
                      </w:r>
                      <w:r w:rsidRPr="004935D9">
                        <w:rPr>
                          <w:rFonts w:hint="eastAsia"/>
                          <w:sz w:val="14"/>
                          <w:szCs w:val="14"/>
                        </w:rPr>
                        <w:t>设有二名不立法例</w:t>
                      </w:r>
                      <w:r w:rsidRPr="004935D9">
                        <w:rPr>
                          <w:rFonts w:hint="eastAsia"/>
                          <w:sz w:val="14"/>
                          <w:szCs w:val="14"/>
                        </w:rPr>
                        <w:t xml:space="preserve">, </w:t>
                      </w:r>
                      <w:r w:rsidRPr="004935D9">
                        <w:rPr>
                          <w:rFonts w:hint="eastAsia"/>
                          <w:sz w:val="14"/>
                          <w:szCs w:val="14"/>
                        </w:rPr>
                        <w:t>此极们是否将阻碍珊同之被性及立法会珠</w:t>
                      </w:r>
                      <w:r w:rsidRPr="004935D9">
                        <w:rPr>
                          <w:rFonts w:hint="eastAsia"/>
                          <w:sz w:val="14"/>
                          <w:szCs w:val="14"/>
                        </w:rPr>
                        <w:t xml:space="preserve">; </w:t>
                      </w:r>
                      <w:r w:rsidRPr="004935D9">
                        <w:rPr>
                          <w:rFonts w:hint="eastAsia"/>
                          <w:sz w:val="14"/>
                          <w:szCs w:val="14"/>
                        </w:rPr>
                        <w:t>虽然类别附对此新组织之合作</w:t>
                      </w:r>
                      <w:r w:rsidRPr="004935D9">
                        <w:rPr>
                          <w:rFonts w:hint="eastAsia"/>
                          <w:sz w:val="14"/>
                          <w:szCs w:val="14"/>
                        </w:rPr>
                        <w:t xml:space="preserve">, </w:t>
                      </w:r>
                      <w:r w:rsidRPr="004935D9">
                        <w:rPr>
                          <w:rFonts w:hint="eastAsia"/>
                          <w:sz w:val="14"/>
                          <w:szCs w:val="14"/>
                        </w:rPr>
                        <w:t>以阻延自治州之个继说</w:t>
                      </w:r>
                      <w:r w:rsidRPr="004935D9">
                        <w:rPr>
                          <w:rFonts w:hint="eastAsia"/>
                          <w:sz w:val="14"/>
                          <w:szCs w:val="14"/>
                        </w:rPr>
                        <w:t xml:space="preserve">, </w:t>
                      </w:r>
                      <w:r w:rsidRPr="004935D9">
                        <w:rPr>
                          <w:rFonts w:hint="eastAsia"/>
                          <w:sz w:val="14"/>
                          <w:szCs w:val="14"/>
                        </w:rPr>
                        <w:t>称系在央皇国外裁判权法令下。</w:t>
                      </w:r>
                      <w:r w:rsidRPr="004935D9">
                        <w:rPr>
                          <w:rFonts w:hint="eastAsia"/>
                          <w:sz w:val="14"/>
                          <w:szCs w:val="14"/>
                        </w:rPr>
                        <w:t xml:space="preserve"> </w:t>
                      </w:r>
                      <w:r w:rsidRPr="004935D9">
                        <w:rPr>
                          <w:rFonts w:hint="eastAsia"/>
                          <w:sz w:val="14"/>
                          <w:szCs w:val="14"/>
                        </w:rPr>
                        <w:t>使其疑问。</w:t>
                      </w:r>
                    </w:p>
                    <w:p w:rsidR="004935D9" w:rsidRPr="004935D9" w:rsidRDefault="002629DD" w:rsidP="004935D9">
                      <w:pPr>
                        <w:rPr>
                          <w:rFonts w:hint="eastAsia"/>
                          <w:sz w:val="18"/>
                          <w:szCs w:val="18"/>
                        </w:rPr>
                      </w:pPr>
                      <w:r>
                        <w:rPr>
                          <w:sz w:val="18"/>
                          <w:szCs w:val="18"/>
                        </w:rPr>
                        <w:t>According to</w:t>
                      </w:r>
                      <w:r w:rsidR="004935D9" w:rsidRPr="004935D9">
                        <w:rPr>
                          <w:sz w:val="18"/>
                          <w:szCs w:val="18"/>
                        </w:rPr>
                        <w:t xml:space="preserve"> </w:t>
                      </w:r>
                      <w:r>
                        <w:rPr>
                          <w:sz w:val="18"/>
                          <w:szCs w:val="18"/>
                        </w:rPr>
                        <w:t xml:space="preserve">a </w:t>
                      </w:r>
                      <w:r w:rsidR="004935D9" w:rsidRPr="004935D9">
                        <w:rPr>
                          <w:sz w:val="18"/>
                          <w:szCs w:val="18"/>
                        </w:rPr>
                        <w:t>White P</w:t>
                      </w:r>
                      <w:r w:rsidR="004935D9">
                        <w:rPr>
                          <w:sz w:val="18"/>
                          <w:szCs w:val="18"/>
                        </w:rPr>
                        <w:t xml:space="preserve">aper released </w:t>
                      </w:r>
                      <w:r>
                        <w:rPr>
                          <w:sz w:val="18"/>
                          <w:szCs w:val="18"/>
                        </w:rPr>
                        <w:t xml:space="preserve">by the Government </w:t>
                      </w:r>
                      <w:r w:rsidR="004935D9">
                        <w:rPr>
                          <w:sz w:val="18"/>
                          <w:szCs w:val="18"/>
                        </w:rPr>
                        <w:t>yesterday</w:t>
                      </w:r>
                      <w:r>
                        <w:rPr>
                          <w:sz w:val="18"/>
                          <w:szCs w:val="18"/>
                        </w:rPr>
                        <w:t>, Malaya and Singapore will form different governments - with Singapore becoming its own country.</w:t>
                      </w:r>
                    </w:p>
                  </w:txbxContent>
                </v:textbox>
                <w10:wrap type="square" anchorx="page"/>
              </v:shape>
            </w:pict>
          </mc:Fallback>
        </mc:AlternateContent>
      </w:r>
    </w:p>
    <w:p w:rsidR="009B3E93" w:rsidRPr="00595E4D" w:rsidRDefault="00434415" w:rsidP="00FD28B1">
      <w:r>
        <w:rPr>
          <w:noProof/>
        </w:rPr>
        <w:lastRenderedPageBreak/>
        <w:drawing>
          <wp:inline distT="0" distB="0" distL="0" distR="0" wp14:anchorId="7C008958" wp14:editId="3BA1DC72">
            <wp:extent cx="240284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840" cy="1790700"/>
                    </a:xfrm>
                    <a:prstGeom prst="rect">
                      <a:avLst/>
                    </a:prstGeom>
                    <a:noFill/>
                    <a:ln>
                      <a:noFill/>
                    </a:ln>
                  </pic:spPr>
                </pic:pic>
              </a:graphicData>
            </a:graphic>
          </wp:inline>
        </w:drawing>
      </w:r>
    </w:p>
    <w:p w:rsidR="00A53291" w:rsidRDefault="00A53291" w:rsidP="00C1095E">
      <w:r>
        <w:t xml:space="preserve">Singapore “was expected to become “a sort of District of Columbia”, the headquarters of the British Governor-General for Southeast Asia, with its own local government.” </w:t>
      </w:r>
      <w:r w:rsidR="00FD28B1">
        <w:rPr>
          <w:rStyle w:val="FootnoteReference"/>
        </w:rPr>
        <w:footnoteReference w:id="6"/>
      </w:r>
      <w:r w:rsidR="00C1095E">
        <w:t xml:space="preserve"> </w:t>
      </w:r>
      <w:r w:rsidR="006A2CAF">
        <w:t xml:space="preserve">The British wanted to keep Singapore as a military outpost in a region of geopolitical rivalry, in much the same vein as Hong Kong or Gibraltar. </w:t>
      </w:r>
      <w:r w:rsidR="00C1095E">
        <w:t>Although the colonial administration made every effort to ensure Singaporeans have a constitutional pathway back towards re-joining Malaya, this initial bifurcation would lead Singapore down a very different path from the mainland. Insulated from the</w:t>
      </w:r>
      <w:r w:rsidR="006A2CAF">
        <w:t xml:space="preserve"> Mainland, Singapore will develop its own political institutions and parties.</w:t>
      </w:r>
    </w:p>
    <w:p w:rsidR="006A2CAF" w:rsidRDefault="006A2CAF" w:rsidP="006A2CAF">
      <w:r>
        <w:t xml:space="preserve">Correspondingly, Singapore’s political awakening became centred on an issue different from the mainland. While the Mainland struggled and laboured to forge a power-sharing compromise between ethnic groups, Singaporean politics </w:t>
      </w:r>
      <w:r>
        <w:lastRenderedPageBreak/>
        <w:t>was dominated by a far simpler question: how best can we pressure the British to allow us to re-join Malaya on democratic grounds?</w:t>
      </w:r>
    </w:p>
    <w:p w:rsidR="006A2CAF" w:rsidRDefault="006A2CAF" w:rsidP="006A2CAF">
      <w:r>
        <w:t xml:space="preserve">Singapore’s first indigenous political party was the Malayan Democratic Union. The party, made up of </w:t>
      </w:r>
      <w:r w:rsidR="008040CB">
        <w:t xml:space="preserve">English-educated, middle-classed office workers, was moderate in its demands: </w:t>
      </w:r>
    </w:p>
    <w:p w:rsidR="008040CB" w:rsidRDefault="008040CB" w:rsidP="008040CB">
      <w:r>
        <w:t xml:space="preserve">At any rate, in the Mainland, this period saw the rapid rise of the United Malays National Organisation – UMNO. UMNO demanded that Singapore be excluded from any new Malayan state on the grounds of </w:t>
      </w:r>
    </w:p>
    <w:p w:rsidR="00E92F9B" w:rsidRDefault="00E92F9B" w:rsidP="008040CB"/>
    <w:p w:rsidR="00E92F9B" w:rsidRDefault="00B564EC" w:rsidP="00E92F9B">
      <w:pPr>
        <w:pStyle w:val="Heading1"/>
      </w:pPr>
      <w:r>
        <w:t>Planning for Singapore’s first elections</w:t>
      </w:r>
    </w:p>
    <w:p w:rsidR="008534B5" w:rsidRDefault="00113781" w:rsidP="0093673F">
      <w:r>
        <w:t>On 21 July 1953, Singapore’s governor John Nicoll appoint</w:t>
      </w:r>
      <w:r w:rsidR="00D025A1">
        <w:t xml:space="preserve">ed Sir </w:t>
      </w:r>
      <w:r w:rsidR="00D16258">
        <w:t xml:space="preserve">George </w:t>
      </w:r>
      <w:proofErr w:type="spellStart"/>
      <w:r w:rsidR="00D16258">
        <w:t>Rendel</w:t>
      </w:r>
      <w:proofErr w:type="spellEnd"/>
      <w:r w:rsidR="00D16258">
        <w:t xml:space="preserve">, a British diplomat, to chair a committee on constitutional changes. </w:t>
      </w:r>
    </w:p>
    <w:p w:rsidR="00D16258" w:rsidRDefault="00D16258" w:rsidP="0093673F"/>
    <w:p w:rsidR="00D16258" w:rsidRDefault="00D16258" w:rsidP="00D16258">
      <w:r>
        <w:t>--</w:t>
      </w:r>
    </w:p>
    <w:p w:rsidR="003852D0" w:rsidRDefault="0050559C" w:rsidP="0093673F">
      <w:r>
        <w:lastRenderedPageBreak/>
        <w:t xml:space="preserve">The </w:t>
      </w:r>
      <w:proofErr w:type="spellStart"/>
      <w:r>
        <w:t>Rendel</w:t>
      </w:r>
      <w:proofErr w:type="spellEnd"/>
      <w:r>
        <w:t xml:space="preserve"> Report announced that Singapore should be tutored in self-governance before being granted independence. The first step in this plan was to create an elected government of limited powers. Critics, however, were rather sceptical about true British intentions. For many, this was a convenient cover story for the colonialists to delay true medaka. </w:t>
      </w:r>
      <w:r w:rsidR="0093673F">
        <w:t xml:space="preserve">The People’s Action Party, then the most radical pro-medaka political party in Singapore, condemned the </w:t>
      </w:r>
      <w:proofErr w:type="spellStart"/>
      <w:r w:rsidR="0093673F">
        <w:t>Rendel</w:t>
      </w:r>
      <w:proofErr w:type="spellEnd"/>
      <w:r w:rsidR="0093673F">
        <w:t xml:space="preserve"> Constitution on five grounds:</w:t>
      </w:r>
    </w:p>
    <w:p w:rsidR="0093673F" w:rsidRDefault="0093673F" w:rsidP="0093673F">
      <w:pPr>
        <w:pStyle w:val="ListParagraph"/>
        <w:numPr>
          <w:ilvl w:val="0"/>
          <w:numId w:val="3"/>
        </w:numPr>
      </w:pPr>
      <w:r>
        <w:t>The legislature was to have 7 unelected members and the government had limited powers.</w:t>
      </w:r>
    </w:p>
    <w:p w:rsidR="0093673F" w:rsidRDefault="0093673F" w:rsidP="0093673F">
      <w:pPr>
        <w:pStyle w:val="ListParagraph"/>
        <w:numPr>
          <w:ilvl w:val="0"/>
          <w:numId w:val="3"/>
        </w:numPr>
      </w:pPr>
      <w:r>
        <w:t>The constitution included emergency powers such as the ability for a government to detain persons without trial</w:t>
      </w:r>
    </w:p>
    <w:p w:rsidR="0093673F" w:rsidRDefault="0093673F" w:rsidP="0093673F">
      <w:pPr>
        <w:pStyle w:val="ListParagraph"/>
        <w:numPr>
          <w:ilvl w:val="0"/>
          <w:numId w:val="3"/>
        </w:numPr>
      </w:pPr>
      <w:r>
        <w:t>The constitution did not provide for a multi-lingual legislature</w:t>
      </w:r>
    </w:p>
    <w:p w:rsidR="0093673F" w:rsidRDefault="0093673F" w:rsidP="0093673F">
      <w:pPr>
        <w:pStyle w:val="ListParagraph"/>
        <w:numPr>
          <w:ilvl w:val="0"/>
          <w:numId w:val="3"/>
        </w:numPr>
      </w:pPr>
      <w:r>
        <w:t>Trade unions were not permitted to set up political funds</w:t>
      </w:r>
    </w:p>
    <w:p w:rsidR="0093673F" w:rsidRPr="0050559C" w:rsidRDefault="0093673F" w:rsidP="0093673F">
      <w:pPr>
        <w:pStyle w:val="ListParagraph"/>
        <w:numPr>
          <w:ilvl w:val="0"/>
          <w:numId w:val="3"/>
        </w:numPr>
      </w:pPr>
      <w:r>
        <w:t>It allows British Armed Services members extra-territorial rights.</w:t>
      </w:r>
      <w:r>
        <w:rPr>
          <w:rStyle w:val="FootnoteReference"/>
        </w:rPr>
        <w:footnoteReference w:id="7"/>
      </w:r>
    </w:p>
    <w:p w:rsidR="0093673F" w:rsidRDefault="0093673F" w:rsidP="00D16258">
      <w:pPr>
        <w:ind w:right="600" w:firstLine="0"/>
      </w:pPr>
    </w:p>
    <w:p w:rsidR="00113781" w:rsidRPr="00595E4D" w:rsidRDefault="0093673F" w:rsidP="00113781">
      <w:r>
        <w:lastRenderedPageBreak/>
        <w:t xml:space="preserve">The critics, however, were out of power. </w:t>
      </w:r>
      <w:r w:rsidR="00113781">
        <w:t>In 1954, only 9 of the 22 members on the</w:t>
      </w:r>
      <w:r>
        <w:t xml:space="preserve"> legislative council </w:t>
      </w:r>
      <w:r w:rsidR="00113781">
        <w:t>were elected; the rest were either appointed, nominated, or government officials.</w:t>
      </w:r>
    </w:p>
    <w:p w:rsidR="008534B5" w:rsidRPr="006C1C9C" w:rsidRDefault="00E3490C" w:rsidP="006C1C9C">
      <w:pPr>
        <w:pStyle w:val="Heading1"/>
      </w:pPr>
      <w:r>
        <w:t>Planning for the elections</w:t>
      </w:r>
    </w:p>
    <w:p w:rsidR="00E3490C" w:rsidRDefault="00E3490C" w:rsidP="00E3490C">
      <w:r>
        <w:t xml:space="preserve">The </w:t>
      </w:r>
      <w:proofErr w:type="spellStart"/>
      <w:r>
        <w:t>Rendel</w:t>
      </w:r>
      <w:proofErr w:type="spellEnd"/>
      <w:r>
        <w:t xml:space="preserve"> Report was signed into law by Governor John Nicoll on 23 February 1954. In anticipation of the election, Singaporeans hustled to find like-minded minds, rally supporters, and start new political parties. It was during this period when the People’s Action Party and Labour Front was formed.</w:t>
      </w:r>
    </w:p>
    <w:p w:rsidR="00E3490C" w:rsidRDefault="00E3490C" w:rsidP="00E3490C">
      <w:r>
        <w:t>But as political newcomers hustled and organised, more simple questions needed to be asked: what form will Singapore’s new democracy take?</w:t>
      </w:r>
    </w:p>
    <w:p w:rsidR="00AD5862" w:rsidRPr="00EE687B" w:rsidRDefault="00E3490C" w:rsidP="00E3490C">
      <w:r>
        <w:t xml:space="preserve">Some of these fundamental questions of democracy has already been settled. Singapore was to inherit the </w:t>
      </w:r>
      <w:r w:rsidRPr="00EE687B">
        <w:rPr>
          <w:b/>
        </w:rPr>
        <w:t xml:space="preserve">Westminster </w:t>
      </w:r>
      <w:r w:rsidR="00AD5862" w:rsidRPr="00EE687B">
        <w:rPr>
          <w:b/>
        </w:rPr>
        <w:t>system</w:t>
      </w:r>
      <w:r w:rsidR="00AD5862">
        <w:t xml:space="preserve"> of Democracy from the United Kingdom. Each new member of the legislature assembly will be responsible to, and be voted in by, the inhabitants of a pre-defined geographical area. Each geographical area will be represented by only one member, and the representative will be whomever gets the most votes – even if they get less than 50% of the vote.</w:t>
      </w:r>
      <w:r w:rsidR="00EE687B">
        <w:t xml:space="preserve"> This is known as </w:t>
      </w:r>
      <w:r w:rsidR="00EE687B">
        <w:rPr>
          <w:b/>
        </w:rPr>
        <w:t>First-Past-The-Post</w:t>
      </w:r>
      <w:r w:rsidR="00EE687B">
        <w:t>.</w:t>
      </w:r>
    </w:p>
    <w:p w:rsidR="006C1C9C" w:rsidRDefault="006C1C9C" w:rsidP="00E3490C"/>
    <w:p w:rsidR="006C1C9C" w:rsidRDefault="006C1C9C" w:rsidP="006C1C9C">
      <w:pPr>
        <w:pStyle w:val="Heading2"/>
      </w:pPr>
      <w:r>
        <w:lastRenderedPageBreak/>
        <w:t>What type of Democracy?</w:t>
      </w:r>
    </w:p>
    <w:p w:rsidR="00EE687B" w:rsidRDefault="00AD5862" w:rsidP="00E3490C">
      <w:r>
        <w:t xml:space="preserve">This was not the only form of Democracy Singapore could have chosen. In 1952, Governor Nicoll </w:t>
      </w:r>
      <w:r w:rsidR="00EE687B">
        <w:t xml:space="preserve">suggested an electoral system where Singaporeans in </w:t>
      </w:r>
      <w:r w:rsidR="00EE687B" w:rsidRPr="00EE687B">
        <w:rPr>
          <w:b/>
        </w:rPr>
        <w:t>constituencies of race</w:t>
      </w:r>
      <w:r w:rsidR="00EE687B">
        <w:t>; the Chinese community will vote for their own representatives, while the Malay community will vote for their own representatives. This idea, however, was unanimously condemned by the Council of Advisors as “Repugnant to all ideas of Democracy”.</w:t>
      </w:r>
    </w:p>
    <w:p w:rsidR="006C1C9C" w:rsidRDefault="00EE687B" w:rsidP="00E3490C">
      <w:r>
        <w:t>Throughout the world, young democracies are experimenting with all sorts of electoral systems. Israel</w:t>
      </w:r>
      <w:r w:rsidR="00E64F85">
        <w:t xml:space="preserve"> </w:t>
      </w:r>
      <w:r w:rsidR="00D03EA9">
        <w:t xml:space="preserve">and West Germany </w:t>
      </w:r>
      <w:r>
        <w:t xml:space="preserve">has found considerable success with </w:t>
      </w:r>
      <w:r>
        <w:rPr>
          <w:b/>
        </w:rPr>
        <w:t>Proportional Representation</w:t>
      </w:r>
      <w:r w:rsidR="00E64F85">
        <w:t>.</w:t>
      </w:r>
      <w:r w:rsidR="00304FB2">
        <w:t xml:space="preserve"> </w:t>
      </w:r>
    </w:p>
    <w:p w:rsidR="006C1C9C" w:rsidRDefault="00304FB2" w:rsidP="006C1C9C">
      <w:r>
        <w:t>Instead of voting for a specific member of parliament</w:t>
      </w:r>
      <w:r w:rsidR="000169F1">
        <w:t>,</w:t>
      </w:r>
      <w:r>
        <w:t xml:space="preserve"> Israelis vot</w:t>
      </w:r>
      <w:r w:rsidR="006805BC">
        <w:t>ed</w:t>
      </w:r>
      <w:r>
        <w:t xml:space="preserve"> for their preferred political party.</w:t>
      </w:r>
      <w:r w:rsidR="006805BC">
        <w:t xml:space="preserve"> Israel’s political parties are allocated seats based on their share of the total vote.</w:t>
      </w:r>
      <w:r w:rsidR="003E737C">
        <w:t xml:space="preserve"> The political parties get to choose who will fill their allocated seats.</w:t>
      </w:r>
    </w:p>
    <w:p w:rsidR="006C1C9C" w:rsidRDefault="00D94C95" w:rsidP="009800B4">
      <w:pPr>
        <w:pStyle w:val="Heading2"/>
      </w:pPr>
      <w:r>
        <w:t>Singapore was not a city-state</w:t>
      </w:r>
    </w:p>
    <w:p w:rsidR="00D94C95" w:rsidRDefault="00D94C95" w:rsidP="00D94C95">
      <w:r>
        <w:t xml:space="preserve">But back to Singapore; the </w:t>
      </w:r>
      <w:proofErr w:type="spellStart"/>
      <w:r>
        <w:t>Rendel</w:t>
      </w:r>
      <w:proofErr w:type="spellEnd"/>
      <w:r>
        <w:t xml:space="preserve"> Report was extremely concerned </w:t>
      </w:r>
      <w:r w:rsidR="00AE33E4">
        <w:t>about protecting the interests of kampung dwellers in Singapore.</w:t>
      </w:r>
      <w:r w:rsidR="006900A8">
        <w:t xml:space="preserve"> </w:t>
      </w:r>
      <w:r w:rsidR="00050540">
        <w:t>In the Singapore of 1954, Singapore was divided between the City Council and Rural Board</w:t>
      </w:r>
      <w:r w:rsidR="009259AC">
        <w:t xml:space="preserve">. With the </w:t>
      </w:r>
      <w:r w:rsidR="009259AC">
        <w:lastRenderedPageBreak/>
        <w:t>population rapidly rising due to the post-war boom in birth rates, the urban population is set to increase even more</w:t>
      </w:r>
      <w:r w:rsidR="00A64EC1">
        <w:t>.</w:t>
      </w:r>
    </w:p>
    <w:p w:rsidR="00A64EC1" w:rsidRPr="00D94C95" w:rsidRDefault="00A64EC1" w:rsidP="00D94C95">
      <w:r>
        <w:t xml:space="preserve">A larger urban population means that kampung dwellers may get outvoted in elections. </w:t>
      </w:r>
      <w:r w:rsidR="003E2F77">
        <w:t>Kampung dwellers may also be evicted from their homes if a land-hungry city kept expanding. This was already evident in</w:t>
      </w:r>
      <w:r w:rsidR="00F53BFC">
        <w:t xml:space="preserve"> two new projects: </w:t>
      </w:r>
      <w:proofErr w:type="spellStart"/>
      <w:r w:rsidR="00F53BFC">
        <w:t>Paya</w:t>
      </w:r>
      <w:proofErr w:type="spellEnd"/>
      <w:r w:rsidR="00F53BFC">
        <w:t xml:space="preserve"> </w:t>
      </w:r>
      <w:proofErr w:type="spellStart"/>
      <w:r w:rsidR="00F53BFC">
        <w:t>Lebar</w:t>
      </w:r>
      <w:proofErr w:type="spellEnd"/>
      <w:r w:rsidR="00F53BFC">
        <w:t xml:space="preserve"> </w:t>
      </w:r>
      <w:r w:rsidR="004E2D51">
        <w:t>A</w:t>
      </w:r>
      <w:r w:rsidR="00F53BFC">
        <w:t xml:space="preserve">irport and </w:t>
      </w:r>
      <w:r w:rsidR="004E2D51">
        <w:t>the new housing estates of the Singapore Improvement Trust, the forerunner of HDB.</w:t>
      </w:r>
      <w:bookmarkStart w:id="1" w:name="_GoBack"/>
      <w:bookmarkEnd w:id="1"/>
    </w:p>
    <w:p w:rsidR="009800B4" w:rsidRPr="009800B4" w:rsidRDefault="009800B4" w:rsidP="009800B4"/>
    <w:sectPr w:rsidR="009800B4" w:rsidRPr="0098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62B" w:rsidRDefault="00C2062B" w:rsidP="00D71D98">
      <w:pPr>
        <w:spacing w:after="0" w:line="240" w:lineRule="auto"/>
      </w:pPr>
      <w:r>
        <w:separator/>
      </w:r>
    </w:p>
  </w:endnote>
  <w:endnote w:type="continuationSeparator" w:id="0">
    <w:p w:rsidR="00C2062B" w:rsidRDefault="00C2062B" w:rsidP="00D7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ora">
    <w:panose1 w:val="00000500000000000000"/>
    <w:charset w:val="00"/>
    <w:family w:val="auto"/>
    <w:pitch w:val="variable"/>
    <w:sig w:usb0="20000207" w:usb1="00000000"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hilosopher">
    <w:panose1 w:val="00000500000000000000"/>
    <w:charset w:val="00"/>
    <w:family w:val="auto"/>
    <w:pitch w:val="variable"/>
    <w:sig w:usb0="20000207" w:usb1="00000000" w:usb2="00000000" w:usb3="00000000" w:csb0="00000115"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62B" w:rsidRDefault="00C2062B" w:rsidP="00D71D98">
      <w:pPr>
        <w:spacing w:after="0" w:line="240" w:lineRule="auto"/>
      </w:pPr>
      <w:r>
        <w:separator/>
      </w:r>
    </w:p>
  </w:footnote>
  <w:footnote w:type="continuationSeparator" w:id="0">
    <w:p w:rsidR="00C2062B" w:rsidRDefault="00C2062B" w:rsidP="00D71D98">
      <w:pPr>
        <w:spacing w:after="0" w:line="240" w:lineRule="auto"/>
      </w:pPr>
      <w:r>
        <w:continuationSeparator/>
      </w:r>
    </w:p>
  </w:footnote>
  <w:footnote w:id="1">
    <w:p w:rsidR="004374CE" w:rsidRDefault="004374CE" w:rsidP="004374CE">
      <w:pPr>
        <w:pStyle w:val="FootnoteText"/>
      </w:pPr>
      <w:r>
        <w:rPr>
          <w:rStyle w:val="FootnoteReference"/>
        </w:rPr>
        <w:footnoteRef/>
      </w:r>
      <w:r>
        <w:t xml:space="preserve"> </w:t>
      </w:r>
      <w:r>
        <w:fldChar w:fldCharType="begin" w:fldLock="1"/>
      </w:r>
      <w:r>
        <w:instrText>ADDIN CSL_CITATION {"citationItems":[{"id":"ITEM-1","itemData":{"author":[{"dropping-particle":"","family":"Louis","given":"WM. Roger","non-dropping-particle":"","parse-names":false,"suffix":""}],"chapter-number":"14","container-title":"The Oxford History of the British Empire: Volume IV: The Twentieth Century","editor":[{"dropping-particle":"","family":"Brown","given":"Judith","non-dropping-particle":"","parse-names":false,"suffix":""},{"dropping-particle":"","family":"Louis","given":"Wm Roger","non-dropping-particle":"","parse-names":false,"suffix":""}],"id":"ITEM-1","issued":{"date-parts":[["1999"]]},"publisher":"Oxford University Press","title":"The Dissolution of the British Empire","type":"chapter"},"uris":["http://www.mendeley.com/documents/?uuid=6b6a56a8-be26-4d28-b646-3433a74c548a"]}],"mendeley":{"formattedCitation":"WM. Roger Louis, “The Dissolution of the British Empire,” in &lt;i&gt;The Oxford History of the British Empire: Volume IV: The Twentieth Century&lt;/i&gt;, ed. Judith Brown and Wm Roger Louis (Oxford University Press, 1999).","plainTextFormattedCitation":"WM. Roger Louis, “The Dissolution of the British Empire,” in The Oxford History of the British Empire: Volume IV: The Twentieth Century, ed. Judith Brown and Wm Roger Louis (Oxford University Press, 1999).","previouslyFormattedCitation":"WM. Roger Louis, “The Dissolution of the British Empire,” in &lt;i&gt;The Oxford History of the British Empire: Volume IV: The Twentieth Century&lt;/i&gt;, ed. Judith Brown and Wm Roger Louis (Oxford University Press, 1999)."},"properties":{"noteIndex":1},"schema":"https://github.com/citation-style-language/schema/raw/master/csl-citation.json"}</w:instrText>
      </w:r>
      <w:r>
        <w:fldChar w:fldCharType="separate"/>
      </w:r>
      <w:r w:rsidRPr="00865281">
        <w:rPr>
          <w:noProof/>
        </w:rPr>
        <w:t xml:space="preserve">WM. Roger Louis, “The Dissolution of the British Empire,” in </w:t>
      </w:r>
      <w:r w:rsidRPr="00865281">
        <w:rPr>
          <w:i/>
          <w:noProof/>
        </w:rPr>
        <w:t>The Oxford History of the British Empire: Volume IV: The Twentieth Century</w:t>
      </w:r>
      <w:r w:rsidRPr="00865281">
        <w:rPr>
          <w:noProof/>
        </w:rPr>
        <w:t>, ed. Judith Brown and Wm Roger Louis (Oxford University Press, 1999).</w:t>
      </w:r>
      <w:r>
        <w:fldChar w:fldCharType="end"/>
      </w:r>
    </w:p>
  </w:footnote>
  <w:footnote w:id="2">
    <w:p w:rsidR="004374CE" w:rsidRDefault="004374CE">
      <w:pPr>
        <w:pStyle w:val="FootnoteText"/>
      </w:pPr>
      <w:r>
        <w:rPr>
          <w:rStyle w:val="FootnoteReference"/>
        </w:rPr>
        <w:footnoteRef/>
      </w:r>
      <w:r>
        <w:t xml:space="preserve"> </w:t>
      </w:r>
      <w:r>
        <w:fldChar w:fldCharType="begin" w:fldLock="1"/>
      </w:r>
      <w:r w:rsidR="00FD28B1">
        <w:instrText>ADDIN CSL_CITATION {"citationItems":[{"id":"ITEM-1","itemData":{"author":[{"dropping-particle":"","family":"Louis","given":"WM. Roger","non-dropping-particle":"","parse-names":false,"suffix":""}],"chapter-number":"14","container-title":"The Oxford History of the British Empire: Volume IV: The Twentieth Century","editor":[{"dropping-particle":"","family":"Brown","given":"Judith","non-dropping-particle":"","parse-names":false,"suffix":""},{"dropping-particle":"","family":"Louis","given":"Wm Roger","non-dropping-particle":"","parse-names":false,"suffix":""}],"id":"ITEM-1","issued":{"date-parts":[["1999"]]},"publisher":"Oxford University Press","title":"The Dissolution of the British Empire","type":"chapter"},"locator":"341","uris":["http://www.mendeley.com/documents/?uuid=6b6a56a8-be26-4d28-b646-3433a74c548a"]}],"mendeley":{"formattedCitation":"Louis, 341.","plainTextFormattedCitation":"Louis, 341.","previouslyFormattedCitation":"Louis, 341."},"properties":{"noteIndex":2},"schema":"https://github.com/citation-style-language/schema/raw/master/csl-citation.json"}</w:instrText>
      </w:r>
      <w:r>
        <w:fldChar w:fldCharType="separate"/>
      </w:r>
      <w:r w:rsidRPr="004374CE">
        <w:rPr>
          <w:noProof/>
        </w:rPr>
        <w:t>Louis, 341.</w:t>
      </w:r>
      <w:r>
        <w:fldChar w:fldCharType="end"/>
      </w:r>
    </w:p>
  </w:footnote>
  <w:footnote w:id="3">
    <w:p w:rsidR="00865281" w:rsidRDefault="00865281">
      <w:pPr>
        <w:pStyle w:val="FootnoteText"/>
      </w:pPr>
      <w:r>
        <w:rPr>
          <w:rStyle w:val="FootnoteReference"/>
        </w:rPr>
        <w:footnoteRef/>
      </w:r>
      <w:r>
        <w:t xml:space="preserve"> </w:t>
      </w:r>
      <w:r>
        <w:fldChar w:fldCharType="begin" w:fldLock="1"/>
      </w:r>
      <w:r w:rsidR="004374CE">
        <w:instrText>ADDIN CSL_CITATION {"citationItems":[{"id":"ITEM-1","itemData":{"author":[{"dropping-particle":"","family":"Louis","given":"WM. Roger","non-dropping-particle":"","parse-names":false,"suffix":""}],"chapter-number":"14","container-title":"The Oxford History of the British Empire: Volume IV: The Twentieth Century","editor":[{"dropping-particle":"","family":"Brown","given":"Judith","non-dropping-particle":"","parse-names":false,"suffix":""},{"dropping-particle":"","family":"Louis","given":"Wm Roger","non-dropping-particle":"","parse-names":false,"suffix":""}],"id":"ITEM-1","issued":{"date-parts":[["1999"]]},"publisher":"Oxford University Press","title":"The Dissolution of the British Empire","type":"chapter"},"locator":"331","uris":["http://www.mendeley.com/documents/?uuid=6b6a56a8-be26-4d28-b646-3433a74c548a"]}],"mendeley":{"formattedCitation":"Louis, 331.","plainTextFormattedCitation":"Louis, 331.","previouslyFormattedCitation":"Louis, 331."},"properties":{"noteIndex":3},"schema":"https://github.com/citation-style-language/schema/raw/master/csl-citation.json"}</w:instrText>
      </w:r>
      <w:r>
        <w:fldChar w:fldCharType="separate"/>
      </w:r>
      <w:r w:rsidRPr="00865281">
        <w:rPr>
          <w:noProof/>
        </w:rPr>
        <w:t>Louis, 331.</w:t>
      </w:r>
      <w:r>
        <w:fldChar w:fldCharType="end"/>
      </w:r>
    </w:p>
  </w:footnote>
  <w:footnote w:id="4">
    <w:p w:rsidR="004374CE" w:rsidRDefault="004374CE" w:rsidP="004374CE">
      <w:pPr>
        <w:pStyle w:val="FootnoteText"/>
      </w:pPr>
      <w:r>
        <w:rPr>
          <w:rStyle w:val="FootnoteReference"/>
        </w:rPr>
        <w:footnoteRef/>
      </w:r>
      <w:r>
        <w:t xml:space="preserve"> </w:t>
      </w:r>
      <w:r>
        <w:fldChar w:fldCharType="begin" w:fldLock="1"/>
      </w:r>
      <w:r>
        <w:instrText>ADDIN CSL_CITATION {"citationItems":[{"id":"ITEM-1","itemData":{"author":[{"dropping-particle":"","family":"Louis","given":"WM. Roger","non-dropping-particle":"","parse-names":false,"suffix":""}],"chapter-number":"14","container-title":"The Oxford History of the British Empire: Volume IV: The Twentieth Century","editor":[{"dropping-particle":"","family":"Brown","given":"Judith","non-dropping-particle":"","parse-names":false,"suffix":""},{"dropping-particle":"","family":"Louis","given":"Wm Roger","non-dropping-particle":"","parse-names":false,"suffix":""}],"id":"ITEM-1","issued":{"date-parts":[["1999"]]},"publisher":"Oxford University Press","title":"The Dissolution of the British Empire","type":"chapter"},"locator":"337","uris":["http://www.mendeley.com/documents/?uuid=6b6a56a8-be26-4d28-b646-3433a74c548a"]}],"mendeley":{"formattedCitation":"Louis, 337.","plainTextFormattedCitation":"Louis, 337.","previouslyFormattedCitation":"Louis, 337."},"properties":{"noteIndex":4},"schema":"https://github.com/citation-style-language/schema/raw/master/csl-citation.json"}</w:instrText>
      </w:r>
      <w:r>
        <w:fldChar w:fldCharType="separate"/>
      </w:r>
      <w:r w:rsidRPr="004374CE">
        <w:rPr>
          <w:noProof/>
        </w:rPr>
        <w:t>Louis, 337.</w:t>
      </w:r>
      <w:r>
        <w:fldChar w:fldCharType="end"/>
      </w:r>
    </w:p>
  </w:footnote>
  <w:footnote w:id="5">
    <w:p w:rsidR="00FD28B1" w:rsidRDefault="00FD28B1">
      <w:pPr>
        <w:pStyle w:val="FootnoteText"/>
      </w:pPr>
      <w:r>
        <w:rPr>
          <w:rStyle w:val="FootnoteReference"/>
        </w:rPr>
        <w:footnoteRef/>
      </w:r>
      <w:r>
        <w:t xml:space="preserve"> </w:t>
      </w:r>
      <w:r>
        <w:fldChar w:fldCharType="begin" w:fldLock="1"/>
      </w:r>
      <w:r w:rsidR="0093673F">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1819-2005","type":"book"},"locator":"233","uris":["http://www.mendeley.com/documents/?uuid=29c1a647-e879-4549-b615-c4366088d306"]}],"mendeley":{"formattedCitation":"C. M. Turnbull, &lt;i&gt;A Modern History of Singapore, 1819-2005&lt;/i&gt; (Singapore: NUS Press, 2009), 233.","plainTextFormattedCitation":"C. M. Turnbull, A Modern History of Singapore, 1819-2005 (Singapore: NUS Press, 2009), 233.","previouslyFormattedCitation":"C. M. Turnbull, &lt;i&gt;A Modern History of Singapore, 1819-2005&lt;/i&gt; (Singapore: NUS Press, 2009), 233."},"properties":{"noteIndex":5},"schema":"https://github.com/citation-style-language/schema/raw/master/csl-citation.json"}</w:instrText>
      </w:r>
      <w:r>
        <w:fldChar w:fldCharType="separate"/>
      </w:r>
      <w:r w:rsidRPr="00FD28B1">
        <w:rPr>
          <w:noProof/>
        </w:rPr>
        <w:t xml:space="preserve">C. M. Turnbull, </w:t>
      </w:r>
      <w:r w:rsidRPr="00FD28B1">
        <w:rPr>
          <w:i/>
          <w:noProof/>
        </w:rPr>
        <w:t>A Modern History of Singapore, 1819-2005</w:t>
      </w:r>
      <w:r w:rsidRPr="00FD28B1">
        <w:rPr>
          <w:noProof/>
        </w:rPr>
        <w:t xml:space="preserve"> (Singapore: NUS Press, 2009), 233.</w:t>
      </w:r>
      <w:r>
        <w:fldChar w:fldCharType="end"/>
      </w:r>
    </w:p>
  </w:footnote>
  <w:footnote w:id="6">
    <w:p w:rsidR="00FD28B1" w:rsidRDefault="00FD28B1">
      <w:pPr>
        <w:pStyle w:val="FootnoteText"/>
      </w:pPr>
      <w:r>
        <w:rPr>
          <w:rStyle w:val="FootnoteReference"/>
        </w:rPr>
        <w:footnoteRef/>
      </w:r>
      <w:r>
        <w:t xml:space="preserve"> </w:t>
      </w:r>
      <w:r>
        <w:fldChar w:fldCharType="begin" w:fldLock="1"/>
      </w:r>
      <w:r w:rsidR="0093673F">
        <w:instrText>ADDIN CSL_CITATION {"citationItems":[{"id":"ITEM-1","itemData":{"ISBN":"9789971614302","author":[{"dropping-particle":"","family":"Turnbull","given":"C. M.","non-dropping-particle":"","parse-names":false,"suffix":""}],"id":"ITEM-1","issued":{"date-parts":[["2009"]]},"publisher":"NUS Press","publisher-place":"Singapore","title":"A Modern History of Singapore, 1819-2005","type":"book"},"locator":"228","uris":["http://www.mendeley.com/documents/?uuid=29c1a647-e879-4549-b615-c4366088d306"]}],"mendeley":{"formattedCitation":"Turnbull, 228.","plainTextFormattedCitation":"Turnbull, 228.","previouslyFormattedCitation":"Turnbull, &lt;i&gt;A Modern History of Singapore, 1819-2005&lt;/i&gt;, 228."},"properties":{"noteIndex":6},"schema":"https://github.com/citation-style-language/schema/raw/master/csl-citation.json"}</w:instrText>
      </w:r>
      <w:r>
        <w:fldChar w:fldCharType="separate"/>
      </w:r>
      <w:r w:rsidR="0093673F" w:rsidRPr="0093673F">
        <w:rPr>
          <w:noProof/>
        </w:rPr>
        <w:t>Turnbull, 228.</w:t>
      </w:r>
      <w:r>
        <w:fldChar w:fldCharType="end"/>
      </w:r>
    </w:p>
  </w:footnote>
  <w:footnote w:id="7">
    <w:p w:rsidR="0093673F" w:rsidRDefault="0093673F">
      <w:pPr>
        <w:pStyle w:val="FootnoteText"/>
      </w:pPr>
      <w:r>
        <w:rPr>
          <w:rStyle w:val="FootnoteReference"/>
        </w:rPr>
        <w:footnoteRef/>
      </w:r>
      <w:r>
        <w:t xml:space="preserve"> </w:t>
      </w:r>
      <w:r>
        <w:fldChar w:fldCharType="begin" w:fldLock="1"/>
      </w:r>
      <w:r>
        <w:instrText>ADDIN CSL_CITATION {"citationItems":[{"id":"ITEM-1","itemData":{"container-title":"The Straits Times","id":"ITEM-1","issued":{"date-parts":[["1955","1","31"]]},"page":"4","publisher-place":"Singapore","title":"Five faults with Rendel, says the PAP","type":"article-newspaper"},"uris":["http://www.mendeley.com/documents/?uuid=e09527c0-b484-4f6d-8c1e-69c56880f5b2"]}],"mendeley":{"formattedCitation":"“Five Faults with Rendel, Says the PAP,” &lt;i&gt;The Straits Times&lt;/i&gt;, January 31, 1955.","plainTextFormattedCitation":"“Five Faults with Rendel, Says the PAP,” The Straits Times, January 31, 1955."},"properties":{"noteIndex":7},"schema":"https://github.com/citation-style-language/schema/raw/master/csl-citation.json"}</w:instrText>
      </w:r>
      <w:r>
        <w:fldChar w:fldCharType="separate"/>
      </w:r>
      <w:r w:rsidRPr="0093673F">
        <w:rPr>
          <w:noProof/>
        </w:rPr>
        <w:t xml:space="preserve">“Five Faults with Rendel, Says the PAP,” </w:t>
      </w:r>
      <w:r w:rsidRPr="0093673F">
        <w:rPr>
          <w:i/>
          <w:noProof/>
        </w:rPr>
        <w:t>The Straits Times</w:t>
      </w:r>
      <w:r w:rsidRPr="0093673F">
        <w:rPr>
          <w:noProof/>
        </w:rPr>
        <w:t>, January 31, 1955.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E8F"/>
    <w:multiLevelType w:val="hybridMultilevel"/>
    <w:tmpl w:val="F95CF1DC"/>
    <w:lvl w:ilvl="0" w:tplc="65EEE3B4">
      <w:numFmt w:val="bullet"/>
      <w:lvlText w:val="-"/>
      <w:lvlJc w:val="left"/>
      <w:pPr>
        <w:ind w:left="1080" w:hanging="360"/>
      </w:pPr>
      <w:rPr>
        <w:rFonts w:ascii="Lora" w:eastAsiaTheme="minorEastAsia" w:hAnsi="Lora" w:cstheme="minorBidi" w:hint="default"/>
        <w:color w:val="5A5A5A" w:themeColor="text1" w:themeTint="A5"/>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8862E3"/>
    <w:multiLevelType w:val="hybridMultilevel"/>
    <w:tmpl w:val="E2C4FA1A"/>
    <w:lvl w:ilvl="0" w:tplc="8572FB5E">
      <w:numFmt w:val="bullet"/>
      <w:lvlText w:val="-"/>
      <w:lvlJc w:val="left"/>
      <w:pPr>
        <w:ind w:left="1080" w:hanging="360"/>
      </w:pPr>
      <w:rPr>
        <w:rFonts w:ascii="Lora" w:eastAsiaTheme="minorEastAsia" w:hAnsi="Lor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DB4372"/>
    <w:multiLevelType w:val="hybridMultilevel"/>
    <w:tmpl w:val="723AB2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wMjM2Nre0sDA3NDFS0lEKTi0uzszPAykwrAUAei1QxiwAAAA="/>
  </w:docVars>
  <w:rsids>
    <w:rsidRoot w:val="00A25AB6"/>
    <w:rsid w:val="000169F1"/>
    <w:rsid w:val="000274E0"/>
    <w:rsid w:val="00050540"/>
    <w:rsid w:val="00053AB1"/>
    <w:rsid w:val="00055174"/>
    <w:rsid w:val="000944E9"/>
    <w:rsid w:val="00113781"/>
    <w:rsid w:val="002629DD"/>
    <w:rsid w:val="00271E53"/>
    <w:rsid w:val="002C2F85"/>
    <w:rsid w:val="002D1128"/>
    <w:rsid w:val="002D6938"/>
    <w:rsid w:val="00304FB2"/>
    <w:rsid w:val="003852D0"/>
    <w:rsid w:val="003C40D8"/>
    <w:rsid w:val="003E2F77"/>
    <w:rsid w:val="003E737C"/>
    <w:rsid w:val="00434415"/>
    <w:rsid w:val="004374CE"/>
    <w:rsid w:val="0045080B"/>
    <w:rsid w:val="004935D9"/>
    <w:rsid w:val="004A0743"/>
    <w:rsid w:val="004E2D51"/>
    <w:rsid w:val="0050559C"/>
    <w:rsid w:val="005137E0"/>
    <w:rsid w:val="00521EC8"/>
    <w:rsid w:val="005401C9"/>
    <w:rsid w:val="00556E39"/>
    <w:rsid w:val="00595E4D"/>
    <w:rsid w:val="006227F2"/>
    <w:rsid w:val="00626833"/>
    <w:rsid w:val="006805BC"/>
    <w:rsid w:val="006900A8"/>
    <w:rsid w:val="006A142F"/>
    <w:rsid w:val="006A2CAF"/>
    <w:rsid w:val="006C1C9C"/>
    <w:rsid w:val="00722972"/>
    <w:rsid w:val="00765EEB"/>
    <w:rsid w:val="00771048"/>
    <w:rsid w:val="00781085"/>
    <w:rsid w:val="008040CB"/>
    <w:rsid w:val="008534B5"/>
    <w:rsid w:val="00865281"/>
    <w:rsid w:val="008B0274"/>
    <w:rsid w:val="00924D19"/>
    <w:rsid w:val="009259AC"/>
    <w:rsid w:val="0093673F"/>
    <w:rsid w:val="009800B4"/>
    <w:rsid w:val="009B3E93"/>
    <w:rsid w:val="009E745C"/>
    <w:rsid w:val="00A25AB6"/>
    <w:rsid w:val="00A53291"/>
    <w:rsid w:val="00A55FEA"/>
    <w:rsid w:val="00A64EC1"/>
    <w:rsid w:val="00AD5862"/>
    <w:rsid w:val="00AD6C2F"/>
    <w:rsid w:val="00AE33E4"/>
    <w:rsid w:val="00B378B3"/>
    <w:rsid w:val="00B564EC"/>
    <w:rsid w:val="00B568D3"/>
    <w:rsid w:val="00BE1073"/>
    <w:rsid w:val="00C1095E"/>
    <w:rsid w:val="00C2062B"/>
    <w:rsid w:val="00C36F27"/>
    <w:rsid w:val="00D025A1"/>
    <w:rsid w:val="00D03EA9"/>
    <w:rsid w:val="00D1254E"/>
    <w:rsid w:val="00D16258"/>
    <w:rsid w:val="00D71D98"/>
    <w:rsid w:val="00D949E2"/>
    <w:rsid w:val="00D94C95"/>
    <w:rsid w:val="00D964F6"/>
    <w:rsid w:val="00E3490C"/>
    <w:rsid w:val="00E64F85"/>
    <w:rsid w:val="00E7233B"/>
    <w:rsid w:val="00E92F9B"/>
    <w:rsid w:val="00EE687B"/>
    <w:rsid w:val="00F53BFC"/>
    <w:rsid w:val="00FD2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04513"/>
  <w15:chartTrackingRefBased/>
  <w15:docId w15:val="{70A0C079-C58B-4DE8-963F-793294B2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9E2"/>
    <w:pPr>
      <w:spacing w:after="480" w:line="480" w:lineRule="auto"/>
      <w:ind w:firstLine="720"/>
    </w:pPr>
    <w:rPr>
      <w:rFonts w:ascii="Lora" w:hAnsi="Lora"/>
      <w:sz w:val="24"/>
      <w:lang w:val="en-SG"/>
    </w:rPr>
  </w:style>
  <w:style w:type="paragraph" w:styleId="Heading1">
    <w:name w:val="heading 1"/>
    <w:basedOn w:val="Normal"/>
    <w:next w:val="Normal"/>
    <w:link w:val="Heading1Char"/>
    <w:uiPriority w:val="9"/>
    <w:qFormat/>
    <w:rsid w:val="0045080B"/>
    <w:pPr>
      <w:keepNext/>
      <w:keepLines/>
      <w:spacing w:before="240" w:after="0"/>
      <w:ind w:firstLine="0"/>
      <w:outlineLvl w:val="0"/>
    </w:pPr>
    <w:rPr>
      <w:rFonts w:ascii="Philosopher" w:eastAsiaTheme="majorEastAsia" w:hAnsi="Philosopher" w:cstheme="majorBidi"/>
      <w:b/>
      <w:sz w:val="32"/>
      <w:szCs w:val="32"/>
    </w:rPr>
  </w:style>
  <w:style w:type="paragraph" w:styleId="Heading2">
    <w:name w:val="heading 2"/>
    <w:basedOn w:val="Heading1"/>
    <w:next w:val="Normal"/>
    <w:link w:val="Heading2Char"/>
    <w:uiPriority w:val="9"/>
    <w:unhideWhenUsed/>
    <w:qFormat/>
    <w:rsid w:val="0045080B"/>
    <w:pPr>
      <w:outlineLvl w:val="1"/>
    </w:pPr>
    <w:rPr>
      <w:sz w:val="24"/>
      <w:szCs w:val="24"/>
    </w:rPr>
  </w:style>
  <w:style w:type="paragraph" w:styleId="Heading3">
    <w:name w:val="heading 3"/>
    <w:basedOn w:val="Normal"/>
    <w:next w:val="Normal"/>
    <w:link w:val="Heading3Char"/>
    <w:uiPriority w:val="9"/>
    <w:unhideWhenUsed/>
    <w:qFormat/>
    <w:rsid w:val="00D1254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AB6"/>
    <w:pPr>
      <w:ind w:firstLine="0"/>
      <w:jc w:val="center"/>
    </w:pPr>
    <w:rPr>
      <w:rFonts w:cs="Times New Roman"/>
      <w:szCs w:val="24"/>
    </w:rPr>
  </w:style>
  <w:style w:type="character" w:customStyle="1" w:styleId="TitleChar">
    <w:name w:val="Title Char"/>
    <w:basedOn w:val="DefaultParagraphFont"/>
    <w:link w:val="Title"/>
    <w:uiPriority w:val="10"/>
    <w:rsid w:val="00A25AB6"/>
    <w:rPr>
      <w:rFonts w:ascii="Times New Roman" w:hAnsi="Times New Roman" w:cs="Times New Roman"/>
      <w:sz w:val="24"/>
      <w:szCs w:val="24"/>
      <w:lang w:val="en-SG"/>
    </w:rPr>
  </w:style>
  <w:style w:type="paragraph" w:styleId="NoSpacing">
    <w:name w:val="No Spacing"/>
    <w:basedOn w:val="Title"/>
    <w:uiPriority w:val="1"/>
    <w:qFormat/>
    <w:rsid w:val="00D949E2"/>
    <w:pPr>
      <w:spacing w:line="276" w:lineRule="auto"/>
    </w:pPr>
  </w:style>
  <w:style w:type="character" w:customStyle="1" w:styleId="Heading1Char">
    <w:name w:val="Heading 1 Char"/>
    <w:basedOn w:val="DefaultParagraphFont"/>
    <w:link w:val="Heading1"/>
    <w:uiPriority w:val="9"/>
    <w:rsid w:val="0045080B"/>
    <w:rPr>
      <w:rFonts w:ascii="Philosopher" w:eastAsiaTheme="majorEastAsia" w:hAnsi="Philosopher" w:cstheme="majorBidi"/>
      <w:b/>
      <w:sz w:val="32"/>
      <w:szCs w:val="32"/>
      <w:lang w:val="en-SG"/>
    </w:rPr>
  </w:style>
  <w:style w:type="paragraph" w:styleId="FootnoteText">
    <w:name w:val="footnote text"/>
    <w:basedOn w:val="Normal"/>
    <w:link w:val="FootnoteTextChar"/>
    <w:uiPriority w:val="99"/>
    <w:semiHidden/>
    <w:unhideWhenUsed/>
    <w:rsid w:val="00D71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D98"/>
    <w:rPr>
      <w:rFonts w:ascii="Lora" w:hAnsi="Lora"/>
      <w:sz w:val="20"/>
      <w:szCs w:val="20"/>
      <w:lang w:val="en-SG"/>
    </w:rPr>
  </w:style>
  <w:style w:type="character" w:styleId="FootnoteReference">
    <w:name w:val="footnote reference"/>
    <w:basedOn w:val="DefaultParagraphFont"/>
    <w:uiPriority w:val="99"/>
    <w:semiHidden/>
    <w:unhideWhenUsed/>
    <w:rsid w:val="00D71D98"/>
    <w:rPr>
      <w:vertAlign w:val="superscript"/>
    </w:rPr>
  </w:style>
  <w:style w:type="paragraph" w:styleId="ListParagraph">
    <w:name w:val="List Paragraph"/>
    <w:basedOn w:val="Normal"/>
    <w:uiPriority w:val="34"/>
    <w:qFormat/>
    <w:rsid w:val="00521EC8"/>
    <w:pPr>
      <w:ind w:left="720"/>
      <w:contextualSpacing/>
    </w:pPr>
  </w:style>
  <w:style w:type="character" w:customStyle="1" w:styleId="Heading2Char">
    <w:name w:val="Heading 2 Char"/>
    <w:basedOn w:val="DefaultParagraphFont"/>
    <w:link w:val="Heading2"/>
    <w:uiPriority w:val="9"/>
    <w:rsid w:val="0045080B"/>
    <w:rPr>
      <w:rFonts w:ascii="Philosopher" w:eastAsiaTheme="majorEastAsia" w:hAnsi="Philosopher" w:cstheme="majorBidi"/>
      <w:b/>
      <w:sz w:val="24"/>
      <w:szCs w:val="24"/>
      <w:lang w:val="en-SG"/>
    </w:rPr>
  </w:style>
  <w:style w:type="paragraph" w:styleId="Subtitle">
    <w:name w:val="Subtitle"/>
    <w:basedOn w:val="Normal"/>
    <w:next w:val="Normal"/>
    <w:link w:val="SubtitleChar"/>
    <w:uiPriority w:val="11"/>
    <w:qFormat/>
    <w:rsid w:val="00D1254E"/>
    <w:pPr>
      <w:numPr>
        <w:ilvl w:val="1"/>
      </w:numPr>
      <w:ind w:firstLine="72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D1254E"/>
    <w:rPr>
      <w:color w:val="5A5A5A" w:themeColor="text1" w:themeTint="A5"/>
      <w:spacing w:val="15"/>
      <w:lang w:val="en-SG"/>
    </w:rPr>
  </w:style>
  <w:style w:type="character" w:styleId="Hyperlink">
    <w:name w:val="Hyperlink"/>
    <w:basedOn w:val="DefaultParagraphFont"/>
    <w:uiPriority w:val="99"/>
    <w:unhideWhenUsed/>
    <w:rsid w:val="00D1254E"/>
    <w:rPr>
      <w:color w:val="0563C1" w:themeColor="hyperlink"/>
      <w:u w:val="single"/>
    </w:rPr>
  </w:style>
  <w:style w:type="character" w:styleId="UnresolvedMention">
    <w:name w:val="Unresolved Mention"/>
    <w:basedOn w:val="DefaultParagraphFont"/>
    <w:uiPriority w:val="99"/>
    <w:semiHidden/>
    <w:unhideWhenUsed/>
    <w:rsid w:val="00D1254E"/>
    <w:rPr>
      <w:color w:val="808080"/>
      <w:shd w:val="clear" w:color="auto" w:fill="E6E6E6"/>
    </w:rPr>
  </w:style>
  <w:style w:type="character" w:customStyle="1" w:styleId="Heading3Char">
    <w:name w:val="Heading 3 Char"/>
    <w:basedOn w:val="DefaultParagraphFont"/>
    <w:link w:val="Heading3"/>
    <w:uiPriority w:val="9"/>
    <w:rsid w:val="00D1254E"/>
    <w:rPr>
      <w:rFonts w:asciiTheme="majorHAnsi" w:eastAsiaTheme="majorEastAsia" w:hAnsiTheme="majorHAnsi" w:cstheme="majorBidi"/>
      <w:color w:val="1F3763" w:themeColor="accent1" w:themeShade="7F"/>
      <w:sz w:val="24"/>
      <w:szCs w:val="24"/>
      <w:lang w:val="en-SG"/>
    </w:rPr>
  </w:style>
  <w:style w:type="character" w:styleId="Emphasis">
    <w:name w:val="Emphasis"/>
    <w:basedOn w:val="DefaultParagraphFont"/>
    <w:uiPriority w:val="20"/>
    <w:qFormat/>
    <w:rsid w:val="00765EEB"/>
    <w:rPr>
      <w:i/>
      <w:iCs/>
    </w:rPr>
  </w:style>
  <w:style w:type="paragraph" w:styleId="BalloonText">
    <w:name w:val="Balloon Text"/>
    <w:basedOn w:val="Normal"/>
    <w:link w:val="BalloonTextChar"/>
    <w:uiPriority w:val="99"/>
    <w:semiHidden/>
    <w:unhideWhenUsed/>
    <w:rsid w:val="00AD6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C2F"/>
    <w:rPr>
      <w:rFonts w:ascii="Segoe UI" w:hAnsi="Segoe UI" w:cs="Segoe UI"/>
      <w:sz w:val="18"/>
      <w:szCs w:val="18"/>
      <w:lang w:val="en-SG"/>
    </w:rPr>
  </w:style>
  <w:style w:type="paragraph" w:styleId="Quote">
    <w:name w:val="Quote"/>
    <w:basedOn w:val="Normal"/>
    <w:next w:val="Normal"/>
    <w:link w:val="QuoteChar"/>
    <w:uiPriority w:val="29"/>
    <w:qFormat/>
    <w:rsid w:val="005401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401C9"/>
    <w:rPr>
      <w:rFonts w:ascii="Lora" w:hAnsi="Lora"/>
      <w:i/>
      <w:iCs/>
      <w:color w:val="404040" w:themeColor="text1" w:themeTint="BF"/>
      <w:sz w:val="24"/>
      <w:lang w:val="en-SG"/>
    </w:rPr>
  </w:style>
  <w:style w:type="character" w:styleId="SubtleReference">
    <w:name w:val="Subtle Reference"/>
    <w:basedOn w:val="DefaultParagraphFont"/>
    <w:uiPriority w:val="31"/>
    <w:qFormat/>
    <w:rsid w:val="005401C9"/>
    <w:rPr>
      <w:rFonts w:ascii="Lora" w:hAnsi="Lora"/>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45EA87-AFEB-41C5-9482-F5EFD204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9</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virgilxw</dc:creator>
  <cp:keywords/>
  <dc:description/>
  <cp:lastModifiedBy>Reuben Wang Xianwei</cp:lastModifiedBy>
  <cp:revision>27</cp:revision>
  <dcterms:created xsi:type="dcterms:W3CDTF">2019-08-09T12:12:00Z</dcterms:created>
  <dcterms:modified xsi:type="dcterms:W3CDTF">2019-08-13T05:33:00Z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018ac257-ebb7-366a-b0ca-06545b9e1fe6</vt:lpwstr>
  </property>
  <property fmtid="{D5CDD505-2E9C-101B-9397-08002B2CF9AE}" pid="24" name="Mendeley Citation Style_1">
    <vt:lpwstr>http://www.zotero.org/styles/chicago-fullnote-bibliography</vt:lpwstr>
  </property>
</Properties>
</file>