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00"/>
        <w:jc w:val="center"/>
      </w:pPr>
      <w:r>
        <w:rPr>
          <w:rFonts w:ascii="Arial" w:hAnsi="Arial"/>
          <w:b/>
          <w:color w:val="004174"/>
          <w:sz w:val="44"/>
        </w:rPr>
        <w:t>MANUAL DE REFERENCIA TÉCNICA Y MANTENIMIENTO</w:t>
      </w:r>
    </w:p>
    <w:p>
      <w:pPr>
        <w:spacing w:after="5000"/>
        <w:jc w:val="center"/>
      </w:pPr>
      <w:r>
        <w:rPr>
          <w:rFonts w:ascii="Arial" w:hAnsi="Arial"/>
          <w:color w:val="646464"/>
          <w:sz w:val="28"/>
        </w:rPr>
        <w:t>Visor 3D Catastral e Interactivo - WebSalta3D</w:t>
        <w:br/>
        <w:t>Municipalidad de la Ciudad de Salta</w:t>
      </w:r>
    </w:p>
    <w:p>
      <w:pPr>
        <w:spacing w:line="312" w:lineRule="auto"/>
        <w:jc w:val="center"/>
      </w:pPr>
      <w:r>
        <w:rPr>
          <w:rFonts w:ascii="Arial" w:hAnsi="Arial"/>
          <w:color w:val="505050"/>
          <w:sz w:val="20"/>
        </w:rPr>
        <w:t>Autor: Dirección General de Infraestructura de Datos del Municipio (IDEMSa)</w:t>
        <w:br/>
      </w:r>
      <w:r>
        <w:rPr>
          <w:rFonts w:ascii="Arial" w:hAnsi="Arial"/>
          <w:color w:val="505050"/>
          <w:sz w:val="20"/>
        </w:rPr>
        <w:t>Fecha del Documento: Junio de 2026</w:t>
        <w:br/>
        <w:t>Versión: 1.1</w:t>
      </w:r>
    </w:p>
    <w:p>
      <w:r>
        <w:br w:type="page"/>
      </w:r>
    </w:p>
    <w:p>
      <w:pPr>
        <w:keepNext/>
        <w:spacing w:before="360" w:after="120"/>
      </w:pPr>
      <w:r>
        <w:rPr>
          <w:rFonts w:ascii="Arial" w:hAnsi="Arial"/>
          <w:b/>
          <w:color w:val="004174"/>
          <w:sz w:val="30"/>
        </w:rPr>
        <w:t>1. Arquitectura General del Sistema</w:t>
      </w:r>
    </w:p>
    <w:p>
      <w:pPr>
        <w:spacing w:line="276" w:lineRule="auto" w:after="120"/>
      </w:pPr>
      <w:r>
        <w:rPr>
          <w:rFonts w:ascii="Arial" w:hAnsi="Arial"/>
          <w:color w:val="2D2D2D"/>
          <w:sz w:val="20"/>
        </w:rPr>
        <w:t>El sistema interactivo WebSalta3D está diseñado como una aplicación web de mapa catastral en tres dimensiones que permite consultar parcelas, regulaciones urbanas (Régimen Urbanístico CPUA), actividades permitidas e indicadores impositivos en tiempo real. La infraestructura técnica está compuesta por tres capas integradas de forma modular: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2D2D2D"/>
          <w:sz w:val="20"/>
        </w:rPr>
        <w:t xml:space="preserve">Frontend (Cliente Web): </w:t>
      </w:r>
      <w:r>
        <w:rPr>
          <w:rFonts w:ascii="Arial" w:hAnsi="Arial"/>
          <w:color w:val="2D2D2D"/>
          <w:sz w:val="20"/>
        </w:rPr>
        <w:t>Aplicación Single-Page App (SPA) desarrollada en React.js que utiliza Redux Toolkit para la gestión de estados globales, MapLibre GL como motor de renderizado cartográfico interactivo de alto rendimiento (2D/3D), y la librería jsPDF para la generación de reportes y certificaciones catastrales directamente desde el navegador del cliente.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2D2D2D"/>
          <w:sz w:val="20"/>
        </w:rPr>
        <w:t xml:space="preserve">Backend (API REST): </w:t>
      </w:r>
      <w:r>
        <w:rPr>
          <w:rFonts w:ascii="Arial" w:hAnsi="Arial"/>
          <w:color w:val="2D2D2D"/>
          <w:sz w:val="20"/>
        </w:rPr>
        <w:t>Servidor web ligero desarrollado en Node.js utilizando el framework Express.js que expone endpoints REST seguros y eficientes para consultar regulaciones urbanísticas y actividades por distrito. Cuenta con un sistema interno de memoria caché para acelerar las consultas recurrentes y disminuir el volumen de peticiones al gestor de bases de datos.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2D2D2D"/>
          <w:sz w:val="20"/>
        </w:rPr>
        <w:t xml:space="preserve">Base de Datos y Servicios GIS: </w:t>
      </w:r>
      <w:r>
        <w:rPr>
          <w:rFonts w:ascii="Arial" w:hAnsi="Arial"/>
          <w:color w:val="2D2D2D"/>
          <w:sz w:val="20"/>
        </w:rPr>
        <w:t>Servidor de base de datos relacional PostgreSQL con la extensión espacial PostGIS para albergar tablas catastrales del Régimen. En paralelo, se utiliza una infraestructura GeoServer que sirve capas geográficas vectoriales e imágenes WMS para el renderizado cartográfico en tiempo real (parcelas, manzanas, distritos catastrales y la cuadrícula de zonificación tributaria).</w:t>
      </w:r>
    </w:p>
    <w:p>
      <w:pPr>
        <w:keepNext/>
        <w:spacing w:before="360" w:after="120"/>
      </w:pPr>
      <w:r>
        <w:rPr>
          <w:rFonts w:ascii="Arial" w:hAnsi="Arial"/>
          <w:b/>
          <w:color w:val="004174"/>
          <w:sz w:val="30"/>
        </w:rPr>
        <w:t>2. Fuentes de Datos y Estructura de Base de Datos</w:t>
      </w:r>
    </w:p>
    <w:p>
      <w:pPr>
        <w:spacing w:line="276" w:lineRule="auto" w:after="120"/>
      </w:pPr>
      <w:r>
        <w:rPr>
          <w:rFonts w:ascii="Arial" w:hAnsi="Arial"/>
          <w:color w:val="2D2D2D"/>
          <w:sz w:val="20"/>
        </w:rPr>
        <w:t>Para mantener el visor actualizado con la información más reciente de catastro y ordenamiento urbano, es fundamental conocer la ubicación y estructura de las bases de datos y servicios geográficos.</w:t>
      </w:r>
    </w:p>
    <w:p>
      <w:pPr>
        <w:keepNext/>
        <w:spacing w:before="240" w:after="120"/>
      </w:pPr>
      <w:r>
        <w:rPr>
          <w:rFonts w:ascii="Arial" w:hAnsi="Arial"/>
          <w:b/>
          <w:color w:val="2859AC"/>
          <w:sz w:val="25"/>
        </w:rPr>
        <w:t>2.1. Capas Cartográficas de GeoServer (WMS / WFS)</w:t>
      </w:r>
    </w:p>
    <w:p>
      <w:pPr>
        <w:spacing w:line="276" w:lineRule="auto" w:after="120"/>
      </w:pPr>
      <w:r>
        <w:rPr>
          <w:rFonts w:ascii="Arial" w:hAnsi="Arial"/>
          <w:color w:val="2D2D2D"/>
          <w:sz w:val="20"/>
        </w:rPr>
        <w:t>El mapa consulta y renderiza capas geográficas del GeoServer oficial a través de filtros CQL en tiempo real. A continuación, se detallan las capas principales que utiliza la aplicación: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0417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t>Nombre de Capa</w:t>
            </w:r>
          </w:p>
        </w:tc>
        <w:tc>
          <w:tcPr>
            <w:tcW w:type="dxa" w:w="2592"/>
            <w:shd w:val="clear" w:color="auto" w:fill="00417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t>Tipo de Servicio</w:t>
            </w:r>
          </w:p>
        </w:tc>
        <w:tc>
          <w:tcPr>
            <w:tcW w:type="dxa" w:w="4176"/>
            <w:shd w:val="clear" w:color="auto" w:fill="00417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t>Propósito en la Aplicación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public:catastros_Ene2025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WFS / WMS</w:t>
            </w:r>
          </w:p>
        </w:tc>
        <w:tc>
          <w:tcPr>
            <w:tcW w:type="dxa" w:w="4176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Geometría catastral general de parcelas y manzanas.</w:t>
            </w:r>
          </w:p>
        </w:tc>
      </w:tr>
      <w:tr>
        <w:tc>
          <w:tcPr>
            <w:tcW w:type="dxa" w:w="2592"/>
            <w:shd w:val="clear" w:color="auto" w:fill="F2F4F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private:vs_idemsa_prop_horizontal_con_propetario_2024</w:t>
            </w:r>
          </w:p>
        </w:tc>
        <w:tc>
          <w:tcPr>
            <w:tcW w:type="dxa" w:w="2592"/>
            <w:shd w:val="clear" w:color="auto" w:fill="F2F4F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WFS</w:t>
            </w:r>
          </w:p>
        </w:tc>
        <w:tc>
          <w:tcPr>
            <w:tcW w:type="dxa" w:w="4176"/>
            <w:shd w:val="clear" w:color="auto" w:fill="F2F4F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Información de propietarios y datos dominiales de propiedad horizontal (PH).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private:0y1_codigolink_masvalorsuelo_ut_v1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WFS</w:t>
            </w:r>
          </w:p>
        </w:tc>
        <w:tc>
          <w:tcPr>
            <w:tcW w:type="dxa" w:w="4176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Rango de valor del suelo y decodificador COD_LINK para infraestructura de servicios.</w:t>
            </w:r>
          </w:p>
        </w:tc>
      </w:tr>
      <w:tr>
        <w:tc>
          <w:tcPr>
            <w:tcW w:type="dxa" w:w="2592"/>
            <w:shd w:val="clear" w:color="auto" w:fill="F2F4F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public:Zonificacion_CPUA2025_CGO_15102025</w:t>
            </w:r>
          </w:p>
        </w:tc>
        <w:tc>
          <w:tcPr>
            <w:tcW w:type="dxa" w:w="2592"/>
            <w:shd w:val="clear" w:color="auto" w:fill="F2F4F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WFS</w:t>
            </w:r>
          </w:p>
        </w:tc>
        <w:tc>
          <w:tcPr>
            <w:tcW w:type="dxa" w:w="4176"/>
            <w:shd w:val="clear" w:color="auto" w:fill="F2F4F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Cálculo de intersección espacial para determinar el distrito del CPUA en las coordenadas de la parcela.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public:zonificacion_TGI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WFS</w:t>
            </w:r>
          </w:p>
        </w:tc>
        <w:tc>
          <w:tcPr>
            <w:tcW w:type="dxa" w:w="4176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Determinación de la zona comercial y tasa general de inmuebles por intersección.</w:t>
            </w:r>
          </w:p>
        </w:tc>
      </w:tr>
      <w:tr>
        <w:tc>
          <w:tcPr>
            <w:tcW w:type="dxa" w:w="2592"/>
            <w:shd w:val="clear" w:color="auto" w:fill="F2F4F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public:zonificacion_II</w:t>
            </w:r>
          </w:p>
        </w:tc>
        <w:tc>
          <w:tcPr>
            <w:tcW w:type="dxa" w:w="2592"/>
            <w:shd w:val="clear" w:color="auto" w:fill="F2F4F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WFS</w:t>
            </w:r>
          </w:p>
        </w:tc>
        <w:tc>
          <w:tcPr>
            <w:tcW w:type="dxa" w:w="4176"/>
            <w:shd w:val="clear" w:color="auto" w:fill="F2F4F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Determinación de la categoría de impuesto inmobiliario por intersección.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public:codigo_prac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WFS</w:t>
            </w:r>
          </w:p>
        </w:tc>
        <w:tc>
          <w:tcPr>
            <w:tcW w:type="dxa" w:w="4176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Detección de patrimonio arquitectónico protegido bajo las fichas e instrumentos legales del PRAC.</w:t>
            </w:r>
          </w:p>
        </w:tc>
      </w:tr>
    </w:tbl>
    <w:p>
      <w:pPr>
        <w:spacing w:line="276" w:lineRule="auto" w:after="120"/>
      </w:pPr>
      <w:r>
        <w:rPr>
          <w:rFonts w:ascii="Arial" w:hAnsi="Arial"/>
          <w:color w:val="2D2D2D"/>
          <w:sz w:val="20"/>
        </w:rPr>
      </w:r>
    </w:p>
    <w:p>
      <w:pPr>
        <w:keepNext/>
        <w:spacing w:before="240" w:after="120"/>
      </w:pPr>
      <w:r>
        <w:rPr>
          <w:rFonts w:ascii="Arial" w:hAnsi="Arial"/>
          <w:b/>
          <w:color w:val="2859AC"/>
          <w:sz w:val="25"/>
        </w:rPr>
        <w:t>2.2. Base de Datos Relacional PostgreSQL (Régimen Urbanístico y Actividades)</w:t>
      </w:r>
    </w:p>
    <w:p>
      <w:pPr>
        <w:spacing w:line="276" w:lineRule="auto" w:after="120"/>
      </w:pPr>
      <w:r>
        <w:rPr>
          <w:rFonts w:ascii="Arial" w:hAnsi="Arial"/>
          <w:color w:val="2D2D2D"/>
          <w:sz w:val="20"/>
        </w:rPr>
        <w:t>Las regulaciones del CPUA y el listado de actividades comerciales permitidas, condicionadas y prohibidas se consultan desde una base de datos PostgreSQL conectada a la API de Node.js. A continuación, se describen las tablas y campos requeridos:</w:t>
      </w:r>
    </w:p>
    <w:p>
      <w:pPr>
        <w:keepNext/>
        <w:spacing w:before="240" w:after="120"/>
      </w:pPr>
      <w:r>
        <w:rPr>
          <w:rFonts w:ascii="Arial" w:hAnsi="Arial"/>
          <w:b/>
          <w:color w:val="2D2D2D"/>
          <w:sz w:val="22"/>
        </w:rPr>
        <w:t>Tabla: regimen_urbanistico</w:t>
      </w:r>
    </w:p>
    <w:p>
      <w:pPr>
        <w:spacing w:line="276" w:lineRule="auto" w:after="120"/>
      </w:pPr>
      <w:r>
        <w:rPr>
          <w:rFonts w:ascii="Arial" w:hAnsi="Arial"/>
          <w:color w:val="2D2D2D"/>
          <w:sz w:val="20"/>
        </w:rPr>
        <w:t>Almacena los indicadores volumétricos y retiros correspondientes a cada distrito catastral.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00417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t>Nombre del Campo</w:t>
            </w:r>
          </w:p>
        </w:tc>
        <w:tc>
          <w:tcPr>
            <w:tcW w:type="dxa" w:w="2160"/>
            <w:shd w:val="clear" w:color="auto" w:fill="00417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t>Tipo de Dato</w:t>
            </w:r>
          </w:p>
        </w:tc>
        <w:tc>
          <w:tcPr>
            <w:tcW w:type="dxa" w:w="5040"/>
            <w:shd w:val="clear" w:color="auto" w:fill="00417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t>Descripción y Ejemplo de Contenido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distrito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VARCHAR(50)</w:t>
            </w:r>
          </w:p>
        </w:tc>
        <w:tc>
          <w:tcPr>
            <w:tcW w:type="dxa" w:w="50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Identificador del distrito. Clave principal (ej: 'AC 1', 'RM 1', 'I 1').</w:t>
            </w:r>
          </w:p>
        </w:tc>
      </w:tr>
      <w:tr>
        <w:tc>
          <w:tcPr>
            <w:tcW w:type="dxa" w:w="2160"/>
            <w:shd w:val="clear" w:color="auto" w:fill="F2F4F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sub_distrito</w:t>
            </w:r>
          </w:p>
        </w:tc>
        <w:tc>
          <w:tcPr>
            <w:tcW w:type="dxa" w:w="2160"/>
            <w:shd w:val="clear" w:color="auto" w:fill="F2F4F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VARCHAR(50)</w:t>
            </w:r>
          </w:p>
        </w:tc>
        <w:tc>
          <w:tcPr>
            <w:tcW w:type="dxa" w:w="5040"/>
            <w:shd w:val="clear" w:color="auto" w:fill="F2F4F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Identificador de la subzona (ej: 'A', 'B', 'N/A').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sup_minima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NUMERIC / VARCHAR</w:t>
            </w:r>
          </w:p>
        </w:tc>
        <w:tc>
          <w:tcPr>
            <w:tcW w:type="dxa" w:w="50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Superficie de parcela mínima permitida (ej: '300').</w:t>
            </w:r>
          </w:p>
        </w:tc>
      </w:tr>
      <w:tr>
        <w:tc>
          <w:tcPr>
            <w:tcW w:type="dxa" w:w="2160"/>
            <w:shd w:val="clear" w:color="auto" w:fill="F2F4F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frente_min</w:t>
            </w:r>
          </w:p>
        </w:tc>
        <w:tc>
          <w:tcPr>
            <w:tcW w:type="dxa" w:w="2160"/>
            <w:shd w:val="clear" w:color="auto" w:fill="F2F4F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NUMERIC / VARCHAR</w:t>
            </w:r>
          </w:p>
        </w:tc>
        <w:tc>
          <w:tcPr>
            <w:tcW w:type="dxa" w:w="5040"/>
            <w:shd w:val="clear" w:color="auto" w:fill="F2F4F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Ancho de frente mínimo en metros (ej: '10').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fot_privado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NUMERIC</w:t>
            </w:r>
          </w:p>
        </w:tc>
        <w:tc>
          <w:tcPr>
            <w:tcW w:type="dxa" w:w="50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Factor de Ocupación Total Privado (ej: 3.0).</w:t>
            </w:r>
          </w:p>
        </w:tc>
      </w:tr>
      <w:tr>
        <w:tc>
          <w:tcPr>
            <w:tcW w:type="dxa" w:w="2160"/>
            <w:shd w:val="clear" w:color="auto" w:fill="F2F4F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fot_publico</w:t>
            </w:r>
          </w:p>
        </w:tc>
        <w:tc>
          <w:tcPr>
            <w:tcW w:type="dxa" w:w="2160"/>
            <w:shd w:val="clear" w:color="auto" w:fill="F2F4F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NUMERIC</w:t>
            </w:r>
          </w:p>
        </w:tc>
        <w:tc>
          <w:tcPr>
            <w:tcW w:type="dxa" w:w="5040"/>
            <w:shd w:val="clear" w:color="auto" w:fill="F2F4F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Factor de Ocupación Total Público con bonificación (ej: 4.5).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fos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NUMERIC</w:t>
            </w:r>
          </w:p>
        </w:tc>
        <w:tc>
          <w:tcPr>
            <w:tcW w:type="dxa" w:w="50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Factor de Ocupación del Suelo general (ej: 0.7).</w:t>
            </w:r>
          </w:p>
        </w:tc>
      </w:tr>
      <w:tr>
        <w:tc>
          <w:tcPr>
            <w:tcW w:type="dxa" w:w="2160"/>
            <w:shd w:val="clear" w:color="auto" w:fill="F2F4F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r_jardin</w:t>
            </w:r>
          </w:p>
        </w:tc>
        <w:tc>
          <w:tcPr>
            <w:tcW w:type="dxa" w:w="2160"/>
            <w:shd w:val="clear" w:color="auto" w:fill="F2F4F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VARCHAR(100)</w:t>
            </w:r>
          </w:p>
        </w:tc>
        <w:tc>
          <w:tcPr>
            <w:tcW w:type="dxa" w:w="5040"/>
            <w:shd w:val="clear" w:color="auto" w:fill="F2F4F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Retiro de jardín reglamentario (ej: '3 m o L.D.').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r_fondo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VARCHAR(100)</w:t>
            </w:r>
          </w:p>
        </w:tc>
        <w:tc>
          <w:tcPr>
            <w:tcW w:type="dxa" w:w="50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Retiro de fondo reglamentario (ej: '1/3 H (*3)').</w:t>
            </w:r>
          </w:p>
        </w:tc>
      </w:tr>
      <w:tr>
        <w:tc>
          <w:tcPr>
            <w:tcW w:type="dxa" w:w="2160"/>
            <w:shd w:val="clear" w:color="auto" w:fill="F2F4F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r_perfil</w:t>
            </w:r>
          </w:p>
        </w:tc>
        <w:tc>
          <w:tcPr>
            <w:tcW w:type="dxa" w:w="2160"/>
            <w:shd w:val="clear" w:color="auto" w:fill="F2F4F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VARCHAR(100)</w:t>
            </w:r>
          </w:p>
        </w:tc>
        <w:tc>
          <w:tcPr>
            <w:tcW w:type="dxa" w:w="5040"/>
            <w:shd w:val="clear" w:color="auto" w:fill="F2F4F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Retiro de perfil en altura (ej: '6 a 7 m o L.D.').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altura_maxima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VARCHAR(50)</w:t>
            </w:r>
          </w:p>
        </w:tc>
        <w:tc>
          <w:tcPr>
            <w:tcW w:type="dxa" w:w="50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Altura máxima de edificación en metros o plantas (ej: '15 m' o '3 plantas').</w:t>
            </w:r>
          </w:p>
        </w:tc>
      </w:tr>
      <w:tr>
        <w:tc>
          <w:tcPr>
            <w:tcW w:type="dxa" w:w="2160"/>
            <w:shd w:val="clear" w:color="auto" w:fill="F2F4F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fuente</w:t>
            </w:r>
          </w:p>
        </w:tc>
        <w:tc>
          <w:tcPr>
            <w:tcW w:type="dxa" w:w="2160"/>
            <w:shd w:val="clear" w:color="auto" w:fill="F2F4F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VARCHAR(200)</w:t>
            </w:r>
          </w:p>
        </w:tc>
        <w:tc>
          <w:tcPr>
            <w:tcW w:type="dxa" w:w="5040"/>
            <w:shd w:val="clear" w:color="auto" w:fill="F2F4F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Fuente de la normativa reguladora (ej: 'Ordenanza N° 12345').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referencia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TEXT</w:t>
            </w:r>
          </w:p>
        </w:tc>
        <w:tc>
          <w:tcPr>
            <w:tcW w:type="dxa" w:w="50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Notas aclaratorias al pie de la grilla urbanística. Admite texto largo con acentos normales.</w:t>
            </w:r>
          </w:p>
        </w:tc>
      </w:tr>
    </w:tbl>
    <w:p>
      <w:pPr>
        <w:spacing w:line="276" w:lineRule="auto" w:after="120"/>
      </w:pPr>
      <w:r>
        <w:rPr>
          <w:rFonts w:ascii="Arial" w:hAnsi="Arial"/>
          <w:color w:val="2D2D2D"/>
          <w:sz w:val="20"/>
        </w:rPr>
      </w:r>
    </w:p>
    <w:p>
      <w:pPr>
        <w:keepNext/>
        <w:spacing w:before="240" w:after="120"/>
      </w:pPr>
      <w:r>
        <w:rPr>
          <w:rFonts w:ascii="Arial" w:hAnsi="Arial"/>
          <w:b/>
          <w:color w:val="2D2D2D"/>
          <w:sz w:val="22"/>
        </w:rPr>
        <w:t>Tabla: actividades_zonificacion</w:t>
      </w:r>
    </w:p>
    <w:p>
      <w:pPr>
        <w:spacing w:line="276" w:lineRule="auto" w:after="120"/>
      </w:pPr>
      <w:r>
        <w:rPr>
          <w:rFonts w:ascii="Arial" w:hAnsi="Arial"/>
          <w:color w:val="2D2D2D"/>
          <w:sz w:val="20"/>
        </w:rPr>
        <w:t>Almacena la matriz de admisibilidad de actividades comerciales y de servicios por distrito.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00417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t>Nombre del Campo</w:t>
            </w:r>
          </w:p>
        </w:tc>
        <w:tc>
          <w:tcPr>
            <w:tcW w:type="dxa" w:w="2160"/>
            <w:shd w:val="clear" w:color="auto" w:fill="00417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t>Tipo de Dato</w:t>
            </w:r>
          </w:p>
        </w:tc>
        <w:tc>
          <w:tcPr>
            <w:tcW w:type="dxa" w:w="5040"/>
            <w:shd w:val="clear" w:color="auto" w:fill="00417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t>Descripción y Ejemplo de Contenido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distrito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VARCHAR(50)</w:t>
            </w:r>
          </w:p>
        </w:tc>
        <w:tc>
          <w:tcPr>
            <w:tcW w:type="dxa" w:w="50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Relaciona la actividad con el distrito catastral (ej: 'RM 1').</w:t>
            </w:r>
          </w:p>
        </w:tc>
      </w:tr>
      <w:tr>
        <w:tc>
          <w:tcPr>
            <w:tcW w:type="dxa" w:w="2160"/>
            <w:shd w:val="clear" w:color="auto" w:fill="F2F4F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categoria</w:t>
            </w:r>
          </w:p>
        </w:tc>
        <w:tc>
          <w:tcPr>
            <w:tcW w:type="dxa" w:w="2160"/>
            <w:shd w:val="clear" w:color="auto" w:fill="F2F4F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VARCHAR(100)</w:t>
            </w:r>
          </w:p>
        </w:tc>
        <w:tc>
          <w:tcPr>
            <w:tcW w:type="dxa" w:w="5040"/>
            <w:shd w:val="clear" w:color="auto" w:fill="F2F4F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Clasificación general de la actividad (ej: 'Residencial', 'Comercial').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subcategoria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VARCHAR(150)</w:t>
            </w:r>
          </w:p>
        </w:tc>
        <w:tc>
          <w:tcPr>
            <w:tcW w:type="dxa" w:w="50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Sub-rubro de la actividad (ej: 'Vivienda Unifamiliar', 'Comercio Minorista').</w:t>
            </w:r>
          </w:p>
        </w:tc>
      </w:tr>
      <w:tr>
        <w:tc>
          <w:tcPr>
            <w:tcW w:type="dxa" w:w="2160"/>
            <w:shd w:val="clear" w:color="auto" w:fill="F2F4F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actividad</w:t>
            </w:r>
          </w:p>
        </w:tc>
        <w:tc>
          <w:tcPr>
            <w:tcW w:type="dxa" w:w="2160"/>
            <w:shd w:val="clear" w:color="auto" w:fill="F2F4F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VARCHAR(250)</w:t>
            </w:r>
          </w:p>
        </w:tc>
        <w:tc>
          <w:tcPr>
            <w:tcW w:type="dxa" w:w="5040"/>
            <w:shd w:val="clear" w:color="auto" w:fill="F2F4F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Descripción puntual del comercio o uso (ej: 'Kiosco', 'Taller mecánico').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estado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VARCHAR(30)</w:t>
            </w:r>
          </w:p>
        </w:tc>
        <w:tc>
          <w:tcPr>
            <w:tcW w:type="dxa" w:w="50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after="0"/>
            </w:pPr>
            <w:r>
              <w:t>Condición legal de uso en el distrito: 'Permitido', 'Condicionado' o 'Prohibido'.</w:t>
            </w:r>
          </w:p>
        </w:tc>
      </w:tr>
    </w:tbl>
    <w:p>
      <w:pPr>
        <w:spacing w:line="276" w:lineRule="auto" w:after="120"/>
      </w:pPr>
      <w:r>
        <w:rPr>
          <w:rFonts w:ascii="Arial" w:hAnsi="Arial"/>
          <w:color w:val="2D2D2D"/>
          <w:sz w:val="20"/>
        </w:rPr>
      </w:r>
    </w:p>
    <w:p>
      <w:pPr>
        <w:keepNext/>
        <w:spacing w:before="240" w:after="120"/>
      </w:pPr>
      <w:r>
        <w:rPr>
          <w:rFonts w:ascii="Arial" w:hAnsi="Arial"/>
          <w:b/>
          <w:color w:val="2859AC"/>
          <w:sz w:val="25"/>
        </w:rPr>
        <w:t>2.3. Decodificación del Atributo COD_LINK (Servicios e Infraestructura)</w:t>
      </w:r>
    </w:p>
    <w:p>
      <w:pPr>
        <w:spacing w:line="276" w:lineRule="auto" w:after="120"/>
      </w:pPr>
      <w:r>
        <w:rPr>
          <w:rFonts w:ascii="Arial" w:hAnsi="Arial"/>
          <w:color w:val="2D2D2D"/>
          <w:sz w:val="20"/>
        </w:rPr>
        <w:t>La capa de GeoServer `private:0y1_codigolink_masvalorsuelo_ut_v1` entrega un código de 12 dígitos en el atributo `COD_LINK`. Este código es analizado en el frontend (`src/state/ducks/reports.js` y `basicData.js`) para determinar los servicios disponibles en la parcela:</w:t>
      </w:r>
    </w:p>
    <w:p>
      <w:pPr>
        <w:spacing w:before="80" w:after="80"/>
        <w:ind w:left="576"/>
      </w:pPr>
      <w:r>
        <w:rPr>
          <w:rFonts w:ascii="Consolas" w:hAnsi="Consolas"/>
          <w:color w:val="3C3C3C"/>
          <w:sz w:val="18"/>
        </w:rPr>
        <w:t>Ejemplo de código: 102131415161</w:t>
        <w:br/>
        <w:t>- Dígitos 1-2 (Calle/Pavimento): '10' -&gt; Asfalto/Hormigón, '11' -&gt; Tierra con Cordón Cuneta, '12' -&gt; Tierra sin Cordón.</w:t>
        <w:br/>
        <w:t>- Dígitos 3-4 (Recolección AF): '20' -&gt; Especial, '21' -&gt; Matutino/Nocturno, '22' -&gt; Contenedores, '23' -&gt; Sin servicio.</w:t>
        <w:br/>
        <w:t>- Dígitos 5-6 (Barrido AF): '30' -&gt; Especial, '31' -&gt; 6x semana, '32' -&gt; 3x semana, '33' -&gt; 1-2x semana, '34' -&gt; Sin servicio.</w:t>
        <w:br/>
        <w:t>- Dígitos 7-8 (Alumbrado público): '40' -&gt; Lámpara LED, '41' -&gt; Otro tipo de lámpara, '42' -&gt; Sin servicio.</w:t>
        <w:br/>
        <w:t>- Dígitos 9-10 (Espacios Verdes): '50' -&gt; Con servicio, '51' -&gt; Sin servicio.</w:t>
        <w:br/>
        <w:t>- Dígitos 11-12 (Semáforos): '60' -&gt; Con semáforo, '61' -&gt; Sin semáforo.</w:t>
      </w:r>
    </w:p>
    <w:p>
      <w:pPr>
        <w:keepNext/>
        <w:spacing w:before="360" w:after="120"/>
      </w:pPr>
      <w:r>
        <w:rPr>
          <w:rFonts w:ascii="Arial" w:hAnsi="Arial"/>
          <w:b/>
          <w:color w:val="004174"/>
          <w:sz w:val="30"/>
        </w:rPr>
        <w:t>3. Configuración del Frontend</w:t>
      </w:r>
    </w:p>
    <w:p>
      <w:pPr>
        <w:spacing w:line="276" w:lineRule="auto" w:after="120"/>
      </w:pPr>
      <w:r>
        <w:rPr>
          <w:rFonts w:ascii="Arial" w:hAnsi="Arial"/>
          <w:color w:val="2D2D2D"/>
          <w:sz w:val="20"/>
        </w:rPr>
        <w:t>Las urls de servicios, parámetros por defecto y capas disponibles en el catálogo lateral se controlan a través de archivos de configuración estáticos de formato JSON ubicados en la carpeta `source/public/`: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2D2D2D"/>
          <w:sz w:val="20"/>
        </w:rPr>
        <w:t xml:space="preserve">configBase.json (Estructura y Enlaces): </w:t>
      </w:r>
      <w:r>
        <w:rPr>
          <w:rFonts w:ascii="Arial" w:hAnsi="Arial"/>
          <w:color w:val="2D2D2D"/>
          <w:sz w:val="20"/>
        </w:rPr>
        <w:t>En este archivo se parametrizan los endpoints principales de consulta del backend, URLs de mapas base, vistas de cámara iniciales en 2D y 3D, y los enlaces a archivos PDF estáticos (como reglamentos urbanos y ordenanzas).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2D2D2D"/>
          <w:sz w:val="20"/>
        </w:rPr>
        <w:t xml:space="preserve">layersConfig.json (Catálogo de Capas): </w:t>
      </w:r>
      <w:r>
        <w:rPr>
          <w:rFonts w:ascii="Arial" w:hAnsi="Arial"/>
          <w:color w:val="2D2D2D"/>
          <w:sz w:val="20"/>
        </w:rPr>
        <w:t>Define la jerarquía de las capas visibles en la barra lateral (Categorías, Grupos de capas y subcapas). Cada elemento cuenta con propiedades como `id`, `title`, `color`, `icon`, `index`, e `info` (que alimenta el tooltip de ayuda al usuario en la barra de capas).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2D2D2D"/>
          <w:sz w:val="20"/>
        </w:rPr>
        <w:t xml:space="preserve">config.js (Inicializador del Entorno): </w:t>
      </w:r>
      <w:r>
        <w:rPr>
          <w:rFonts w:ascii="Arial" w:hAnsi="Arial"/>
          <w:color w:val="2D2D2D"/>
          <w:sz w:val="20"/>
        </w:rPr>
        <w:t>Es un script estático que inicializa el objeto global `window.configs` referenciando las rutas relativas de `configBase.json` y `layersConfig.json` para cargarse al iniciar la aplicación en el navegador.</w:t>
      </w:r>
    </w:p>
    <w:p>
      <w:pPr>
        <w:keepNext/>
        <w:spacing w:before="360" w:after="120"/>
      </w:pPr>
      <w:r>
        <w:rPr>
          <w:rFonts w:ascii="Arial" w:hAnsi="Arial"/>
          <w:b/>
          <w:color w:val="004174"/>
          <w:sz w:val="30"/>
        </w:rPr>
        <w:t>4. Manual de Mantenimiento y Modificación del Código</w:t>
      </w:r>
    </w:p>
    <w:p>
      <w:pPr>
        <w:spacing w:line="276" w:lineRule="auto" w:after="120"/>
      </w:pPr>
      <w:r>
        <w:rPr>
          <w:rFonts w:ascii="Arial" w:hAnsi="Arial"/>
          <w:color w:val="2D2D2D"/>
          <w:sz w:val="20"/>
        </w:rPr>
        <w:t>A continuación se detallan los procedimientos para realizar cambios habituales en el código del sistema:</w:t>
      </w:r>
    </w:p>
    <w:p>
      <w:pPr>
        <w:keepNext/>
        <w:spacing w:before="240" w:after="120"/>
      </w:pPr>
      <w:r>
        <w:rPr>
          <w:rFonts w:ascii="Arial" w:hAnsi="Arial"/>
          <w:b/>
          <w:color w:val="2859AC"/>
          <w:sz w:val="25"/>
        </w:rPr>
        <w:t>4.1. Agregar o Quitar Capas del Catálogo</w:t>
      </w:r>
    </w:p>
    <w:p>
      <w:pPr>
        <w:spacing w:line="276" w:lineRule="auto" w:after="120"/>
      </w:pPr>
      <w:r>
        <w:rPr>
          <w:rFonts w:ascii="Arial" w:hAnsi="Arial"/>
          <w:color w:val="2D2D2D"/>
          <w:sz w:val="20"/>
        </w:rPr>
        <w:t>Para añadir o remover capas en la interfaz del panel lateral: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color w:val="2D2D2D"/>
          <w:sz w:val="20"/>
        </w:rPr>
        <w:t>Modifica el archivo `source/public/layersConfig.json` y busca el arreglo `visibilidad.cur3d.mbtiles`.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color w:val="2D2D2D"/>
          <w:sz w:val="20"/>
        </w:rPr>
        <w:t>Agrega un objeto JSON con los atributos de GeoServer correspondientes. Si la capa es WMS, especifica las propiedades del servidor en `frontend_config.options`.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color w:val="2D2D2D"/>
          <w:sz w:val="20"/>
        </w:rPr>
        <w:t>En `source/src/state/ducks/map.js` se maneja la carga y el reordenamiento de capas al activarlas. La función `loadLayers` se encarga de leer la configuración y mapear las capas vectoriales y WMS a las capas internas de MapLibre GL.</w:t>
      </w:r>
    </w:p>
    <w:p>
      <w:pPr>
        <w:keepNext/>
        <w:spacing w:before="240" w:after="120"/>
      </w:pPr>
      <w:r>
        <w:rPr>
          <w:rFonts w:ascii="Arial" w:hAnsi="Arial"/>
          <w:b/>
          <w:color w:val="2859AC"/>
          <w:sz w:val="25"/>
        </w:rPr>
        <w:t>4.2. Modificar Estilos de Capas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2D2D2D"/>
          <w:sz w:val="20"/>
        </w:rPr>
        <w:t xml:space="preserve">Capas Vectoriales: </w:t>
      </w:r>
      <w:r>
        <w:rPr>
          <w:rFonts w:ascii="Arial" w:hAnsi="Arial"/>
          <w:color w:val="2D2D2D"/>
          <w:sz w:val="20"/>
        </w:rPr>
        <w:t>Para cambiar la simbología, colores y etiquetas de capas vectoriales en el frontend: Edita la función `chooseLayer` o el inicializador `defaultMapStyle` en `source/src/state/ducks/map.js`. Aquí se definen propiedades nativas de Mapbox GL como `paint` (ej: `fill-color`, `line-color`) y `layout` (ej: `text-field`, `text-font`).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2D2D2D"/>
          <w:sz w:val="20"/>
        </w:rPr>
        <w:t xml:space="preserve">Capas WMS: </w:t>
      </w:r>
      <w:r>
        <w:rPr>
          <w:rFonts w:ascii="Arial" w:hAnsi="Arial"/>
          <w:color w:val="2D2D2D"/>
          <w:sz w:val="20"/>
        </w:rPr>
        <w:t>Para capas de imágenes o tiles servidas por GeoServer (WMS): La estilización se configura directamente en el panel de administración de GeoServer mediante archivos SLD (Styled Layer Descriptor). El frontend solo dibuja la imagen generada por GeoServer en el cliente.</w:t>
      </w:r>
    </w:p>
    <w:p>
      <w:pPr>
        <w:keepNext/>
        <w:spacing w:before="240" w:after="120"/>
      </w:pPr>
      <w:r>
        <w:rPr>
          <w:rFonts w:ascii="Arial" w:hAnsi="Arial"/>
          <w:b/>
          <w:color w:val="2859AC"/>
          <w:sz w:val="25"/>
        </w:rPr>
        <w:t>4.3. Estilización y Personalización del Reporte PDF</w:t>
      </w:r>
    </w:p>
    <w:p>
      <w:pPr>
        <w:spacing w:line="276" w:lineRule="auto" w:after="120"/>
      </w:pPr>
      <w:r>
        <w:rPr>
          <w:rFonts w:ascii="Arial" w:hAnsi="Arial"/>
          <w:color w:val="2D2D2D"/>
          <w:sz w:val="20"/>
        </w:rPr>
        <w:t>La lógica y diseño visual del PDF se implementan de forma nativa en `source/src/utils/reportTemplate.js`. Los parámetros principales para personalizar el diseño son: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2D2D2D"/>
          <w:sz w:val="20"/>
        </w:rPr>
        <w:t xml:space="preserve">Banner del Encabezado: </w:t>
      </w:r>
      <w:r>
        <w:rPr>
          <w:rFonts w:ascii="Arial" w:hAnsi="Arial"/>
          <w:color w:val="2D2D2D"/>
          <w:sz w:val="20"/>
        </w:rPr>
        <w:t>La función `drawHeaderBanner(smp)` dibuja el banner superior azul oscuro (color de relleno `doc.setFillColor(0, 65, 116)`). Dibuja el logotipo en la coordenada `X=170, Y=7` con dimensiones `25 x 24` (relación 1:1 perfecta). **Se eliminó por completo la línea divisoria** para evitar que se superpusiera al logo.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2D2D2D"/>
          <w:sz w:val="20"/>
        </w:rPr>
        <w:t xml:space="preserve">Caja de Aviso Legal: </w:t>
      </w:r>
      <w:r>
        <w:rPr>
          <w:rFonts w:ascii="Arial" w:hAnsi="Arial"/>
          <w:color w:val="2D2D2D"/>
          <w:sz w:val="20"/>
        </w:rPr>
        <w:t>La función `drawAvisoLegal()` genera el cuadro de aviso legal con un color de relleno gris claro (`doc.setFillColor(242, 244, 244)`) y dibuja una barra lateral izquierda de 2.5 mm de espesor en color gris medio como acento estético.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2D2D2D"/>
          <w:sz w:val="20"/>
        </w:rPr>
        <w:t xml:space="preserve">Tablas en Grilla: </w:t>
      </w:r>
      <w:r>
        <w:rPr>
          <w:rFonts w:ascii="Arial" w:hAnsi="Arial"/>
          <w:color w:val="2D2D2D"/>
          <w:sz w:val="20"/>
        </w:rPr>
        <w:t>La función `drawGridRow(...)` es la encargada de dibujar cada fila de la grilla de datos. Tiene un color de fondo gris claro en el encabezado de etiqueta y soporte para badges de colores. Se añadió la instrucción `doc.setCharSpace(0)` y `.normalize('NFC')` para garantizar que todo el texto de la base de datos se mida y dibuje con un espaciado de letras limpio y uniforme, corrigiendo el problema de texto estirado.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2D2D2D"/>
          <w:sz w:val="20"/>
        </w:rPr>
        <w:t xml:space="preserve">Actividades del Suelo: </w:t>
      </w:r>
      <w:r>
        <w:rPr>
          <w:rFonts w:ascii="Arial" w:hAnsi="Arial"/>
          <w:color w:val="2D2D2D"/>
          <w:sz w:val="20"/>
        </w:rPr>
        <w:t>La función `drawActivityHeader(state)` dibuja los encabezados de actividades (Permitidas, Condicionadas o Prohibidas). Se eliminaron íconos no estándar (`⚠`, `✔`, `✘`) que provocaban problemas de codificación (dibujando un carácter `&amp;` erróneo en el PDF) y hacían fallar la auto-medida del ancho, haciendo que el título se saliera del recuadro. Ahora el título está centrado y auto-ajustado limpiamente al ancho de 180mm de la caja naranja.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2D2D2D"/>
          <w:sz w:val="20"/>
        </w:rPr>
        <w:t xml:space="preserve">Pies de Página: </w:t>
      </w:r>
      <w:r>
        <w:rPr>
          <w:rFonts w:ascii="Arial" w:hAnsi="Arial"/>
          <w:color w:val="2D2D2D"/>
          <w:sz w:val="20"/>
        </w:rPr>
        <w:t>Al final de `reportTemplate.js`, un bucle recorre todas las páginas creadas (`doc.internal.getNumberOfPages()`), agrega una línea divisoria de pie de página y renderiza el texto y paginador dinámico: `doc.text('Página X de Y', ...)`.</w:t>
      </w:r>
    </w:p>
    <w:p>
      <w:pPr>
        <w:keepNext/>
        <w:spacing w:before="240" w:after="120"/>
      </w:pPr>
      <w:r>
        <w:rPr>
          <w:rFonts w:ascii="Arial" w:hAnsi="Arial"/>
          <w:b/>
          <w:color w:val="2859AC"/>
          <w:sz w:val="25"/>
        </w:rPr>
        <w:t>4.4. Actualizar Enlaces de Normativas</w:t>
      </w:r>
    </w:p>
    <w:p>
      <w:pPr>
        <w:spacing w:line="276" w:lineRule="auto" w:after="120"/>
      </w:pPr>
      <w:r>
        <w:rPr>
          <w:rFonts w:ascii="Arial" w:hAnsi="Arial"/>
          <w:color w:val="2D2D2D"/>
          <w:sz w:val="20"/>
        </w:rPr>
        <w:t>Cuando se promulguen nuevas ordenanzas o decretos y sea necesario actualizar los hipervínculos de descarga: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color w:val="2D2D2D"/>
          <w:sz w:val="20"/>
        </w:rPr>
        <w:t>Busca la sección `"normative"` dentro del archivo `source/public/configBase.json`.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color w:val="2D2D2D"/>
          <w:sz w:val="20"/>
        </w:rPr>
        <w:t>Modifica la propiedad `"link"` de la normativa correspondiente con la nueva dirección URL pública de descarga del PDF (ej: `https://www.colarqsalta.org.ar/.../decreto.pdf`).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color w:val="2D2D2D"/>
          <w:sz w:val="20"/>
        </w:rPr>
        <w:t>El componente `src/components/Sections/SubSection/Normative/LinksNormatives.js` leerá automáticamente este nuevo enlace y lo renderizará en el panel de normativas.</w:t>
      </w:r>
    </w:p>
    <w:p>
      <w:pPr>
        <w:keepNext/>
        <w:spacing w:before="240" w:after="120"/>
      </w:pPr>
      <w:r>
        <w:rPr>
          <w:rFonts w:ascii="Arial" w:hAnsi="Arial"/>
          <w:b/>
          <w:color w:val="2859AC"/>
          <w:sz w:val="25"/>
        </w:rPr>
        <w:t>4.5. Agregar o Quitar Secciones en 'Información'</w:t>
      </w:r>
    </w:p>
    <w:p>
      <w:pPr>
        <w:spacing w:line="276" w:lineRule="auto" w:after="120"/>
      </w:pPr>
      <w:r>
        <w:rPr>
          <w:rFonts w:ascii="Arial" w:hAnsi="Arial"/>
          <w:color w:val="2D2D2D"/>
          <w:sz w:val="20"/>
        </w:rPr>
        <w:t>Para cambiar las secciones estáticas que aparecen bajo la sección lateral de Información general: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color w:val="2D2D2D"/>
          <w:sz w:val="20"/>
        </w:rPr>
        <w:t>Busca el arreglo `"information"` en `source/public/configBase.json`.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color w:val="2D2D2D"/>
          <w:sz w:val="20"/>
        </w:rPr>
        <w:t>Agrega o quita objetos con propiedades `"id"`, `"title"`, `"description"` y `"color"` (que define el color del borde superior de la tarjeta).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color w:val="2D2D2D"/>
          <w:sz w:val="20"/>
        </w:rPr>
        <w:t>El componente de React `src/components/Sections/SubSection/Information/index.js` renderizará las tarjetas correspondientes mapeadas desde la configuración.</w:t>
      </w:r>
    </w:p>
    <w:p>
      <w:pPr>
        <w:keepNext/>
        <w:spacing w:before="240" w:after="120"/>
      </w:pPr>
      <w:r>
        <w:rPr>
          <w:rFonts w:ascii="Arial" w:hAnsi="Arial"/>
          <w:b/>
          <w:color w:val="2859AC"/>
          <w:sz w:val="25"/>
        </w:rPr>
        <w:t>4.6. Actualización del Tutorial / Tour Interactivo</w:t>
      </w:r>
    </w:p>
    <w:p>
      <w:pPr>
        <w:spacing w:line="276" w:lineRule="auto" w:after="120"/>
      </w:pPr>
      <w:r>
        <w:rPr>
          <w:rFonts w:ascii="Arial" w:hAnsi="Arial"/>
          <w:color w:val="2D2D2D"/>
          <w:sz w:val="20"/>
        </w:rPr>
        <w:t>El tutorial interactivo guía al usuario por el visor resaltando las distintas herramientas en pantalla: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color w:val="2D2D2D"/>
          <w:sz w:val="20"/>
        </w:rPr>
        <w:t>Los pasos y textos están estructurados en el archivo `source/src/steps.js`.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color w:val="2D2D2D"/>
          <w:sz w:val="20"/>
        </w:rPr>
        <w:t>Cada paso es un objeto que define un selector CSS (ej: `'.tour-zoning-btn'`) que identifica el elemento a resaltar en la pantalla, y las propiedades `title` (título) y `content` (cuerpo del paso en formato React/HTML).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color w:val="2D2D2D"/>
          <w:sz w:val="20"/>
        </w:rPr>
        <w:t>El tour utiliza la librería `reactour` y se inicializa e incluye dentro del archivo principal `source/src/App.js`.</w:t>
      </w:r>
    </w:p>
    <w:p>
      <w:pPr>
        <w:keepNext/>
        <w:spacing w:before="240" w:after="120"/>
      </w:pPr>
      <w:r>
        <w:rPr>
          <w:rFonts w:ascii="Arial" w:hAnsi="Arial"/>
          <w:b/>
          <w:color w:val="2859AC"/>
          <w:sz w:val="25"/>
        </w:rPr>
        <w:t>4.7. Configuración de Homepage Relativa para Despliegues</w:t>
      </w:r>
    </w:p>
    <w:p>
      <w:pPr>
        <w:spacing w:line="276" w:lineRule="auto" w:after="120"/>
      </w:pPr>
      <w:r>
        <w:rPr>
          <w:rFonts w:ascii="Arial" w:hAnsi="Arial"/>
          <w:color w:val="2D2D2D"/>
          <w:sz w:val="20"/>
        </w:rPr>
        <w:t>Para garantizar la portabilidad absoluta del visor a cualquier servidor web o subcarpeta de hospedaje: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color w:val="2D2D2D"/>
          <w:sz w:val="20"/>
        </w:rPr>
        <w:t>El campo `"homepage"` en `source/package.json` está configurado como `"."` (relativo). Esto asegura que al compilar, el index.html llame a las carpetas `static/js` y `static/css` de forma relativa a la carpeta actual en lugar de absolutas al dominio root.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color w:val="2D2D2D"/>
          <w:sz w:val="20"/>
        </w:rPr>
        <w:t>El `basename` en `App.js` se configura mediante una expresión autoevaluable dinámica para detectar si corre en `/WebSalta3D` o `/salta3d` en tiempo de ejecución, permitiendo que la navegación interna de rutas funcione sin romper las páginas en el servidor de producción o de desarrollo.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