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C169" w14:textId="77777777" w:rsidR="007F6A50" w:rsidRPr="0024577F" w:rsidRDefault="007F6A50" w:rsidP="007F6A50">
      <w:pPr>
        <w:spacing w:after="0"/>
        <w:rPr>
          <w:rFonts w:ascii="Oswald" w:eastAsiaTheme="majorEastAsia" w:hAnsi="Oswald" w:cs="Times New Roman (Headings CS)"/>
          <w:b/>
          <w:bCs/>
          <w:color w:val="595959" w:themeColor="text1" w:themeTint="A6"/>
          <w:sz w:val="72"/>
          <w:szCs w:val="72"/>
        </w:rPr>
      </w:pPr>
      <w:bookmarkStart w:id="0" w:name="executive-summary"/>
    </w:p>
    <w:p w14:paraId="004AAFEA" w14:textId="77777777" w:rsidR="007F6A50" w:rsidRPr="0024577F" w:rsidRDefault="007F6A50" w:rsidP="007F6A50">
      <w:pPr>
        <w:spacing w:after="0"/>
        <w:rPr>
          <w:rFonts w:ascii="Oswald" w:eastAsiaTheme="majorEastAsia" w:hAnsi="Oswald" w:cs="Times New Roman (Headings CS)"/>
          <w:b/>
          <w:bCs/>
          <w:color w:val="595959" w:themeColor="text1" w:themeTint="A6"/>
          <w:sz w:val="72"/>
          <w:szCs w:val="72"/>
        </w:rPr>
      </w:pPr>
    </w:p>
    <w:p w14:paraId="4C4B6485" w14:textId="77777777" w:rsidR="007F6A50" w:rsidRDefault="007F6A50" w:rsidP="007F6A50">
      <w:pPr>
        <w:spacing w:after="0"/>
        <w:rPr>
          <w:rFonts w:ascii="Oswald" w:eastAsiaTheme="majorEastAsia" w:hAnsi="Oswald" w:cs="Times New Roman (Headings CS)"/>
          <w:b/>
          <w:bCs/>
          <w:sz w:val="68"/>
          <w:szCs w:val="68"/>
        </w:rPr>
      </w:pPr>
      <w:r>
        <w:rPr>
          <w:rFonts w:ascii="Oswald" w:eastAsiaTheme="majorEastAsia" w:hAnsi="Oswald" w:cs="Times New Roman (Headings CS)"/>
          <w:b/>
          <w:bCs/>
          <w:color w:val="595959" w:themeColor="text1" w:themeTint="A6"/>
          <w:sz w:val="100"/>
          <w:szCs w:val="100"/>
        </w:rPr>
        <w:t>Stepping Stones</w:t>
      </w:r>
      <w:r>
        <w:rPr>
          <w:rFonts w:ascii="Oswald" w:eastAsiaTheme="majorEastAsia" w:hAnsi="Oswald" w:cs="Times New Roman (Headings CS)"/>
          <w:b/>
          <w:bCs/>
          <w:sz w:val="68"/>
          <w:szCs w:val="68"/>
        </w:rPr>
        <w:t xml:space="preserve"> </w:t>
      </w:r>
    </w:p>
    <w:p w14:paraId="035C2B39" w14:textId="77777777" w:rsidR="007F6A50" w:rsidRPr="008C25E3" w:rsidRDefault="007F6A50" w:rsidP="007F6A50">
      <w:pPr>
        <w:spacing w:after="0"/>
        <w:rPr>
          <w:rFonts w:ascii="Oswald" w:eastAsiaTheme="majorEastAsia" w:hAnsi="Oswald" w:cs="Times New Roman (Headings CS)"/>
          <w:b/>
          <w:bCs/>
          <w:color w:val="595959" w:themeColor="text1" w:themeTint="A6"/>
          <w:sz w:val="68"/>
          <w:szCs w:val="68"/>
        </w:rPr>
      </w:pPr>
      <w:r w:rsidRPr="008C25E3">
        <w:rPr>
          <w:rFonts w:ascii="Oswald" w:eastAsiaTheme="majorEastAsia" w:hAnsi="Oswald" w:cs="Times New Roman (Headings CS)"/>
          <w:b/>
          <w:bCs/>
          <w:sz w:val="56"/>
          <w:szCs w:val="66"/>
        </w:rPr>
        <w:t>A Report on Community Well-</w:t>
      </w:r>
      <w:r>
        <w:rPr>
          <w:rFonts w:ascii="Oswald" w:eastAsiaTheme="majorEastAsia" w:hAnsi="Oswald" w:cs="Times New Roman (Headings CS)"/>
          <w:b/>
          <w:bCs/>
          <w:sz w:val="56"/>
          <w:szCs w:val="66"/>
        </w:rPr>
        <w:t>B</w:t>
      </w:r>
      <w:r w:rsidRPr="008C25E3">
        <w:rPr>
          <w:rFonts w:ascii="Oswald" w:eastAsiaTheme="majorEastAsia" w:hAnsi="Oswald" w:cs="Times New Roman (Headings CS)"/>
          <w:b/>
          <w:bCs/>
          <w:sz w:val="56"/>
          <w:szCs w:val="66"/>
        </w:rPr>
        <w:t>eing of Children and Families in Charlottesville and Albemarle</w:t>
      </w:r>
      <w:r w:rsidRPr="008C25E3">
        <w:rPr>
          <w:rFonts w:ascii="Oswald" w:eastAsiaTheme="majorEastAsia" w:hAnsi="Oswald" w:cs="Times New Roman (Headings CS)"/>
          <w:b/>
          <w:bCs/>
          <w:color w:val="595959" w:themeColor="text1" w:themeTint="A6"/>
          <w:sz w:val="56"/>
          <w:szCs w:val="66"/>
        </w:rPr>
        <w:t xml:space="preserve"> </w:t>
      </w:r>
      <w:r w:rsidRPr="0024577F">
        <w:rPr>
          <w:rFonts w:ascii="Oswald" w:eastAsiaTheme="majorEastAsia" w:hAnsi="Oswald" w:cs="Times New Roman (Headings CS)"/>
          <w:b/>
          <w:bCs/>
          <w:noProof/>
          <w:sz w:val="76"/>
          <w:szCs w:val="76"/>
        </w:rPr>
        <mc:AlternateContent>
          <mc:Choice Requires="wps">
            <w:drawing>
              <wp:anchor distT="0" distB="0" distL="114300" distR="114300" simplePos="0" relativeHeight="251661312" behindDoc="0" locked="0" layoutInCell="1" allowOverlap="1" wp14:anchorId="7E69F539" wp14:editId="41F17C2D">
                <wp:simplePos x="0" y="0"/>
                <wp:positionH relativeFrom="page">
                  <wp:posOffset>914400</wp:posOffset>
                </wp:positionH>
                <wp:positionV relativeFrom="page">
                  <wp:posOffset>7315200</wp:posOffset>
                </wp:positionV>
                <wp:extent cx="1828800" cy="228600"/>
                <wp:effectExtent l="0" t="0" r="12700" b="12700"/>
                <wp:wrapNone/>
                <wp:docPr id="1679978291" name="Rectangle 4"/>
                <wp:cNvGraphicFramePr/>
                <a:graphic xmlns:a="http://schemas.openxmlformats.org/drawingml/2006/main">
                  <a:graphicData uri="http://schemas.microsoft.com/office/word/2010/wordprocessingShape">
                    <wps:wsp>
                      <wps:cNvSpPr/>
                      <wps:spPr>
                        <a:xfrm>
                          <a:off x="0" y="0"/>
                          <a:ext cx="1828800" cy="228600"/>
                        </a:xfrm>
                        <a:prstGeom prst="rect">
                          <a:avLst/>
                        </a:prstGeom>
                        <a:solidFill>
                          <a:srgbClr val="017BAB"/>
                        </a:solid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346A6" id="Rectangle 4" o:spid="_x0000_s1026" style="position:absolute;margin-left:1in;margin-top:8in;width:2in;height:1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" fillcolor="#017bab" strokecolor="#4a7ebb">
                <w10:wrap anchorx="page" anchory="page"/>
              </v:rect>
            </w:pict>
          </mc:Fallback>
        </mc:AlternateContent>
      </w:r>
      <w:r w:rsidRPr="0024577F">
        <w:rPr>
          <w:rFonts w:ascii="Oswald" w:eastAsiaTheme="majorEastAsia" w:hAnsi="Oswald" w:cs="Times New Roman (Headings CS)"/>
          <w:b/>
          <w:bCs/>
          <w:noProof/>
          <w:sz w:val="76"/>
          <w:szCs w:val="76"/>
        </w:rPr>
        <mc:AlternateContent>
          <mc:Choice Requires="wps">
            <w:drawing>
              <wp:anchor distT="0" distB="0" distL="114300" distR="114300" simplePos="0" relativeHeight="251660288" behindDoc="0" locked="0" layoutInCell="1" allowOverlap="1" wp14:anchorId="6835968C" wp14:editId="6ADD6EA5">
                <wp:simplePos x="0" y="0"/>
                <wp:positionH relativeFrom="page">
                  <wp:posOffset>914400</wp:posOffset>
                </wp:positionH>
                <wp:positionV relativeFrom="page">
                  <wp:posOffset>5257800</wp:posOffset>
                </wp:positionV>
                <wp:extent cx="1828800" cy="228600"/>
                <wp:effectExtent l="0" t="0" r="12700" b="12700"/>
                <wp:wrapNone/>
                <wp:docPr id="886998981" name="Rectangle 4"/>
                <wp:cNvGraphicFramePr/>
                <a:graphic xmlns:a="http://schemas.openxmlformats.org/drawingml/2006/main">
                  <a:graphicData uri="http://schemas.microsoft.com/office/word/2010/wordprocessingShape">
                    <wps:wsp>
                      <wps:cNvSpPr/>
                      <wps:spPr>
                        <a:xfrm>
                          <a:off x="0" y="0"/>
                          <a:ext cx="1828800" cy="228600"/>
                        </a:xfrm>
                        <a:prstGeom prst="rect">
                          <a:avLst/>
                        </a:prstGeom>
                        <a:solidFill>
                          <a:srgbClr val="017BAB"/>
                        </a:solid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EF5E7" id="Rectangle 4" o:spid="_x0000_s1026" style="position:absolute;margin-left:1in;margin-top:414pt;width:2in;height:1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" fillcolor="#017bab" strokecolor="#4a7ebb">
                <w10:wrap anchorx="page" anchory="page"/>
              </v:rect>
            </w:pict>
          </mc:Fallback>
        </mc:AlternateContent>
      </w:r>
      <w:r w:rsidRPr="0024577F">
        <w:rPr>
          <w:rFonts w:ascii="Oswald" w:eastAsiaTheme="majorEastAsia" w:hAnsi="Oswald" w:cs="Times New Roman (Headings CS)"/>
          <w:b/>
          <w:bCs/>
          <w:noProof/>
          <w:sz w:val="76"/>
          <w:szCs w:val="76"/>
        </w:rPr>
        <mc:AlternateContent>
          <mc:Choice Requires="wps">
            <w:drawing>
              <wp:anchor distT="0" distB="0" distL="114300" distR="114300" simplePos="0" relativeHeight="251659264" behindDoc="0" locked="0" layoutInCell="1" allowOverlap="1" wp14:anchorId="4BEA9E76" wp14:editId="02CDEBB7">
                <wp:simplePos x="0" y="0"/>
                <wp:positionH relativeFrom="page">
                  <wp:posOffset>914400</wp:posOffset>
                </wp:positionH>
                <wp:positionV relativeFrom="page">
                  <wp:posOffset>0</wp:posOffset>
                </wp:positionV>
                <wp:extent cx="1828800" cy="2286000"/>
                <wp:effectExtent l="0" t="0" r="12700" b="12700"/>
                <wp:wrapNone/>
                <wp:docPr id="15586276" name="Rectangle 4"/>
                <wp:cNvGraphicFramePr/>
                <a:graphic xmlns:a="http://schemas.openxmlformats.org/drawingml/2006/main">
                  <a:graphicData uri="http://schemas.microsoft.com/office/word/2010/wordprocessingShape">
                    <wps:wsp>
                      <wps:cNvSpPr/>
                      <wps:spPr>
                        <a:xfrm>
                          <a:off x="0" y="0"/>
                          <a:ext cx="1828800" cy="2286000"/>
                        </a:xfrm>
                        <a:prstGeom prst="rect">
                          <a:avLst/>
                        </a:prstGeom>
                        <a:solidFill>
                          <a:srgbClr val="017BAB"/>
                        </a:solid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D0ECB" id="Rectangle 4" o:spid="_x0000_s1026" style="position:absolute;margin-left:1in;margin-top:0;width:2in;height:18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" fillcolor="#017bab" strokecolor="#4a7ebb">
                <w10:wrap anchorx="page" anchory="page"/>
              </v:rect>
            </w:pict>
          </mc:Fallback>
        </mc:AlternateContent>
      </w:r>
    </w:p>
    <w:p w14:paraId="01F2D099" w14:textId="77777777" w:rsidR="007F6A50" w:rsidRPr="0024577F" w:rsidRDefault="007F6A50" w:rsidP="007F6A50">
      <w:pPr>
        <w:spacing w:before="1080" w:after="120"/>
        <w:rPr>
          <w:rFonts w:ascii="Roboto Light" w:hAnsi="Roboto Light"/>
          <w:caps/>
          <w:sz w:val="36"/>
          <w:szCs w:val="36"/>
        </w:rPr>
      </w:pPr>
      <w:r w:rsidRPr="0024577F">
        <w:rPr>
          <w:rFonts w:ascii="Roboto Light" w:hAnsi="Roboto Light"/>
          <w:caps/>
          <w:sz w:val="36"/>
          <w:szCs w:val="36"/>
        </w:rPr>
        <w:t xml:space="preserve">UVA Center for Community Partnerships </w:t>
      </w:r>
    </w:p>
    <w:p w14:paraId="5B393B79" w14:textId="77777777" w:rsidR="007F6A50" w:rsidRDefault="007F6A50" w:rsidP="007F6A50">
      <w:pPr>
        <w:spacing w:after="120"/>
        <w:rPr>
          <w:rFonts w:ascii="Roboto Light" w:hAnsi="Roboto Light"/>
          <w:caps/>
          <w:sz w:val="36"/>
          <w:szCs w:val="36"/>
        </w:rPr>
      </w:pPr>
      <w:r w:rsidRPr="0024577F">
        <w:rPr>
          <w:rFonts w:ascii="Roboto Light" w:hAnsi="Roboto Light"/>
          <w:caps/>
          <w:sz w:val="36"/>
          <w:szCs w:val="36"/>
        </w:rPr>
        <w:t xml:space="preserve">in partnership with </w:t>
      </w:r>
      <w:r>
        <w:rPr>
          <w:rFonts w:ascii="Roboto Light" w:hAnsi="Roboto Light"/>
          <w:caps/>
          <w:sz w:val="36"/>
          <w:szCs w:val="36"/>
        </w:rPr>
        <w:t>the City of Charlottesville</w:t>
      </w:r>
    </w:p>
    <w:p w14:paraId="3DAB6C26" w14:textId="77777777" w:rsidR="007F6A50" w:rsidRPr="007350CE" w:rsidRDefault="007F6A50" w:rsidP="007F6A50">
      <w:pPr>
        <w:spacing w:after="120"/>
        <w:rPr>
          <w:rFonts w:ascii="Roboto Light" w:hAnsi="Roboto Light"/>
          <w:caps/>
          <w:sz w:val="36"/>
          <w:szCs w:val="36"/>
        </w:rPr>
      </w:pPr>
      <w:r>
        <w:rPr>
          <w:rFonts w:ascii="Roboto Light" w:hAnsi="Roboto Light"/>
          <w:caps/>
          <w:sz w:val="36"/>
          <w:szCs w:val="36"/>
        </w:rPr>
        <w:t xml:space="preserve">AND </w:t>
      </w:r>
      <w:r w:rsidRPr="0024577F">
        <w:rPr>
          <w:rFonts w:ascii="Roboto Light" w:hAnsi="Roboto Light"/>
          <w:caps/>
          <w:sz w:val="36"/>
          <w:szCs w:val="36"/>
        </w:rPr>
        <w:t>Albemarle County</w:t>
      </w:r>
    </w:p>
    <w:p w14:paraId="7460BA74" w14:textId="77777777" w:rsidR="007F6A50" w:rsidRPr="00985EC3" w:rsidRDefault="007F6A50" w:rsidP="007F6A50">
      <w:pPr>
        <w:spacing w:before="360" w:after="120"/>
        <w:rPr>
          <w:rFonts w:ascii="Roboto Medium" w:eastAsiaTheme="majorEastAsia" w:hAnsi="Roboto Medium" w:cs="Times New Roman (Headings CS)"/>
          <w:caps/>
          <w:sz w:val="36"/>
          <w:szCs w:val="38"/>
        </w:rPr>
      </w:pPr>
      <w:r>
        <w:rPr>
          <w:rFonts w:ascii="Roboto Medium" w:eastAsiaTheme="majorEastAsia" w:hAnsi="Roboto Medium" w:cs="Times New Roman (Headings CS)"/>
          <w:caps/>
          <w:sz w:val="36"/>
          <w:szCs w:val="38"/>
        </w:rPr>
        <w:t>MAY</w:t>
      </w:r>
      <w:r w:rsidRPr="0024577F">
        <w:rPr>
          <w:rFonts w:ascii="Roboto Medium" w:eastAsiaTheme="majorEastAsia" w:hAnsi="Roboto Medium" w:cs="Times New Roman (Headings CS)"/>
          <w:caps/>
          <w:sz w:val="36"/>
          <w:szCs w:val="38"/>
        </w:rPr>
        <w:t xml:space="preserve"> 202</w:t>
      </w:r>
      <w:r>
        <w:rPr>
          <w:rFonts w:ascii="Roboto Medium" w:eastAsiaTheme="majorEastAsia" w:hAnsi="Roboto Medium" w:cs="Times New Roman (Headings CS)"/>
          <w:caps/>
          <w:sz w:val="36"/>
          <w:szCs w:val="38"/>
        </w:rPr>
        <w:t>6</w:t>
      </w:r>
    </w:p>
    <w:p w14:paraId="3DDDED60" w14:textId="77777777" w:rsidR="007F6A50" w:rsidRPr="004F6901" w:rsidRDefault="007F6A50" w:rsidP="007F6A50">
      <w:pPr>
        <w:spacing w:after="0"/>
        <w:rPr>
          <w:b/>
          <w:bCs/>
          <w:sz w:val="36"/>
          <w:szCs w:val="30"/>
        </w:rPr>
      </w:pPr>
    </w:p>
    <w:p w14:paraId="05E851AC" w14:textId="77777777" w:rsidR="007F6A50" w:rsidRDefault="007F6A50" w:rsidP="007F6A50">
      <w:pPr>
        <w:spacing w:after="0"/>
        <w:rPr>
          <w:b/>
          <w:bCs/>
          <w:sz w:val="36"/>
          <w:szCs w:val="30"/>
        </w:rPr>
      </w:pPr>
    </w:p>
    <w:p w14:paraId="3C91E623" w14:textId="77777777" w:rsidR="007F6A50" w:rsidRDefault="007F6A50" w:rsidP="007F6A50">
      <w:pPr>
        <w:spacing w:after="0"/>
        <w:rPr>
          <w:b/>
          <w:bCs/>
          <w:sz w:val="36"/>
          <w:szCs w:val="30"/>
        </w:rPr>
      </w:pPr>
    </w:p>
    <w:p w14:paraId="44369E76" w14:textId="77777777" w:rsidR="007F6A50" w:rsidRPr="00BB1DCA" w:rsidRDefault="007F6A50" w:rsidP="007F6A50">
      <w:pPr>
        <w:spacing w:after="480"/>
        <w:rPr>
          <w:b/>
          <w:bCs/>
          <w:sz w:val="36"/>
          <w:szCs w:val="30"/>
        </w:rPr>
        <w:sectPr w:rsidR="007F6A50" w:rsidRPr="00BB1DCA" w:rsidSect="007F6A50">
          <w:headerReference w:type="default" r:id="rId8"/>
          <w:footerReference w:type="even" r:id="rId9"/>
          <w:footerReference w:type="default" r:id="rId10"/>
          <w:headerReference w:type="first" r:id="rId11"/>
          <w:pgSz w:w="12240" w:h="15840"/>
          <w:pgMar w:top="1728" w:right="1440" w:bottom="1440" w:left="1440" w:header="720" w:footer="720" w:gutter="0"/>
          <w:pgNumType w:fmt="lowerRoman" w:start="1"/>
          <w:cols w:space="720"/>
          <w:titlePg/>
          <w:docGrid w:linePitch="326"/>
        </w:sectPr>
      </w:pPr>
      <w:r>
        <w:rPr>
          <w:b/>
          <w:bCs/>
          <w:noProof/>
          <w:sz w:val="36"/>
          <w:szCs w:val="30"/>
        </w:rPr>
        <w:drawing>
          <wp:inline distT="0" distB="0" distL="0" distR="0" wp14:anchorId="30D86C9A" wp14:editId="04A2B1A5">
            <wp:extent cx="3109779" cy="950976"/>
            <wp:effectExtent l="0" t="0" r="1905" b="0"/>
            <wp:docPr id="1427948393" name="Picture 5"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8393" name="Picture 5"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9779" cy="950976"/>
                    </a:xfrm>
                    <a:prstGeom prst="rect">
                      <a:avLst/>
                    </a:prstGeom>
                  </pic:spPr>
                </pic:pic>
              </a:graphicData>
            </a:graphic>
          </wp:inline>
        </w:drawing>
      </w:r>
      <w:r>
        <w:rPr>
          <w:b/>
          <w:bCs/>
          <w:sz w:val="36"/>
          <w:szCs w:val="30"/>
        </w:rPr>
        <w:t xml:space="preserve">    </w:t>
      </w:r>
      <w:r>
        <w:rPr>
          <w:b/>
          <w:bCs/>
          <w:noProof/>
          <w:sz w:val="36"/>
          <w:szCs w:val="30"/>
        </w:rPr>
        <w:drawing>
          <wp:inline distT="0" distB="0" distL="0" distR="0" wp14:anchorId="7DF2DC06" wp14:editId="68EFD514">
            <wp:extent cx="1005840" cy="1005840"/>
            <wp:effectExtent l="0" t="0" r="0" b="0"/>
            <wp:docPr id="467832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2513"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5840" cy="1005840"/>
                    </a:xfrm>
                    <a:prstGeom prst="rect">
                      <a:avLst/>
                    </a:prstGeom>
                  </pic:spPr>
                </pic:pic>
              </a:graphicData>
            </a:graphic>
          </wp:inline>
        </w:drawing>
      </w:r>
      <w:r>
        <w:rPr>
          <w:b/>
          <w:bCs/>
          <w:sz w:val="36"/>
          <w:szCs w:val="30"/>
        </w:rPr>
        <w:t xml:space="preserve">     </w:t>
      </w:r>
      <w:r>
        <w:rPr>
          <w:b/>
          <w:bCs/>
          <w:noProof/>
          <w:sz w:val="36"/>
          <w:szCs w:val="30"/>
        </w:rPr>
        <w:drawing>
          <wp:inline distT="0" distB="0" distL="0" distR="0" wp14:anchorId="53CE46B1" wp14:editId="2B7AD9C1">
            <wp:extent cx="1005840" cy="1005840"/>
            <wp:effectExtent l="0" t="0" r="0" b="0"/>
            <wp:docPr id="161151792" name="Picture 4" descr="A yellow circle with a picture of a building and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1792" name="Picture 4" descr="A yellow circle with a picture of a building and a hors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5840" cy="1005840"/>
                    </a:xfrm>
                    <a:prstGeom prst="rect">
                      <a:avLst/>
                    </a:prstGeom>
                  </pic:spPr>
                </pic:pic>
              </a:graphicData>
            </a:graphic>
          </wp:inline>
        </w:drawing>
      </w:r>
    </w:p>
    <w:p w14:paraId="2362B5BB" w14:textId="77777777" w:rsidR="0004785C" w:rsidRDefault="0004785C" w:rsidP="00096E91">
      <w:pPr>
        <w:pStyle w:val="ExecSum"/>
        <w:outlineLvl w:val="9"/>
      </w:pPr>
      <w:r>
        <w:lastRenderedPageBreak/>
        <w:t>Executive Summary</w:t>
      </w:r>
    </w:p>
    <w:p w14:paraId="1CE29696" w14:textId="77777777" w:rsidR="0004785C" w:rsidRDefault="0004785C" w:rsidP="00152B11">
      <w:pPr>
        <w:pStyle w:val="FirstParagraph"/>
      </w:pPr>
      <w:r>
        <w:t>The Stepping Stones Report provides trend data for over 30 measures on the well-being of children and families in the City of Charlottesville and Albemarle County. Youth and family development is shaped by multiple interrelated domains. This report brings together data across these domains to describe the experiences and environments shaping young people in our community. The goal is to create a data-informed understanding of our collective trajectory, encourage dialogue, and promote action to improve the lives of all who reside in our community.</w:t>
      </w:r>
    </w:p>
    <w:p w14:paraId="3BB7AF31" w14:textId="77777777" w:rsidR="0004785C" w:rsidRDefault="0004785C" w:rsidP="0004785C">
      <w:pPr>
        <w:pStyle w:val="BodyText"/>
      </w:pPr>
      <w:r>
        <w:t>Measures in the Stepping Stones Report are presented in four sections: Education; Economic and Family Stability; Health; and School and Community Disciplinary Actions. Each measure features a narrative overview of the measure’s impact on youth and community well-being, a figure showing the data by year, key trends, and the source and limitations of the data. Access to Education and related opportunities is high for youth in Charlottesville and Albemarle. Both local school districts have a high percentage of graduates enrolling in post-secondary education—more than Virginia overall for the past few years. Recent data shows that in Charlottesville City Schools, 2 out of every 3 graduating seniors (66%) enrolled in post-secondary education, including 4-year and 2-year colleges. In Albemarle County Public Schools, 72% of seniors enrolled in post-secondary education following their high school graduation.</w:t>
      </w:r>
    </w:p>
    <w:p w14:paraId="10C8B535" w14:textId="77777777" w:rsidR="0004785C" w:rsidRDefault="0004785C" w:rsidP="0004785C">
      <w:pPr>
        <w:pStyle w:val="BodyText"/>
      </w:pPr>
      <w:r>
        <w:t>In Economic and Family Stability measures, the percent of children in poverty in Charlottesville was the lowest it has been in the last decade at 15% but remained higher than in Virginia overall. The child poverty rate in Albemarle has remained near its lowest rate in recent years at 7%. Although the percentage in the county is lower, it represents a greater number of children due to the higher total population of the county. In 2024 the estimated number of children living in poverty was 1,576 in Albemarle and 1,103 Charlottesville.</w:t>
      </w:r>
    </w:p>
    <w:p w14:paraId="7EDC73E3" w14:textId="77777777" w:rsidR="0004785C" w:rsidRDefault="0004785C" w:rsidP="0004785C">
      <w:pPr>
        <w:pStyle w:val="BodyText"/>
      </w:pPr>
      <w:r>
        <w:t>For youth and family Health measures, individuals receiving prenatal care in the first trimester of pregnancy—an important factor in reducing the risk of pregnancy complications—is higher in Charlottesville and Albemarle than in Virginia overall. This number has increased over the past decade, with the most recent data showing that over 80% of pregnant individuals received prenatal care beginning in the first trimester in both the city and county.</w:t>
      </w:r>
    </w:p>
    <w:p w14:paraId="6A56D029" w14:textId="77777777" w:rsidR="0004785C" w:rsidRDefault="0004785C" w:rsidP="0004785C">
      <w:pPr>
        <w:pStyle w:val="BodyText"/>
      </w:pPr>
      <w:r>
        <w:t>The report section on School and Community Disciplinary Actions shows trend data for measures that can lead to negative outcomes for young people, like risk of dropping out of school and involvement in the criminal justice system. The rate of youth arrests for violent crimes in both the city and county have seen a mostly downward trend since 2010, remaining below state-wide levels. In both Charlottesville and Albemarle, the youth arrest rate for violent crimes was around 1 per 1,000 youth in recent years.</w:t>
      </w:r>
    </w:p>
    <w:p w14:paraId="1F7CA91C" w14:textId="77777777" w:rsidR="0004785C" w:rsidRDefault="0004785C" w:rsidP="0004785C">
      <w:pPr>
        <w:pStyle w:val="BodyText"/>
      </w:pPr>
      <w:r>
        <w:lastRenderedPageBreak/>
        <w:t>Over 30 measures are included in the 2026 Stepping Stones Report. The report is focused on local data for the City of Charlottesville, Albemarle County, and Charlottesville and Albemarle Public Schools. State-level data is also provided, allowing for comparison of the trend data in Charlottesville and Albemarle against overall trends in Virginia. Data is sourced from multiple public agencies, including the Virginia Department of Education, Virginia Department of Health, Virginia Courts and State Police, and the U.S. Census Bureau.</w:t>
      </w:r>
    </w:p>
    <w:p w14:paraId="0C706673" w14:textId="77777777" w:rsidR="0004785C" w:rsidRDefault="0004785C" w:rsidP="0004785C">
      <w:pPr>
        <w:pStyle w:val="BodyText"/>
      </w:pPr>
      <w:r>
        <w:t>The 2026 Stepping Stones Report was produced through a collaboration between the Center for Community Partnerships at UVA and the City of Charlottesville and Albemarle County’s respective Departments of Human Services.</w:t>
      </w:r>
    </w:p>
    <w:bookmarkEnd w:id="0"/>
    <w:p w14:paraId="12F6DC00" w14:textId="77777777" w:rsidR="0004785C" w:rsidRPr="0004785C" w:rsidRDefault="0004785C" w:rsidP="0004785C">
      <w:pPr>
        <w:pStyle w:val="BodyText"/>
      </w:pPr>
    </w:p>
    <w:sdt>
      <w:sdtPr>
        <w:rPr>
          <w:rFonts w:eastAsiaTheme="minorHAnsi" w:cs="Times New Roman (Body CS)"/>
          <w:b w:val="0"/>
          <w:bCs w:val="0"/>
          <w:position w:val="0"/>
          <w:sz w:val="24"/>
          <w:szCs w:val="24"/>
        </w:rPr>
        <w:id w:val="1281305488"/>
        <w:docPartObj>
          <w:docPartGallery w:val="Table of Contents"/>
          <w:docPartUnique/>
        </w:docPartObj>
      </w:sdtPr>
      <w:sdtEndPr/>
      <w:sdtContent>
        <w:p w14:paraId="0728CFC0" w14:textId="77777777" w:rsidR="00D60E3C" w:rsidRDefault="00D60E3C">
          <w:pPr>
            <w:pStyle w:val="TOCHeading"/>
            <w:rPr>
              <w:rFonts w:eastAsiaTheme="minorHAnsi" w:cs="Times New Roman (Body CS)"/>
              <w:b w:val="0"/>
              <w:bCs w:val="0"/>
              <w:position w:val="0"/>
              <w:sz w:val="24"/>
              <w:szCs w:val="24"/>
            </w:rPr>
            <w:sectPr w:rsidR="00D60E3C" w:rsidSect="00E72518">
              <w:headerReference w:type="default" r:id="rId15"/>
              <w:footerReference w:type="even" r:id="rId16"/>
              <w:footerReference w:type="default" r:id="rId17"/>
              <w:headerReference w:type="first" r:id="rId18"/>
              <w:pgSz w:w="12240" w:h="15840"/>
              <w:pgMar w:top="1728" w:right="1440" w:bottom="1440" w:left="1440" w:header="720" w:footer="720" w:gutter="0"/>
              <w:pgNumType w:fmt="lowerRoman" w:start="1"/>
              <w:cols w:space="720"/>
              <w:docGrid w:linePitch="326"/>
            </w:sectPr>
          </w:pPr>
        </w:p>
        <w:p w14:paraId="51318B70" w14:textId="77777777" w:rsidR="00DD4DDE" w:rsidRDefault="0096555E">
          <w:pPr>
            <w:pStyle w:val="TOCHeading"/>
          </w:pPr>
          <w:r>
            <w:lastRenderedPageBreak/>
            <w:t>Table of Contents</w:t>
          </w:r>
        </w:p>
        <w:p w14:paraId="13F95199" w14:textId="73B5FF4A" w:rsidR="00523A04" w:rsidRDefault="0096555E">
          <w:pPr>
            <w:pStyle w:val="TOC2"/>
            <w:tabs>
              <w:tab w:val="right" w:leader="dot" w:pos="9350"/>
            </w:tabs>
            <w:rPr>
              <w:rFonts w:eastAsiaTheme="minorEastAsia" w:cstheme="minorBidi"/>
              <w:b w:val="0"/>
              <w:bCs w:val="0"/>
              <w:noProof/>
              <w:kern w:val="2"/>
              <w:sz w:val="24"/>
              <w:szCs w:val="24"/>
              <w14:ligatures w14:val="standardContextual"/>
            </w:rPr>
          </w:pPr>
          <w:r>
            <w:fldChar w:fldCharType="begin"/>
          </w:r>
          <w:r>
            <w:instrText>TOC \o "1-3" \h \z \u</w:instrText>
          </w:r>
          <w:r>
            <w:fldChar w:fldCharType="separate"/>
          </w:r>
          <w:hyperlink w:anchor="_Toc230089680" w:history="1">
            <w:r w:rsidR="00523A04" w:rsidRPr="00502B53">
              <w:rPr>
                <w:rStyle w:val="Hyperlink"/>
                <w:noProof/>
              </w:rPr>
              <w:t>Introduction</w:t>
            </w:r>
            <w:r w:rsidR="00523A04">
              <w:rPr>
                <w:noProof/>
                <w:webHidden/>
              </w:rPr>
              <w:tab/>
            </w:r>
            <w:r w:rsidR="00523A04">
              <w:rPr>
                <w:noProof/>
                <w:webHidden/>
              </w:rPr>
              <w:fldChar w:fldCharType="begin"/>
            </w:r>
            <w:r w:rsidR="00523A04">
              <w:rPr>
                <w:noProof/>
                <w:webHidden/>
              </w:rPr>
              <w:instrText xml:space="preserve"> PAGEREF _Toc230089680 \h </w:instrText>
            </w:r>
            <w:r w:rsidR="00523A04">
              <w:rPr>
                <w:noProof/>
                <w:webHidden/>
              </w:rPr>
            </w:r>
            <w:r w:rsidR="00523A04">
              <w:rPr>
                <w:noProof/>
                <w:webHidden/>
              </w:rPr>
              <w:fldChar w:fldCharType="separate"/>
            </w:r>
            <w:r w:rsidR="00AA3383">
              <w:rPr>
                <w:noProof/>
                <w:webHidden/>
              </w:rPr>
              <w:t>1</w:t>
            </w:r>
            <w:r w:rsidR="00523A04">
              <w:rPr>
                <w:noProof/>
                <w:webHidden/>
              </w:rPr>
              <w:fldChar w:fldCharType="end"/>
            </w:r>
          </w:hyperlink>
        </w:p>
        <w:p w14:paraId="5EBC19BF" w14:textId="7BEA4C30"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1" w:history="1">
            <w:r w:rsidRPr="00502B53">
              <w:rPr>
                <w:rStyle w:val="Hyperlink"/>
                <w:noProof/>
              </w:rPr>
              <w:t>Approach</w:t>
            </w:r>
            <w:r>
              <w:rPr>
                <w:noProof/>
                <w:webHidden/>
              </w:rPr>
              <w:tab/>
            </w:r>
            <w:r>
              <w:rPr>
                <w:noProof/>
                <w:webHidden/>
              </w:rPr>
              <w:fldChar w:fldCharType="begin"/>
            </w:r>
            <w:r>
              <w:rPr>
                <w:noProof/>
                <w:webHidden/>
              </w:rPr>
              <w:instrText xml:space="preserve"> PAGEREF _Toc230089681 \h </w:instrText>
            </w:r>
            <w:r>
              <w:rPr>
                <w:noProof/>
                <w:webHidden/>
              </w:rPr>
            </w:r>
            <w:r>
              <w:rPr>
                <w:noProof/>
                <w:webHidden/>
              </w:rPr>
              <w:fldChar w:fldCharType="separate"/>
            </w:r>
            <w:r w:rsidR="00AA3383">
              <w:rPr>
                <w:noProof/>
                <w:webHidden/>
              </w:rPr>
              <w:t>1</w:t>
            </w:r>
            <w:r>
              <w:rPr>
                <w:noProof/>
                <w:webHidden/>
              </w:rPr>
              <w:fldChar w:fldCharType="end"/>
            </w:r>
          </w:hyperlink>
        </w:p>
        <w:p w14:paraId="713492F2" w14:textId="68B08B4F"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2" w:history="1">
            <w:r w:rsidRPr="00502B53">
              <w:rPr>
                <w:rStyle w:val="Hyperlink"/>
                <w:noProof/>
              </w:rPr>
              <w:t>Our Youth</w:t>
            </w:r>
            <w:r>
              <w:rPr>
                <w:noProof/>
                <w:webHidden/>
              </w:rPr>
              <w:tab/>
            </w:r>
            <w:r>
              <w:rPr>
                <w:noProof/>
                <w:webHidden/>
              </w:rPr>
              <w:fldChar w:fldCharType="begin"/>
            </w:r>
            <w:r>
              <w:rPr>
                <w:noProof/>
                <w:webHidden/>
              </w:rPr>
              <w:instrText xml:space="preserve"> PAGEREF _Toc230089682 \h </w:instrText>
            </w:r>
            <w:r>
              <w:rPr>
                <w:noProof/>
                <w:webHidden/>
              </w:rPr>
            </w:r>
            <w:r>
              <w:rPr>
                <w:noProof/>
                <w:webHidden/>
              </w:rPr>
              <w:fldChar w:fldCharType="separate"/>
            </w:r>
            <w:r w:rsidR="00AA3383">
              <w:rPr>
                <w:noProof/>
                <w:webHidden/>
              </w:rPr>
              <w:t>2</w:t>
            </w:r>
            <w:r>
              <w:rPr>
                <w:noProof/>
                <w:webHidden/>
              </w:rPr>
              <w:fldChar w:fldCharType="end"/>
            </w:r>
          </w:hyperlink>
        </w:p>
        <w:p w14:paraId="08F63099" w14:textId="6046BB52"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3" w:history="1">
            <w:r w:rsidRPr="00502B53">
              <w:rPr>
                <w:rStyle w:val="Hyperlink"/>
                <w:noProof/>
              </w:rPr>
              <w:t>Contributions</w:t>
            </w:r>
            <w:r>
              <w:rPr>
                <w:noProof/>
                <w:webHidden/>
              </w:rPr>
              <w:tab/>
            </w:r>
            <w:r>
              <w:rPr>
                <w:noProof/>
                <w:webHidden/>
              </w:rPr>
              <w:fldChar w:fldCharType="begin"/>
            </w:r>
            <w:r>
              <w:rPr>
                <w:noProof/>
                <w:webHidden/>
              </w:rPr>
              <w:instrText xml:space="preserve"> PAGEREF _Toc230089683 \h </w:instrText>
            </w:r>
            <w:r>
              <w:rPr>
                <w:noProof/>
                <w:webHidden/>
              </w:rPr>
            </w:r>
            <w:r>
              <w:rPr>
                <w:noProof/>
                <w:webHidden/>
              </w:rPr>
              <w:fldChar w:fldCharType="separate"/>
            </w:r>
            <w:r w:rsidR="00AA3383">
              <w:rPr>
                <w:noProof/>
                <w:webHidden/>
              </w:rPr>
              <w:t>2</w:t>
            </w:r>
            <w:r>
              <w:rPr>
                <w:noProof/>
                <w:webHidden/>
              </w:rPr>
              <w:fldChar w:fldCharType="end"/>
            </w:r>
          </w:hyperlink>
        </w:p>
        <w:p w14:paraId="67B31999" w14:textId="08436049" w:rsidR="00523A04" w:rsidRDefault="00523A04">
          <w:pPr>
            <w:pStyle w:val="TOC2"/>
            <w:tabs>
              <w:tab w:val="right" w:leader="dot" w:pos="9350"/>
            </w:tabs>
            <w:rPr>
              <w:rFonts w:eastAsiaTheme="minorEastAsia" w:cstheme="minorBidi"/>
              <w:b w:val="0"/>
              <w:bCs w:val="0"/>
              <w:noProof/>
              <w:kern w:val="2"/>
              <w:sz w:val="24"/>
              <w:szCs w:val="24"/>
              <w14:ligatures w14:val="standardContextual"/>
            </w:rPr>
          </w:pPr>
          <w:hyperlink w:anchor="_Toc230089684" w:history="1">
            <w:r w:rsidRPr="00502B53">
              <w:rPr>
                <w:rStyle w:val="Hyperlink"/>
                <w:noProof/>
              </w:rPr>
              <w:t>Education</w:t>
            </w:r>
            <w:r>
              <w:rPr>
                <w:noProof/>
                <w:webHidden/>
              </w:rPr>
              <w:tab/>
            </w:r>
            <w:r>
              <w:rPr>
                <w:noProof/>
                <w:webHidden/>
              </w:rPr>
              <w:fldChar w:fldCharType="begin"/>
            </w:r>
            <w:r>
              <w:rPr>
                <w:noProof/>
                <w:webHidden/>
              </w:rPr>
              <w:instrText xml:space="preserve"> PAGEREF _Toc230089684 \h </w:instrText>
            </w:r>
            <w:r>
              <w:rPr>
                <w:noProof/>
                <w:webHidden/>
              </w:rPr>
            </w:r>
            <w:r>
              <w:rPr>
                <w:noProof/>
                <w:webHidden/>
              </w:rPr>
              <w:fldChar w:fldCharType="separate"/>
            </w:r>
            <w:r w:rsidR="00AA3383">
              <w:rPr>
                <w:noProof/>
                <w:webHidden/>
              </w:rPr>
              <w:t>3</w:t>
            </w:r>
            <w:r>
              <w:rPr>
                <w:noProof/>
                <w:webHidden/>
              </w:rPr>
              <w:fldChar w:fldCharType="end"/>
            </w:r>
          </w:hyperlink>
        </w:p>
        <w:p w14:paraId="5CE9EF60" w14:textId="51346EA0"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5" w:history="1">
            <w:r w:rsidRPr="00502B53">
              <w:rPr>
                <w:rStyle w:val="Hyperlink"/>
                <w:noProof/>
              </w:rPr>
              <w:t>Kindergarten Readiness</w:t>
            </w:r>
            <w:r>
              <w:rPr>
                <w:noProof/>
                <w:webHidden/>
              </w:rPr>
              <w:tab/>
            </w:r>
            <w:r>
              <w:rPr>
                <w:noProof/>
                <w:webHidden/>
              </w:rPr>
              <w:fldChar w:fldCharType="begin"/>
            </w:r>
            <w:r>
              <w:rPr>
                <w:noProof/>
                <w:webHidden/>
              </w:rPr>
              <w:instrText xml:space="preserve"> PAGEREF _Toc230089685 \h </w:instrText>
            </w:r>
            <w:r>
              <w:rPr>
                <w:noProof/>
                <w:webHidden/>
              </w:rPr>
            </w:r>
            <w:r>
              <w:rPr>
                <w:noProof/>
                <w:webHidden/>
              </w:rPr>
              <w:fldChar w:fldCharType="separate"/>
            </w:r>
            <w:r w:rsidR="00AA3383">
              <w:rPr>
                <w:noProof/>
                <w:webHidden/>
              </w:rPr>
              <w:t>3</w:t>
            </w:r>
            <w:r>
              <w:rPr>
                <w:noProof/>
                <w:webHidden/>
              </w:rPr>
              <w:fldChar w:fldCharType="end"/>
            </w:r>
          </w:hyperlink>
        </w:p>
        <w:p w14:paraId="15912C31" w14:textId="790571BC"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6" w:history="1">
            <w:r w:rsidRPr="00502B53">
              <w:rPr>
                <w:rStyle w:val="Hyperlink"/>
                <w:noProof/>
              </w:rPr>
              <w:t>Standards of Learning</w:t>
            </w:r>
            <w:r>
              <w:rPr>
                <w:noProof/>
                <w:webHidden/>
              </w:rPr>
              <w:tab/>
            </w:r>
            <w:r>
              <w:rPr>
                <w:noProof/>
                <w:webHidden/>
              </w:rPr>
              <w:fldChar w:fldCharType="begin"/>
            </w:r>
            <w:r>
              <w:rPr>
                <w:noProof/>
                <w:webHidden/>
              </w:rPr>
              <w:instrText xml:space="preserve"> PAGEREF _Toc230089686 \h </w:instrText>
            </w:r>
            <w:r>
              <w:rPr>
                <w:noProof/>
                <w:webHidden/>
              </w:rPr>
            </w:r>
            <w:r>
              <w:rPr>
                <w:noProof/>
                <w:webHidden/>
              </w:rPr>
              <w:fldChar w:fldCharType="separate"/>
            </w:r>
            <w:r w:rsidR="00AA3383">
              <w:rPr>
                <w:noProof/>
                <w:webHidden/>
              </w:rPr>
              <w:t>4</w:t>
            </w:r>
            <w:r>
              <w:rPr>
                <w:noProof/>
                <w:webHidden/>
              </w:rPr>
              <w:fldChar w:fldCharType="end"/>
            </w:r>
          </w:hyperlink>
        </w:p>
        <w:p w14:paraId="7D590001" w14:textId="6D1C2302"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7" w:history="1">
            <w:r w:rsidRPr="00502B53">
              <w:rPr>
                <w:rStyle w:val="Hyperlink"/>
                <w:noProof/>
              </w:rPr>
              <w:t>Math: Grade 3 and Grade 5</w:t>
            </w:r>
            <w:r>
              <w:rPr>
                <w:noProof/>
                <w:webHidden/>
              </w:rPr>
              <w:tab/>
            </w:r>
            <w:r>
              <w:rPr>
                <w:noProof/>
                <w:webHidden/>
              </w:rPr>
              <w:fldChar w:fldCharType="begin"/>
            </w:r>
            <w:r>
              <w:rPr>
                <w:noProof/>
                <w:webHidden/>
              </w:rPr>
              <w:instrText xml:space="preserve"> PAGEREF _Toc230089687 \h </w:instrText>
            </w:r>
            <w:r>
              <w:rPr>
                <w:noProof/>
                <w:webHidden/>
              </w:rPr>
            </w:r>
            <w:r>
              <w:rPr>
                <w:noProof/>
                <w:webHidden/>
              </w:rPr>
              <w:fldChar w:fldCharType="separate"/>
            </w:r>
            <w:r w:rsidR="00AA3383">
              <w:rPr>
                <w:noProof/>
                <w:webHidden/>
              </w:rPr>
              <w:t>5</w:t>
            </w:r>
            <w:r>
              <w:rPr>
                <w:noProof/>
                <w:webHidden/>
              </w:rPr>
              <w:fldChar w:fldCharType="end"/>
            </w:r>
          </w:hyperlink>
        </w:p>
        <w:p w14:paraId="5A622D02" w14:textId="7341D567"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8" w:history="1">
            <w:r w:rsidRPr="00502B53">
              <w:rPr>
                <w:rStyle w:val="Hyperlink"/>
                <w:noProof/>
              </w:rPr>
              <w:t>Reading: Grade 3 and Grade 5</w:t>
            </w:r>
            <w:r>
              <w:rPr>
                <w:noProof/>
                <w:webHidden/>
              </w:rPr>
              <w:tab/>
            </w:r>
            <w:r>
              <w:rPr>
                <w:noProof/>
                <w:webHidden/>
              </w:rPr>
              <w:fldChar w:fldCharType="begin"/>
            </w:r>
            <w:r>
              <w:rPr>
                <w:noProof/>
                <w:webHidden/>
              </w:rPr>
              <w:instrText xml:space="preserve"> PAGEREF _Toc230089688 \h </w:instrText>
            </w:r>
            <w:r>
              <w:rPr>
                <w:noProof/>
                <w:webHidden/>
              </w:rPr>
            </w:r>
            <w:r>
              <w:rPr>
                <w:noProof/>
                <w:webHidden/>
              </w:rPr>
              <w:fldChar w:fldCharType="separate"/>
            </w:r>
            <w:r w:rsidR="00AA3383">
              <w:rPr>
                <w:noProof/>
                <w:webHidden/>
              </w:rPr>
              <w:t>7</w:t>
            </w:r>
            <w:r>
              <w:rPr>
                <w:noProof/>
                <w:webHidden/>
              </w:rPr>
              <w:fldChar w:fldCharType="end"/>
            </w:r>
          </w:hyperlink>
        </w:p>
        <w:p w14:paraId="03658F4E" w14:textId="2DC51976"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89" w:history="1">
            <w:r w:rsidRPr="00502B53">
              <w:rPr>
                <w:rStyle w:val="Hyperlink"/>
                <w:noProof/>
              </w:rPr>
              <w:t>Students Eligible for Special Education Services</w:t>
            </w:r>
            <w:r>
              <w:rPr>
                <w:noProof/>
                <w:webHidden/>
              </w:rPr>
              <w:tab/>
            </w:r>
            <w:r>
              <w:rPr>
                <w:noProof/>
                <w:webHidden/>
              </w:rPr>
              <w:fldChar w:fldCharType="begin"/>
            </w:r>
            <w:r>
              <w:rPr>
                <w:noProof/>
                <w:webHidden/>
              </w:rPr>
              <w:instrText xml:space="preserve"> PAGEREF _Toc230089689 \h </w:instrText>
            </w:r>
            <w:r>
              <w:rPr>
                <w:noProof/>
                <w:webHidden/>
              </w:rPr>
            </w:r>
            <w:r>
              <w:rPr>
                <w:noProof/>
                <w:webHidden/>
              </w:rPr>
              <w:fldChar w:fldCharType="separate"/>
            </w:r>
            <w:r w:rsidR="00AA3383">
              <w:rPr>
                <w:noProof/>
                <w:webHidden/>
              </w:rPr>
              <w:t>9</w:t>
            </w:r>
            <w:r>
              <w:rPr>
                <w:noProof/>
                <w:webHidden/>
              </w:rPr>
              <w:fldChar w:fldCharType="end"/>
            </w:r>
          </w:hyperlink>
        </w:p>
        <w:p w14:paraId="6A375430" w14:textId="17D5D83B"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0" w:history="1">
            <w:r w:rsidRPr="00502B53">
              <w:rPr>
                <w:rStyle w:val="Hyperlink"/>
                <w:noProof/>
              </w:rPr>
              <w:t>Students Eligible for English Language Instruction</w:t>
            </w:r>
            <w:r>
              <w:rPr>
                <w:noProof/>
                <w:webHidden/>
              </w:rPr>
              <w:tab/>
            </w:r>
            <w:r>
              <w:rPr>
                <w:noProof/>
                <w:webHidden/>
              </w:rPr>
              <w:fldChar w:fldCharType="begin"/>
            </w:r>
            <w:r>
              <w:rPr>
                <w:noProof/>
                <w:webHidden/>
              </w:rPr>
              <w:instrText xml:space="preserve"> PAGEREF _Toc230089690 \h </w:instrText>
            </w:r>
            <w:r>
              <w:rPr>
                <w:noProof/>
                <w:webHidden/>
              </w:rPr>
            </w:r>
            <w:r>
              <w:rPr>
                <w:noProof/>
                <w:webHidden/>
              </w:rPr>
              <w:fldChar w:fldCharType="separate"/>
            </w:r>
            <w:r w:rsidR="00AA3383">
              <w:rPr>
                <w:noProof/>
                <w:webHidden/>
              </w:rPr>
              <w:t>10</w:t>
            </w:r>
            <w:r>
              <w:rPr>
                <w:noProof/>
                <w:webHidden/>
              </w:rPr>
              <w:fldChar w:fldCharType="end"/>
            </w:r>
          </w:hyperlink>
        </w:p>
        <w:p w14:paraId="67A59FC2" w14:textId="64CEEB73"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1" w:history="1">
            <w:r w:rsidRPr="00502B53">
              <w:rPr>
                <w:rStyle w:val="Hyperlink"/>
                <w:noProof/>
              </w:rPr>
              <w:t>Absenteeism</w:t>
            </w:r>
            <w:r>
              <w:rPr>
                <w:noProof/>
                <w:webHidden/>
              </w:rPr>
              <w:tab/>
            </w:r>
            <w:r>
              <w:rPr>
                <w:noProof/>
                <w:webHidden/>
              </w:rPr>
              <w:fldChar w:fldCharType="begin"/>
            </w:r>
            <w:r>
              <w:rPr>
                <w:noProof/>
                <w:webHidden/>
              </w:rPr>
              <w:instrText xml:space="preserve"> PAGEREF _Toc230089691 \h </w:instrText>
            </w:r>
            <w:r>
              <w:rPr>
                <w:noProof/>
                <w:webHidden/>
              </w:rPr>
            </w:r>
            <w:r>
              <w:rPr>
                <w:noProof/>
                <w:webHidden/>
              </w:rPr>
              <w:fldChar w:fldCharType="separate"/>
            </w:r>
            <w:r w:rsidR="00AA3383">
              <w:rPr>
                <w:noProof/>
                <w:webHidden/>
              </w:rPr>
              <w:t>11</w:t>
            </w:r>
            <w:r>
              <w:rPr>
                <w:noProof/>
                <w:webHidden/>
              </w:rPr>
              <w:fldChar w:fldCharType="end"/>
            </w:r>
          </w:hyperlink>
        </w:p>
        <w:p w14:paraId="57EECC03" w14:textId="30B1BA30"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2" w:history="1">
            <w:r w:rsidRPr="00502B53">
              <w:rPr>
                <w:rStyle w:val="Hyperlink"/>
                <w:noProof/>
              </w:rPr>
              <w:t>On-Time Graduation Rates</w:t>
            </w:r>
            <w:r>
              <w:rPr>
                <w:noProof/>
                <w:webHidden/>
              </w:rPr>
              <w:tab/>
            </w:r>
            <w:r>
              <w:rPr>
                <w:noProof/>
                <w:webHidden/>
              </w:rPr>
              <w:fldChar w:fldCharType="begin"/>
            </w:r>
            <w:r>
              <w:rPr>
                <w:noProof/>
                <w:webHidden/>
              </w:rPr>
              <w:instrText xml:space="preserve"> PAGEREF _Toc230089692 \h </w:instrText>
            </w:r>
            <w:r>
              <w:rPr>
                <w:noProof/>
                <w:webHidden/>
              </w:rPr>
            </w:r>
            <w:r>
              <w:rPr>
                <w:noProof/>
                <w:webHidden/>
              </w:rPr>
              <w:fldChar w:fldCharType="separate"/>
            </w:r>
            <w:r w:rsidR="00AA3383">
              <w:rPr>
                <w:noProof/>
                <w:webHidden/>
              </w:rPr>
              <w:t>12</w:t>
            </w:r>
            <w:r>
              <w:rPr>
                <w:noProof/>
                <w:webHidden/>
              </w:rPr>
              <w:fldChar w:fldCharType="end"/>
            </w:r>
          </w:hyperlink>
        </w:p>
        <w:p w14:paraId="7F157690" w14:textId="21129329"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3" w:history="1">
            <w:r w:rsidRPr="00502B53">
              <w:rPr>
                <w:rStyle w:val="Hyperlink"/>
                <w:noProof/>
              </w:rPr>
              <w:t>Post-Secondary Enrollment</w:t>
            </w:r>
            <w:r>
              <w:rPr>
                <w:noProof/>
                <w:webHidden/>
              </w:rPr>
              <w:tab/>
            </w:r>
            <w:r>
              <w:rPr>
                <w:noProof/>
                <w:webHidden/>
              </w:rPr>
              <w:fldChar w:fldCharType="begin"/>
            </w:r>
            <w:r>
              <w:rPr>
                <w:noProof/>
                <w:webHidden/>
              </w:rPr>
              <w:instrText xml:space="preserve"> PAGEREF _Toc230089693 \h </w:instrText>
            </w:r>
            <w:r>
              <w:rPr>
                <w:noProof/>
                <w:webHidden/>
              </w:rPr>
            </w:r>
            <w:r>
              <w:rPr>
                <w:noProof/>
                <w:webHidden/>
              </w:rPr>
              <w:fldChar w:fldCharType="separate"/>
            </w:r>
            <w:r w:rsidR="00AA3383">
              <w:rPr>
                <w:noProof/>
                <w:webHidden/>
              </w:rPr>
              <w:t>14</w:t>
            </w:r>
            <w:r>
              <w:rPr>
                <w:noProof/>
                <w:webHidden/>
              </w:rPr>
              <w:fldChar w:fldCharType="end"/>
            </w:r>
          </w:hyperlink>
        </w:p>
        <w:p w14:paraId="75726C98" w14:textId="1922A58C"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4" w:history="1">
            <w:r w:rsidRPr="00502B53">
              <w:rPr>
                <w:rStyle w:val="Hyperlink"/>
                <w:noProof/>
              </w:rPr>
              <w:t>High School Degree Attainment</w:t>
            </w:r>
            <w:r>
              <w:rPr>
                <w:noProof/>
                <w:webHidden/>
              </w:rPr>
              <w:tab/>
            </w:r>
            <w:r>
              <w:rPr>
                <w:noProof/>
                <w:webHidden/>
              </w:rPr>
              <w:fldChar w:fldCharType="begin"/>
            </w:r>
            <w:r>
              <w:rPr>
                <w:noProof/>
                <w:webHidden/>
              </w:rPr>
              <w:instrText xml:space="preserve"> PAGEREF _Toc230089694 \h </w:instrText>
            </w:r>
            <w:r>
              <w:rPr>
                <w:noProof/>
                <w:webHidden/>
              </w:rPr>
            </w:r>
            <w:r>
              <w:rPr>
                <w:noProof/>
                <w:webHidden/>
              </w:rPr>
              <w:fldChar w:fldCharType="separate"/>
            </w:r>
            <w:r w:rsidR="00AA3383">
              <w:rPr>
                <w:noProof/>
                <w:webHidden/>
              </w:rPr>
              <w:t>15</w:t>
            </w:r>
            <w:r>
              <w:rPr>
                <w:noProof/>
                <w:webHidden/>
              </w:rPr>
              <w:fldChar w:fldCharType="end"/>
            </w:r>
          </w:hyperlink>
        </w:p>
        <w:p w14:paraId="41BCEDD8" w14:textId="6305E2B4" w:rsidR="00523A04" w:rsidRDefault="00523A04">
          <w:pPr>
            <w:pStyle w:val="TOC2"/>
            <w:tabs>
              <w:tab w:val="right" w:leader="dot" w:pos="9350"/>
            </w:tabs>
            <w:rPr>
              <w:rFonts w:eastAsiaTheme="minorEastAsia" w:cstheme="minorBidi"/>
              <w:b w:val="0"/>
              <w:bCs w:val="0"/>
              <w:noProof/>
              <w:kern w:val="2"/>
              <w:sz w:val="24"/>
              <w:szCs w:val="24"/>
              <w14:ligatures w14:val="standardContextual"/>
            </w:rPr>
          </w:pPr>
          <w:hyperlink w:anchor="_Toc230089695" w:history="1">
            <w:r w:rsidRPr="00502B53">
              <w:rPr>
                <w:rStyle w:val="Hyperlink"/>
                <w:noProof/>
              </w:rPr>
              <w:t>Economic and Family Stability</w:t>
            </w:r>
            <w:r>
              <w:rPr>
                <w:noProof/>
                <w:webHidden/>
              </w:rPr>
              <w:tab/>
            </w:r>
            <w:r>
              <w:rPr>
                <w:noProof/>
                <w:webHidden/>
              </w:rPr>
              <w:fldChar w:fldCharType="begin"/>
            </w:r>
            <w:r>
              <w:rPr>
                <w:noProof/>
                <w:webHidden/>
              </w:rPr>
              <w:instrText xml:space="preserve"> PAGEREF _Toc230089695 \h </w:instrText>
            </w:r>
            <w:r>
              <w:rPr>
                <w:noProof/>
                <w:webHidden/>
              </w:rPr>
            </w:r>
            <w:r>
              <w:rPr>
                <w:noProof/>
                <w:webHidden/>
              </w:rPr>
              <w:fldChar w:fldCharType="separate"/>
            </w:r>
            <w:r w:rsidR="00AA3383">
              <w:rPr>
                <w:noProof/>
                <w:webHidden/>
              </w:rPr>
              <w:t>17</w:t>
            </w:r>
            <w:r>
              <w:rPr>
                <w:noProof/>
                <w:webHidden/>
              </w:rPr>
              <w:fldChar w:fldCharType="end"/>
            </w:r>
          </w:hyperlink>
        </w:p>
        <w:p w14:paraId="07FD3D3B" w14:textId="1979E989"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6" w:history="1">
            <w:r w:rsidRPr="00502B53">
              <w:rPr>
                <w:rStyle w:val="Hyperlink"/>
                <w:noProof/>
              </w:rPr>
              <w:t>Income for Families with Children</w:t>
            </w:r>
            <w:r>
              <w:rPr>
                <w:noProof/>
                <w:webHidden/>
              </w:rPr>
              <w:tab/>
            </w:r>
            <w:r>
              <w:rPr>
                <w:noProof/>
                <w:webHidden/>
              </w:rPr>
              <w:fldChar w:fldCharType="begin"/>
            </w:r>
            <w:r>
              <w:rPr>
                <w:noProof/>
                <w:webHidden/>
              </w:rPr>
              <w:instrText xml:space="preserve"> PAGEREF _Toc230089696 \h </w:instrText>
            </w:r>
            <w:r>
              <w:rPr>
                <w:noProof/>
                <w:webHidden/>
              </w:rPr>
            </w:r>
            <w:r>
              <w:rPr>
                <w:noProof/>
                <w:webHidden/>
              </w:rPr>
              <w:fldChar w:fldCharType="separate"/>
            </w:r>
            <w:r w:rsidR="00AA3383">
              <w:rPr>
                <w:noProof/>
                <w:webHidden/>
              </w:rPr>
              <w:t>17</w:t>
            </w:r>
            <w:r>
              <w:rPr>
                <w:noProof/>
                <w:webHidden/>
              </w:rPr>
              <w:fldChar w:fldCharType="end"/>
            </w:r>
          </w:hyperlink>
        </w:p>
        <w:p w14:paraId="1922B808" w14:textId="40FA7C47"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7" w:history="1">
            <w:r w:rsidRPr="00502B53">
              <w:rPr>
                <w:rStyle w:val="Hyperlink"/>
                <w:noProof/>
              </w:rPr>
              <w:t>Youth Labor Force Participation and Unemployment</w:t>
            </w:r>
            <w:r>
              <w:rPr>
                <w:noProof/>
                <w:webHidden/>
              </w:rPr>
              <w:tab/>
            </w:r>
            <w:r>
              <w:rPr>
                <w:noProof/>
                <w:webHidden/>
              </w:rPr>
              <w:fldChar w:fldCharType="begin"/>
            </w:r>
            <w:r>
              <w:rPr>
                <w:noProof/>
                <w:webHidden/>
              </w:rPr>
              <w:instrText xml:space="preserve"> PAGEREF _Toc230089697 \h </w:instrText>
            </w:r>
            <w:r>
              <w:rPr>
                <w:noProof/>
                <w:webHidden/>
              </w:rPr>
            </w:r>
            <w:r>
              <w:rPr>
                <w:noProof/>
                <w:webHidden/>
              </w:rPr>
              <w:fldChar w:fldCharType="separate"/>
            </w:r>
            <w:r w:rsidR="00AA3383">
              <w:rPr>
                <w:noProof/>
                <w:webHidden/>
              </w:rPr>
              <w:t>18</w:t>
            </w:r>
            <w:r>
              <w:rPr>
                <w:noProof/>
                <w:webHidden/>
              </w:rPr>
              <w:fldChar w:fldCharType="end"/>
            </w:r>
          </w:hyperlink>
        </w:p>
        <w:p w14:paraId="63FADC34" w14:textId="668C90D9"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8" w:history="1">
            <w:r w:rsidRPr="00502B53">
              <w:rPr>
                <w:rStyle w:val="Hyperlink"/>
                <w:noProof/>
              </w:rPr>
              <w:t>Children Living below Poverty Threshold</w:t>
            </w:r>
            <w:r>
              <w:rPr>
                <w:noProof/>
                <w:webHidden/>
              </w:rPr>
              <w:tab/>
            </w:r>
            <w:r>
              <w:rPr>
                <w:noProof/>
                <w:webHidden/>
              </w:rPr>
              <w:fldChar w:fldCharType="begin"/>
            </w:r>
            <w:r>
              <w:rPr>
                <w:noProof/>
                <w:webHidden/>
              </w:rPr>
              <w:instrText xml:space="preserve"> PAGEREF _Toc230089698 \h </w:instrText>
            </w:r>
            <w:r>
              <w:rPr>
                <w:noProof/>
                <w:webHidden/>
              </w:rPr>
            </w:r>
            <w:r>
              <w:rPr>
                <w:noProof/>
                <w:webHidden/>
              </w:rPr>
              <w:fldChar w:fldCharType="separate"/>
            </w:r>
            <w:r w:rsidR="00AA3383">
              <w:rPr>
                <w:noProof/>
                <w:webHidden/>
              </w:rPr>
              <w:t>21</w:t>
            </w:r>
            <w:r>
              <w:rPr>
                <w:noProof/>
                <w:webHidden/>
              </w:rPr>
              <w:fldChar w:fldCharType="end"/>
            </w:r>
          </w:hyperlink>
        </w:p>
        <w:p w14:paraId="29DE93CE" w14:textId="73E92FA2"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699" w:history="1">
            <w:r w:rsidRPr="00502B53">
              <w:rPr>
                <w:rStyle w:val="Hyperlink"/>
                <w:noProof/>
              </w:rPr>
              <w:t>Students Identified as Economically Disadvantaged</w:t>
            </w:r>
            <w:r>
              <w:rPr>
                <w:noProof/>
                <w:webHidden/>
              </w:rPr>
              <w:tab/>
            </w:r>
            <w:r>
              <w:rPr>
                <w:noProof/>
                <w:webHidden/>
              </w:rPr>
              <w:fldChar w:fldCharType="begin"/>
            </w:r>
            <w:r>
              <w:rPr>
                <w:noProof/>
                <w:webHidden/>
              </w:rPr>
              <w:instrText xml:space="preserve"> PAGEREF _Toc230089699 \h </w:instrText>
            </w:r>
            <w:r>
              <w:rPr>
                <w:noProof/>
                <w:webHidden/>
              </w:rPr>
            </w:r>
            <w:r>
              <w:rPr>
                <w:noProof/>
                <w:webHidden/>
              </w:rPr>
              <w:fldChar w:fldCharType="separate"/>
            </w:r>
            <w:r w:rsidR="00AA3383">
              <w:rPr>
                <w:noProof/>
                <w:webHidden/>
              </w:rPr>
              <w:t>22</w:t>
            </w:r>
            <w:r>
              <w:rPr>
                <w:noProof/>
                <w:webHidden/>
              </w:rPr>
              <w:fldChar w:fldCharType="end"/>
            </w:r>
          </w:hyperlink>
        </w:p>
        <w:p w14:paraId="5AD9024D" w14:textId="38D5F4E3"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0" w:history="1">
            <w:r w:rsidRPr="00502B53">
              <w:rPr>
                <w:rStyle w:val="Hyperlink"/>
                <w:noProof/>
              </w:rPr>
              <w:t>Children in Two-Parent Households</w:t>
            </w:r>
            <w:r>
              <w:rPr>
                <w:noProof/>
                <w:webHidden/>
              </w:rPr>
              <w:tab/>
            </w:r>
            <w:r>
              <w:rPr>
                <w:noProof/>
                <w:webHidden/>
              </w:rPr>
              <w:fldChar w:fldCharType="begin"/>
            </w:r>
            <w:r>
              <w:rPr>
                <w:noProof/>
                <w:webHidden/>
              </w:rPr>
              <w:instrText xml:space="preserve"> PAGEREF _Toc230089700 \h </w:instrText>
            </w:r>
            <w:r>
              <w:rPr>
                <w:noProof/>
                <w:webHidden/>
              </w:rPr>
            </w:r>
            <w:r>
              <w:rPr>
                <w:noProof/>
                <w:webHidden/>
              </w:rPr>
              <w:fldChar w:fldCharType="separate"/>
            </w:r>
            <w:r w:rsidR="00AA3383">
              <w:rPr>
                <w:noProof/>
                <w:webHidden/>
              </w:rPr>
              <w:t>24</w:t>
            </w:r>
            <w:r>
              <w:rPr>
                <w:noProof/>
                <w:webHidden/>
              </w:rPr>
              <w:fldChar w:fldCharType="end"/>
            </w:r>
          </w:hyperlink>
        </w:p>
        <w:p w14:paraId="523A3437" w14:textId="1211120E"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1" w:history="1">
            <w:r w:rsidRPr="00502B53">
              <w:rPr>
                <w:rStyle w:val="Hyperlink"/>
                <w:noProof/>
              </w:rPr>
              <w:t>Assessments and Investigations by Child Protective Services</w:t>
            </w:r>
            <w:r>
              <w:rPr>
                <w:noProof/>
                <w:webHidden/>
              </w:rPr>
              <w:tab/>
            </w:r>
            <w:r>
              <w:rPr>
                <w:noProof/>
                <w:webHidden/>
              </w:rPr>
              <w:fldChar w:fldCharType="begin"/>
            </w:r>
            <w:r>
              <w:rPr>
                <w:noProof/>
                <w:webHidden/>
              </w:rPr>
              <w:instrText xml:space="preserve"> PAGEREF _Toc230089701 \h </w:instrText>
            </w:r>
            <w:r>
              <w:rPr>
                <w:noProof/>
                <w:webHidden/>
              </w:rPr>
            </w:r>
            <w:r>
              <w:rPr>
                <w:noProof/>
                <w:webHidden/>
              </w:rPr>
              <w:fldChar w:fldCharType="separate"/>
            </w:r>
            <w:r w:rsidR="00AA3383">
              <w:rPr>
                <w:noProof/>
                <w:webHidden/>
              </w:rPr>
              <w:t>25</w:t>
            </w:r>
            <w:r>
              <w:rPr>
                <w:noProof/>
                <w:webHidden/>
              </w:rPr>
              <w:fldChar w:fldCharType="end"/>
            </w:r>
          </w:hyperlink>
        </w:p>
        <w:p w14:paraId="1DF1FF91" w14:textId="57DAEDBD"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2" w:history="1">
            <w:r w:rsidRPr="00502B53">
              <w:rPr>
                <w:rStyle w:val="Hyperlink"/>
                <w:noProof/>
              </w:rPr>
              <w:t>Children in Foster Care</w:t>
            </w:r>
            <w:r>
              <w:rPr>
                <w:noProof/>
                <w:webHidden/>
              </w:rPr>
              <w:tab/>
            </w:r>
            <w:r>
              <w:rPr>
                <w:noProof/>
                <w:webHidden/>
              </w:rPr>
              <w:fldChar w:fldCharType="begin"/>
            </w:r>
            <w:r>
              <w:rPr>
                <w:noProof/>
                <w:webHidden/>
              </w:rPr>
              <w:instrText xml:space="preserve"> PAGEREF _Toc230089702 \h </w:instrText>
            </w:r>
            <w:r>
              <w:rPr>
                <w:noProof/>
                <w:webHidden/>
              </w:rPr>
            </w:r>
            <w:r>
              <w:rPr>
                <w:noProof/>
                <w:webHidden/>
              </w:rPr>
              <w:fldChar w:fldCharType="separate"/>
            </w:r>
            <w:r w:rsidR="00AA3383">
              <w:rPr>
                <w:noProof/>
                <w:webHidden/>
              </w:rPr>
              <w:t>27</w:t>
            </w:r>
            <w:r>
              <w:rPr>
                <w:noProof/>
                <w:webHidden/>
              </w:rPr>
              <w:fldChar w:fldCharType="end"/>
            </w:r>
          </w:hyperlink>
        </w:p>
        <w:p w14:paraId="67E6327E" w14:textId="065CFB73"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3" w:history="1">
            <w:r w:rsidRPr="00502B53">
              <w:rPr>
                <w:rStyle w:val="Hyperlink"/>
                <w:noProof/>
              </w:rPr>
              <w:t>Students Experiencing Homelessness</w:t>
            </w:r>
            <w:r>
              <w:rPr>
                <w:noProof/>
                <w:webHidden/>
              </w:rPr>
              <w:tab/>
            </w:r>
            <w:r>
              <w:rPr>
                <w:noProof/>
                <w:webHidden/>
              </w:rPr>
              <w:fldChar w:fldCharType="begin"/>
            </w:r>
            <w:r>
              <w:rPr>
                <w:noProof/>
                <w:webHidden/>
              </w:rPr>
              <w:instrText xml:space="preserve"> PAGEREF _Toc230089703 \h </w:instrText>
            </w:r>
            <w:r>
              <w:rPr>
                <w:noProof/>
                <w:webHidden/>
              </w:rPr>
            </w:r>
            <w:r>
              <w:rPr>
                <w:noProof/>
                <w:webHidden/>
              </w:rPr>
              <w:fldChar w:fldCharType="separate"/>
            </w:r>
            <w:r w:rsidR="00AA3383">
              <w:rPr>
                <w:noProof/>
                <w:webHidden/>
              </w:rPr>
              <w:t>28</w:t>
            </w:r>
            <w:r>
              <w:rPr>
                <w:noProof/>
                <w:webHidden/>
              </w:rPr>
              <w:fldChar w:fldCharType="end"/>
            </w:r>
          </w:hyperlink>
        </w:p>
        <w:p w14:paraId="052BFD4B" w14:textId="4F6A392A" w:rsidR="00523A04" w:rsidRDefault="00523A04">
          <w:pPr>
            <w:pStyle w:val="TOC2"/>
            <w:tabs>
              <w:tab w:val="right" w:leader="dot" w:pos="9350"/>
            </w:tabs>
            <w:rPr>
              <w:rFonts w:eastAsiaTheme="minorEastAsia" w:cstheme="minorBidi"/>
              <w:b w:val="0"/>
              <w:bCs w:val="0"/>
              <w:noProof/>
              <w:kern w:val="2"/>
              <w:sz w:val="24"/>
              <w:szCs w:val="24"/>
              <w14:ligatures w14:val="standardContextual"/>
            </w:rPr>
          </w:pPr>
          <w:hyperlink w:anchor="_Toc230089704" w:history="1">
            <w:r w:rsidRPr="00502B53">
              <w:rPr>
                <w:rStyle w:val="Hyperlink"/>
                <w:noProof/>
              </w:rPr>
              <w:t>Health</w:t>
            </w:r>
            <w:r>
              <w:rPr>
                <w:noProof/>
                <w:webHidden/>
              </w:rPr>
              <w:tab/>
            </w:r>
            <w:r>
              <w:rPr>
                <w:noProof/>
                <w:webHidden/>
              </w:rPr>
              <w:fldChar w:fldCharType="begin"/>
            </w:r>
            <w:r>
              <w:rPr>
                <w:noProof/>
                <w:webHidden/>
              </w:rPr>
              <w:instrText xml:space="preserve"> PAGEREF _Toc230089704 \h </w:instrText>
            </w:r>
            <w:r>
              <w:rPr>
                <w:noProof/>
                <w:webHidden/>
              </w:rPr>
            </w:r>
            <w:r>
              <w:rPr>
                <w:noProof/>
                <w:webHidden/>
              </w:rPr>
              <w:fldChar w:fldCharType="separate"/>
            </w:r>
            <w:r w:rsidR="00AA3383">
              <w:rPr>
                <w:noProof/>
                <w:webHidden/>
              </w:rPr>
              <w:t>31</w:t>
            </w:r>
            <w:r>
              <w:rPr>
                <w:noProof/>
                <w:webHidden/>
              </w:rPr>
              <w:fldChar w:fldCharType="end"/>
            </w:r>
          </w:hyperlink>
        </w:p>
        <w:p w14:paraId="03A0E0D8" w14:textId="173534CA"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5" w:history="1">
            <w:r w:rsidRPr="00502B53">
              <w:rPr>
                <w:rStyle w:val="Hyperlink"/>
                <w:noProof/>
              </w:rPr>
              <w:t>Prenatal Care</w:t>
            </w:r>
            <w:r>
              <w:rPr>
                <w:noProof/>
                <w:webHidden/>
              </w:rPr>
              <w:tab/>
            </w:r>
            <w:r>
              <w:rPr>
                <w:noProof/>
                <w:webHidden/>
              </w:rPr>
              <w:fldChar w:fldCharType="begin"/>
            </w:r>
            <w:r>
              <w:rPr>
                <w:noProof/>
                <w:webHidden/>
              </w:rPr>
              <w:instrText xml:space="preserve"> PAGEREF _Toc230089705 \h </w:instrText>
            </w:r>
            <w:r>
              <w:rPr>
                <w:noProof/>
                <w:webHidden/>
              </w:rPr>
            </w:r>
            <w:r>
              <w:rPr>
                <w:noProof/>
                <w:webHidden/>
              </w:rPr>
              <w:fldChar w:fldCharType="separate"/>
            </w:r>
            <w:r w:rsidR="00AA3383">
              <w:rPr>
                <w:noProof/>
                <w:webHidden/>
              </w:rPr>
              <w:t>31</w:t>
            </w:r>
            <w:r>
              <w:rPr>
                <w:noProof/>
                <w:webHidden/>
              </w:rPr>
              <w:fldChar w:fldCharType="end"/>
            </w:r>
          </w:hyperlink>
        </w:p>
        <w:p w14:paraId="4DDE7398" w14:textId="28FCDBFD"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6" w:history="1">
            <w:r w:rsidRPr="00502B53">
              <w:rPr>
                <w:rStyle w:val="Hyperlink"/>
                <w:noProof/>
              </w:rPr>
              <w:t>Low Birth-Weight Babies</w:t>
            </w:r>
            <w:r>
              <w:rPr>
                <w:noProof/>
                <w:webHidden/>
              </w:rPr>
              <w:tab/>
            </w:r>
            <w:r>
              <w:rPr>
                <w:noProof/>
                <w:webHidden/>
              </w:rPr>
              <w:fldChar w:fldCharType="begin"/>
            </w:r>
            <w:r>
              <w:rPr>
                <w:noProof/>
                <w:webHidden/>
              </w:rPr>
              <w:instrText xml:space="preserve"> PAGEREF _Toc230089706 \h </w:instrText>
            </w:r>
            <w:r>
              <w:rPr>
                <w:noProof/>
                <w:webHidden/>
              </w:rPr>
            </w:r>
            <w:r>
              <w:rPr>
                <w:noProof/>
                <w:webHidden/>
              </w:rPr>
              <w:fldChar w:fldCharType="separate"/>
            </w:r>
            <w:r w:rsidR="00AA3383">
              <w:rPr>
                <w:noProof/>
                <w:webHidden/>
              </w:rPr>
              <w:t>32</w:t>
            </w:r>
            <w:r>
              <w:rPr>
                <w:noProof/>
                <w:webHidden/>
              </w:rPr>
              <w:fldChar w:fldCharType="end"/>
            </w:r>
          </w:hyperlink>
        </w:p>
        <w:p w14:paraId="6A055FBD" w14:textId="4525740B"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7" w:history="1">
            <w:r w:rsidRPr="00502B53">
              <w:rPr>
                <w:rStyle w:val="Hyperlink"/>
                <w:noProof/>
              </w:rPr>
              <w:t>Infant Mortality</w:t>
            </w:r>
            <w:r>
              <w:rPr>
                <w:noProof/>
                <w:webHidden/>
              </w:rPr>
              <w:tab/>
            </w:r>
            <w:r>
              <w:rPr>
                <w:noProof/>
                <w:webHidden/>
              </w:rPr>
              <w:fldChar w:fldCharType="begin"/>
            </w:r>
            <w:r>
              <w:rPr>
                <w:noProof/>
                <w:webHidden/>
              </w:rPr>
              <w:instrText xml:space="preserve"> PAGEREF _Toc230089707 \h </w:instrText>
            </w:r>
            <w:r>
              <w:rPr>
                <w:noProof/>
                <w:webHidden/>
              </w:rPr>
            </w:r>
            <w:r>
              <w:rPr>
                <w:noProof/>
                <w:webHidden/>
              </w:rPr>
              <w:fldChar w:fldCharType="separate"/>
            </w:r>
            <w:r w:rsidR="00AA3383">
              <w:rPr>
                <w:noProof/>
                <w:webHidden/>
              </w:rPr>
              <w:t>33</w:t>
            </w:r>
            <w:r>
              <w:rPr>
                <w:noProof/>
                <w:webHidden/>
              </w:rPr>
              <w:fldChar w:fldCharType="end"/>
            </w:r>
          </w:hyperlink>
        </w:p>
        <w:p w14:paraId="6B36C779" w14:textId="15F7BC28"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8" w:history="1">
            <w:r w:rsidRPr="00502B53">
              <w:rPr>
                <w:rStyle w:val="Hyperlink"/>
                <w:noProof/>
              </w:rPr>
              <w:t>Teen Pregnancy</w:t>
            </w:r>
            <w:r>
              <w:rPr>
                <w:noProof/>
                <w:webHidden/>
              </w:rPr>
              <w:tab/>
            </w:r>
            <w:r>
              <w:rPr>
                <w:noProof/>
                <w:webHidden/>
              </w:rPr>
              <w:fldChar w:fldCharType="begin"/>
            </w:r>
            <w:r>
              <w:rPr>
                <w:noProof/>
                <w:webHidden/>
              </w:rPr>
              <w:instrText xml:space="preserve"> PAGEREF _Toc230089708 \h </w:instrText>
            </w:r>
            <w:r>
              <w:rPr>
                <w:noProof/>
                <w:webHidden/>
              </w:rPr>
            </w:r>
            <w:r>
              <w:rPr>
                <w:noProof/>
                <w:webHidden/>
              </w:rPr>
              <w:fldChar w:fldCharType="separate"/>
            </w:r>
            <w:r w:rsidR="00AA3383">
              <w:rPr>
                <w:noProof/>
                <w:webHidden/>
              </w:rPr>
              <w:t>34</w:t>
            </w:r>
            <w:r>
              <w:rPr>
                <w:noProof/>
                <w:webHidden/>
              </w:rPr>
              <w:fldChar w:fldCharType="end"/>
            </w:r>
          </w:hyperlink>
        </w:p>
        <w:p w14:paraId="2F8F69CA" w14:textId="1FB7EE3B"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09" w:history="1">
            <w:r w:rsidRPr="00502B53">
              <w:rPr>
                <w:rStyle w:val="Hyperlink"/>
                <w:noProof/>
              </w:rPr>
              <w:t>Sexually Transmitted Infections in Youth</w:t>
            </w:r>
            <w:r>
              <w:rPr>
                <w:noProof/>
                <w:webHidden/>
              </w:rPr>
              <w:tab/>
            </w:r>
            <w:r>
              <w:rPr>
                <w:noProof/>
                <w:webHidden/>
              </w:rPr>
              <w:fldChar w:fldCharType="begin"/>
            </w:r>
            <w:r>
              <w:rPr>
                <w:noProof/>
                <w:webHidden/>
              </w:rPr>
              <w:instrText xml:space="preserve"> PAGEREF _Toc230089709 \h </w:instrText>
            </w:r>
            <w:r>
              <w:rPr>
                <w:noProof/>
                <w:webHidden/>
              </w:rPr>
            </w:r>
            <w:r>
              <w:rPr>
                <w:noProof/>
                <w:webHidden/>
              </w:rPr>
              <w:fldChar w:fldCharType="separate"/>
            </w:r>
            <w:r w:rsidR="00AA3383">
              <w:rPr>
                <w:noProof/>
                <w:webHidden/>
              </w:rPr>
              <w:t>35</w:t>
            </w:r>
            <w:r>
              <w:rPr>
                <w:noProof/>
                <w:webHidden/>
              </w:rPr>
              <w:fldChar w:fldCharType="end"/>
            </w:r>
          </w:hyperlink>
        </w:p>
        <w:p w14:paraId="2BDA3563" w14:textId="697EF23A" w:rsidR="00523A04" w:rsidRDefault="00523A04">
          <w:pPr>
            <w:pStyle w:val="TOC2"/>
            <w:tabs>
              <w:tab w:val="right" w:leader="dot" w:pos="9350"/>
            </w:tabs>
            <w:rPr>
              <w:rFonts w:eastAsiaTheme="minorEastAsia" w:cstheme="minorBidi"/>
              <w:b w:val="0"/>
              <w:bCs w:val="0"/>
              <w:noProof/>
              <w:kern w:val="2"/>
              <w:sz w:val="24"/>
              <w:szCs w:val="24"/>
              <w14:ligatures w14:val="standardContextual"/>
            </w:rPr>
          </w:pPr>
          <w:hyperlink w:anchor="_Toc230089710" w:history="1">
            <w:r w:rsidRPr="00502B53">
              <w:rPr>
                <w:rStyle w:val="Hyperlink"/>
                <w:noProof/>
              </w:rPr>
              <w:t>School and Community Disciplinary Actions</w:t>
            </w:r>
            <w:r>
              <w:rPr>
                <w:noProof/>
                <w:webHidden/>
              </w:rPr>
              <w:tab/>
            </w:r>
            <w:r>
              <w:rPr>
                <w:noProof/>
                <w:webHidden/>
              </w:rPr>
              <w:fldChar w:fldCharType="begin"/>
            </w:r>
            <w:r>
              <w:rPr>
                <w:noProof/>
                <w:webHidden/>
              </w:rPr>
              <w:instrText xml:space="preserve"> PAGEREF _Toc230089710 \h </w:instrText>
            </w:r>
            <w:r>
              <w:rPr>
                <w:noProof/>
                <w:webHidden/>
              </w:rPr>
            </w:r>
            <w:r>
              <w:rPr>
                <w:noProof/>
                <w:webHidden/>
              </w:rPr>
              <w:fldChar w:fldCharType="separate"/>
            </w:r>
            <w:r w:rsidR="00AA3383">
              <w:rPr>
                <w:noProof/>
                <w:webHidden/>
              </w:rPr>
              <w:t>37</w:t>
            </w:r>
            <w:r>
              <w:rPr>
                <w:noProof/>
                <w:webHidden/>
              </w:rPr>
              <w:fldChar w:fldCharType="end"/>
            </w:r>
          </w:hyperlink>
        </w:p>
        <w:p w14:paraId="6D3EE9FC" w14:textId="4355B7F8"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1" w:history="1">
            <w:r w:rsidRPr="00502B53">
              <w:rPr>
                <w:rStyle w:val="Hyperlink"/>
                <w:noProof/>
              </w:rPr>
              <w:t>Student Behavior and Administrative Response</w:t>
            </w:r>
            <w:r>
              <w:rPr>
                <w:noProof/>
                <w:webHidden/>
              </w:rPr>
              <w:tab/>
            </w:r>
            <w:r>
              <w:rPr>
                <w:noProof/>
                <w:webHidden/>
              </w:rPr>
              <w:fldChar w:fldCharType="begin"/>
            </w:r>
            <w:r>
              <w:rPr>
                <w:noProof/>
                <w:webHidden/>
              </w:rPr>
              <w:instrText xml:space="preserve"> PAGEREF _Toc230089711 \h </w:instrText>
            </w:r>
            <w:r>
              <w:rPr>
                <w:noProof/>
                <w:webHidden/>
              </w:rPr>
            </w:r>
            <w:r>
              <w:rPr>
                <w:noProof/>
                <w:webHidden/>
              </w:rPr>
              <w:fldChar w:fldCharType="separate"/>
            </w:r>
            <w:r w:rsidR="00AA3383">
              <w:rPr>
                <w:noProof/>
                <w:webHidden/>
              </w:rPr>
              <w:t>37</w:t>
            </w:r>
            <w:r>
              <w:rPr>
                <w:noProof/>
                <w:webHidden/>
              </w:rPr>
              <w:fldChar w:fldCharType="end"/>
            </w:r>
          </w:hyperlink>
        </w:p>
        <w:p w14:paraId="21A34C47" w14:textId="152D4B6B"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2" w:history="1">
            <w:r w:rsidRPr="00502B53">
              <w:rPr>
                <w:rStyle w:val="Hyperlink"/>
                <w:noProof/>
              </w:rPr>
              <w:t>In-School Suspensions</w:t>
            </w:r>
            <w:r>
              <w:rPr>
                <w:noProof/>
                <w:webHidden/>
              </w:rPr>
              <w:tab/>
            </w:r>
            <w:r>
              <w:rPr>
                <w:noProof/>
                <w:webHidden/>
              </w:rPr>
              <w:fldChar w:fldCharType="begin"/>
            </w:r>
            <w:r>
              <w:rPr>
                <w:noProof/>
                <w:webHidden/>
              </w:rPr>
              <w:instrText xml:space="preserve"> PAGEREF _Toc230089712 \h </w:instrText>
            </w:r>
            <w:r>
              <w:rPr>
                <w:noProof/>
                <w:webHidden/>
              </w:rPr>
            </w:r>
            <w:r>
              <w:rPr>
                <w:noProof/>
                <w:webHidden/>
              </w:rPr>
              <w:fldChar w:fldCharType="separate"/>
            </w:r>
            <w:r w:rsidR="00AA3383">
              <w:rPr>
                <w:noProof/>
                <w:webHidden/>
              </w:rPr>
              <w:t>39</w:t>
            </w:r>
            <w:r>
              <w:rPr>
                <w:noProof/>
                <w:webHidden/>
              </w:rPr>
              <w:fldChar w:fldCharType="end"/>
            </w:r>
          </w:hyperlink>
        </w:p>
        <w:p w14:paraId="10B210A5" w14:textId="3E55D786"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3" w:history="1">
            <w:r w:rsidRPr="00502B53">
              <w:rPr>
                <w:rStyle w:val="Hyperlink"/>
                <w:noProof/>
              </w:rPr>
              <w:t>Out-of-School Suspensions</w:t>
            </w:r>
            <w:r>
              <w:rPr>
                <w:noProof/>
                <w:webHidden/>
              </w:rPr>
              <w:tab/>
            </w:r>
            <w:r>
              <w:rPr>
                <w:noProof/>
                <w:webHidden/>
              </w:rPr>
              <w:fldChar w:fldCharType="begin"/>
            </w:r>
            <w:r>
              <w:rPr>
                <w:noProof/>
                <w:webHidden/>
              </w:rPr>
              <w:instrText xml:space="preserve"> PAGEREF _Toc230089713 \h </w:instrText>
            </w:r>
            <w:r>
              <w:rPr>
                <w:noProof/>
                <w:webHidden/>
              </w:rPr>
            </w:r>
            <w:r>
              <w:rPr>
                <w:noProof/>
                <w:webHidden/>
              </w:rPr>
              <w:fldChar w:fldCharType="separate"/>
            </w:r>
            <w:r w:rsidR="00AA3383">
              <w:rPr>
                <w:noProof/>
                <w:webHidden/>
              </w:rPr>
              <w:t>40</w:t>
            </w:r>
            <w:r>
              <w:rPr>
                <w:noProof/>
                <w:webHidden/>
              </w:rPr>
              <w:fldChar w:fldCharType="end"/>
            </w:r>
          </w:hyperlink>
        </w:p>
        <w:p w14:paraId="1A353D0C" w14:textId="10336B88"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4" w:history="1">
            <w:r w:rsidRPr="00502B53">
              <w:rPr>
                <w:rStyle w:val="Hyperlink"/>
                <w:noProof/>
              </w:rPr>
              <w:t>Children in Need of Services or Supervision</w:t>
            </w:r>
            <w:r>
              <w:rPr>
                <w:noProof/>
                <w:webHidden/>
              </w:rPr>
              <w:tab/>
            </w:r>
            <w:r>
              <w:rPr>
                <w:noProof/>
                <w:webHidden/>
              </w:rPr>
              <w:fldChar w:fldCharType="begin"/>
            </w:r>
            <w:r>
              <w:rPr>
                <w:noProof/>
                <w:webHidden/>
              </w:rPr>
              <w:instrText xml:space="preserve"> PAGEREF _Toc230089714 \h </w:instrText>
            </w:r>
            <w:r>
              <w:rPr>
                <w:noProof/>
                <w:webHidden/>
              </w:rPr>
            </w:r>
            <w:r>
              <w:rPr>
                <w:noProof/>
                <w:webHidden/>
              </w:rPr>
              <w:fldChar w:fldCharType="separate"/>
            </w:r>
            <w:r w:rsidR="00AA3383">
              <w:rPr>
                <w:noProof/>
                <w:webHidden/>
              </w:rPr>
              <w:t>41</w:t>
            </w:r>
            <w:r>
              <w:rPr>
                <w:noProof/>
                <w:webHidden/>
              </w:rPr>
              <w:fldChar w:fldCharType="end"/>
            </w:r>
          </w:hyperlink>
        </w:p>
        <w:p w14:paraId="0773A431" w14:textId="6288F6C6"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5" w:history="1">
            <w:r w:rsidRPr="00502B53">
              <w:rPr>
                <w:rStyle w:val="Hyperlink"/>
                <w:noProof/>
              </w:rPr>
              <w:t>Juvenile Delinquency Judgments</w:t>
            </w:r>
            <w:r>
              <w:rPr>
                <w:noProof/>
                <w:webHidden/>
              </w:rPr>
              <w:tab/>
            </w:r>
            <w:r>
              <w:rPr>
                <w:noProof/>
                <w:webHidden/>
              </w:rPr>
              <w:fldChar w:fldCharType="begin"/>
            </w:r>
            <w:r>
              <w:rPr>
                <w:noProof/>
                <w:webHidden/>
              </w:rPr>
              <w:instrText xml:space="preserve"> PAGEREF _Toc230089715 \h </w:instrText>
            </w:r>
            <w:r>
              <w:rPr>
                <w:noProof/>
                <w:webHidden/>
              </w:rPr>
            </w:r>
            <w:r>
              <w:rPr>
                <w:noProof/>
                <w:webHidden/>
              </w:rPr>
              <w:fldChar w:fldCharType="separate"/>
            </w:r>
            <w:r w:rsidR="00AA3383">
              <w:rPr>
                <w:noProof/>
                <w:webHidden/>
              </w:rPr>
              <w:t>42</w:t>
            </w:r>
            <w:r>
              <w:rPr>
                <w:noProof/>
                <w:webHidden/>
              </w:rPr>
              <w:fldChar w:fldCharType="end"/>
            </w:r>
          </w:hyperlink>
        </w:p>
        <w:p w14:paraId="7A6EB36E" w14:textId="4E708F03"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6" w:history="1">
            <w:r w:rsidRPr="00502B53">
              <w:rPr>
                <w:rStyle w:val="Hyperlink"/>
                <w:noProof/>
              </w:rPr>
              <w:t>Arrests for Violent Crimes</w:t>
            </w:r>
            <w:r>
              <w:rPr>
                <w:noProof/>
                <w:webHidden/>
              </w:rPr>
              <w:tab/>
            </w:r>
            <w:r>
              <w:rPr>
                <w:noProof/>
                <w:webHidden/>
              </w:rPr>
              <w:fldChar w:fldCharType="begin"/>
            </w:r>
            <w:r>
              <w:rPr>
                <w:noProof/>
                <w:webHidden/>
              </w:rPr>
              <w:instrText xml:space="preserve"> PAGEREF _Toc230089716 \h </w:instrText>
            </w:r>
            <w:r>
              <w:rPr>
                <w:noProof/>
                <w:webHidden/>
              </w:rPr>
            </w:r>
            <w:r>
              <w:rPr>
                <w:noProof/>
                <w:webHidden/>
              </w:rPr>
              <w:fldChar w:fldCharType="separate"/>
            </w:r>
            <w:r w:rsidR="00AA3383">
              <w:rPr>
                <w:noProof/>
                <w:webHidden/>
              </w:rPr>
              <w:t>43</w:t>
            </w:r>
            <w:r>
              <w:rPr>
                <w:noProof/>
                <w:webHidden/>
              </w:rPr>
              <w:fldChar w:fldCharType="end"/>
            </w:r>
          </w:hyperlink>
        </w:p>
        <w:p w14:paraId="03E675AE" w14:textId="4CE3B53B"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7" w:history="1">
            <w:r w:rsidRPr="00502B53">
              <w:rPr>
                <w:rStyle w:val="Hyperlink"/>
                <w:noProof/>
              </w:rPr>
              <w:t>Arrests for Crimes Involving Firearms</w:t>
            </w:r>
            <w:r>
              <w:rPr>
                <w:noProof/>
                <w:webHidden/>
              </w:rPr>
              <w:tab/>
            </w:r>
            <w:r>
              <w:rPr>
                <w:noProof/>
                <w:webHidden/>
              </w:rPr>
              <w:fldChar w:fldCharType="begin"/>
            </w:r>
            <w:r>
              <w:rPr>
                <w:noProof/>
                <w:webHidden/>
              </w:rPr>
              <w:instrText xml:space="preserve"> PAGEREF _Toc230089717 \h </w:instrText>
            </w:r>
            <w:r>
              <w:rPr>
                <w:noProof/>
                <w:webHidden/>
              </w:rPr>
            </w:r>
            <w:r>
              <w:rPr>
                <w:noProof/>
                <w:webHidden/>
              </w:rPr>
              <w:fldChar w:fldCharType="separate"/>
            </w:r>
            <w:r w:rsidR="00AA3383">
              <w:rPr>
                <w:noProof/>
                <w:webHidden/>
              </w:rPr>
              <w:t>45</w:t>
            </w:r>
            <w:r>
              <w:rPr>
                <w:noProof/>
                <w:webHidden/>
              </w:rPr>
              <w:fldChar w:fldCharType="end"/>
            </w:r>
          </w:hyperlink>
        </w:p>
        <w:p w14:paraId="3B3D4B49" w14:textId="31B6ECF2" w:rsidR="00523A04" w:rsidRDefault="00523A04">
          <w:pPr>
            <w:pStyle w:val="TOC2"/>
            <w:tabs>
              <w:tab w:val="right" w:leader="dot" w:pos="9350"/>
            </w:tabs>
            <w:rPr>
              <w:rFonts w:eastAsiaTheme="minorEastAsia" w:cstheme="minorBidi"/>
              <w:b w:val="0"/>
              <w:bCs w:val="0"/>
              <w:noProof/>
              <w:kern w:val="2"/>
              <w:sz w:val="24"/>
              <w:szCs w:val="24"/>
              <w14:ligatures w14:val="standardContextual"/>
            </w:rPr>
          </w:pPr>
          <w:hyperlink w:anchor="_Toc230089718" w:history="1">
            <w:r w:rsidRPr="00502B53">
              <w:rPr>
                <w:rStyle w:val="Hyperlink"/>
                <w:noProof/>
              </w:rPr>
              <w:t>Contributors</w:t>
            </w:r>
            <w:r>
              <w:rPr>
                <w:noProof/>
                <w:webHidden/>
              </w:rPr>
              <w:tab/>
            </w:r>
            <w:r>
              <w:rPr>
                <w:noProof/>
                <w:webHidden/>
              </w:rPr>
              <w:fldChar w:fldCharType="begin"/>
            </w:r>
            <w:r>
              <w:rPr>
                <w:noProof/>
                <w:webHidden/>
              </w:rPr>
              <w:instrText xml:space="preserve"> PAGEREF _Toc230089718 \h </w:instrText>
            </w:r>
            <w:r>
              <w:rPr>
                <w:noProof/>
                <w:webHidden/>
              </w:rPr>
            </w:r>
            <w:r>
              <w:rPr>
                <w:noProof/>
                <w:webHidden/>
              </w:rPr>
              <w:fldChar w:fldCharType="separate"/>
            </w:r>
            <w:r w:rsidR="00AA3383">
              <w:rPr>
                <w:noProof/>
                <w:webHidden/>
              </w:rPr>
              <w:t>47</w:t>
            </w:r>
            <w:r>
              <w:rPr>
                <w:noProof/>
                <w:webHidden/>
              </w:rPr>
              <w:fldChar w:fldCharType="end"/>
            </w:r>
          </w:hyperlink>
        </w:p>
        <w:p w14:paraId="397DF667" w14:textId="6E899A06"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19" w:history="1">
            <w:r w:rsidRPr="00502B53">
              <w:rPr>
                <w:rStyle w:val="Hyperlink"/>
                <w:noProof/>
              </w:rPr>
              <w:t>About the Center for Community Partnerships</w:t>
            </w:r>
            <w:r>
              <w:rPr>
                <w:noProof/>
                <w:webHidden/>
              </w:rPr>
              <w:tab/>
            </w:r>
            <w:r>
              <w:rPr>
                <w:noProof/>
                <w:webHidden/>
              </w:rPr>
              <w:fldChar w:fldCharType="begin"/>
            </w:r>
            <w:r>
              <w:rPr>
                <w:noProof/>
                <w:webHidden/>
              </w:rPr>
              <w:instrText xml:space="preserve"> PAGEREF _Toc230089719 \h </w:instrText>
            </w:r>
            <w:r>
              <w:rPr>
                <w:noProof/>
                <w:webHidden/>
              </w:rPr>
            </w:r>
            <w:r>
              <w:rPr>
                <w:noProof/>
                <w:webHidden/>
              </w:rPr>
              <w:fldChar w:fldCharType="separate"/>
            </w:r>
            <w:r w:rsidR="00AA3383">
              <w:rPr>
                <w:noProof/>
                <w:webHidden/>
              </w:rPr>
              <w:t>47</w:t>
            </w:r>
            <w:r>
              <w:rPr>
                <w:noProof/>
                <w:webHidden/>
              </w:rPr>
              <w:fldChar w:fldCharType="end"/>
            </w:r>
          </w:hyperlink>
        </w:p>
        <w:p w14:paraId="3062A0D0" w14:textId="460DB917"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20" w:history="1">
            <w:r w:rsidRPr="00502B53">
              <w:rPr>
                <w:rStyle w:val="Hyperlink"/>
                <w:noProof/>
              </w:rPr>
              <w:t>Project Repository</w:t>
            </w:r>
            <w:r>
              <w:rPr>
                <w:noProof/>
                <w:webHidden/>
              </w:rPr>
              <w:tab/>
            </w:r>
            <w:r>
              <w:rPr>
                <w:noProof/>
                <w:webHidden/>
              </w:rPr>
              <w:fldChar w:fldCharType="begin"/>
            </w:r>
            <w:r>
              <w:rPr>
                <w:noProof/>
                <w:webHidden/>
              </w:rPr>
              <w:instrText xml:space="preserve"> PAGEREF _Toc230089720 \h </w:instrText>
            </w:r>
            <w:r>
              <w:rPr>
                <w:noProof/>
                <w:webHidden/>
              </w:rPr>
            </w:r>
            <w:r>
              <w:rPr>
                <w:noProof/>
                <w:webHidden/>
              </w:rPr>
              <w:fldChar w:fldCharType="separate"/>
            </w:r>
            <w:r w:rsidR="00AA3383">
              <w:rPr>
                <w:noProof/>
                <w:webHidden/>
              </w:rPr>
              <w:t>47</w:t>
            </w:r>
            <w:r>
              <w:rPr>
                <w:noProof/>
                <w:webHidden/>
              </w:rPr>
              <w:fldChar w:fldCharType="end"/>
            </w:r>
          </w:hyperlink>
        </w:p>
        <w:p w14:paraId="52C02BC5" w14:textId="04610FD0"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21" w:history="1">
            <w:r w:rsidRPr="00502B53">
              <w:rPr>
                <w:rStyle w:val="Hyperlink"/>
                <w:noProof/>
              </w:rPr>
              <w:t>Citation</w:t>
            </w:r>
            <w:r>
              <w:rPr>
                <w:noProof/>
                <w:webHidden/>
              </w:rPr>
              <w:tab/>
            </w:r>
            <w:r>
              <w:rPr>
                <w:noProof/>
                <w:webHidden/>
              </w:rPr>
              <w:fldChar w:fldCharType="begin"/>
            </w:r>
            <w:r>
              <w:rPr>
                <w:noProof/>
                <w:webHidden/>
              </w:rPr>
              <w:instrText xml:space="preserve"> PAGEREF _Toc230089721 \h </w:instrText>
            </w:r>
            <w:r>
              <w:rPr>
                <w:noProof/>
                <w:webHidden/>
              </w:rPr>
            </w:r>
            <w:r>
              <w:rPr>
                <w:noProof/>
                <w:webHidden/>
              </w:rPr>
              <w:fldChar w:fldCharType="separate"/>
            </w:r>
            <w:r w:rsidR="00AA3383">
              <w:rPr>
                <w:noProof/>
                <w:webHidden/>
              </w:rPr>
              <w:t>47</w:t>
            </w:r>
            <w:r>
              <w:rPr>
                <w:noProof/>
                <w:webHidden/>
              </w:rPr>
              <w:fldChar w:fldCharType="end"/>
            </w:r>
          </w:hyperlink>
        </w:p>
        <w:p w14:paraId="315C0719" w14:textId="49039CEA" w:rsidR="00523A04" w:rsidRDefault="00523A04">
          <w:pPr>
            <w:pStyle w:val="TOC2"/>
            <w:tabs>
              <w:tab w:val="right" w:leader="dot" w:pos="9350"/>
            </w:tabs>
            <w:rPr>
              <w:rFonts w:eastAsiaTheme="minorEastAsia" w:cstheme="minorBidi"/>
              <w:b w:val="0"/>
              <w:bCs w:val="0"/>
              <w:noProof/>
              <w:kern w:val="2"/>
              <w:sz w:val="24"/>
              <w:szCs w:val="24"/>
              <w14:ligatures w14:val="standardContextual"/>
            </w:rPr>
          </w:pPr>
          <w:hyperlink w:anchor="_Toc230089722" w:history="1">
            <w:r w:rsidRPr="00502B53">
              <w:rPr>
                <w:rStyle w:val="Hyperlink"/>
                <w:noProof/>
              </w:rPr>
              <w:t>Appendix</w:t>
            </w:r>
            <w:r>
              <w:rPr>
                <w:noProof/>
                <w:webHidden/>
              </w:rPr>
              <w:tab/>
            </w:r>
            <w:r>
              <w:rPr>
                <w:noProof/>
                <w:webHidden/>
              </w:rPr>
              <w:fldChar w:fldCharType="begin"/>
            </w:r>
            <w:r>
              <w:rPr>
                <w:noProof/>
                <w:webHidden/>
              </w:rPr>
              <w:instrText xml:space="preserve"> PAGEREF _Toc230089722 \h </w:instrText>
            </w:r>
            <w:r>
              <w:rPr>
                <w:noProof/>
                <w:webHidden/>
              </w:rPr>
            </w:r>
            <w:r>
              <w:rPr>
                <w:noProof/>
                <w:webHidden/>
              </w:rPr>
              <w:fldChar w:fldCharType="separate"/>
            </w:r>
            <w:r w:rsidR="00AA3383">
              <w:rPr>
                <w:noProof/>
                <w:webHidden/>
              </w:rPr>
              <w:t>48</w:t>
            </w:r>
            <w:r>
              <w:rPr>
                <w:noProof/>
                <w:webHidden/>
              </w:rPr>
              <w:fldChar w:fldCharType="end"/>
            </w:r>
          </w:hyperlink>
        </w:p>
        <w:p w14:paraId="32891E74" w14:textId="78DA4571" w:rsidR="00523A04" w:rsidRDefault="00523A04">
          <w:pPr>
            <w:pStyle w:val="TOC3"/>
            <w:tabs>
              <w:tab w:val="right" w:leader="dot" w:pos="9350"/>
            </w:tabs>
            <w:rPr>
              <w:rFonts w:eastAsiaTheme="minorEastAsia" w:cstheme="minorBidi"/>
              <w:noProof/>
              <w:kern w:val="2"/>
              <w:sz w:val="24"/>
              <w:szCs w:val="24"/>
              <w14:ligatures w14:val="standardContextual"/>
            </w:rPr>
          </w:pPr>
          <w:hyperlink w:anchor="_Toc230089723" w:history="1">
            <w:r w:rsidRPr="00502B53">
              <w:rPr>
                <w:rStyle w:val="Hyperlink"/>
                <w:noProof/>
              </w:rPr>
              <w:t>Data Sources by Figure</w:t>
            </w:r>
            <w:r>
              <w:rPr>
                <w:noProof/>
                <w:webHidden/>
              </w:rPr>
              <w:tab/>
            </w:r>
            <w:r>
              <w:rPr>
                <w:noProof/>
                <w:webHidden/>
              </w:rPr>
              <w:fldChar w:fldCharType="begin"/>
            </w:r>
            <w:r>
              <w:rPr>
                <w:noProof/>
                <w:webHidden/>
              </w:rPr>
              <w:instrText xml:space="preserve"> PAGEREF _Toc230089723 \h </w:instrText>
            </w:r>
            <w:r>
              <w:rPr>
                <w:noProof/>
                <w:webHidden/>
              </w:rPr>
            </w:r>
            <w:r>
              <w:rPr>
                <w:noProof/>
                <w:webHidden/>
              </w:rPr>
              <w:fldChar w:fldCharType="separate"/>
            </w:r>
            <w:r w:rsidR="00AA3383">
              <w:rPr>
                <w:noProof/>
                <w:webHidden/>
              </w:rPr>
              <w:t>48</w:t>
            </w:r>
            <w:r>
              <w:rPr>
                <w:noProof/>
                <w:webHidden/>
              </w:rPr>
              <w:fldChar w:fldCharType="end"/>
            </w:r>
          </w:hyperlink>
        </w:p>
        <w:p w14:paraId="51318B71" w14:textId="51620FD9" w:rsidR="00DD4DDE" w:rsidRDefault="0096555E">
          <w:r>
            <w:fldChar w:fldCharType="end"/>
          </w:r>
        </w:p>
      </w:sdtContent>
    </w:sdt>
    <w:p w14:paraId="7293AFE4" w14:textId="77777777" w:rsidR="0086046D" w:rsidRDefault="0086046D">
      <w:pPr>
        <w:pStyle w:val="Heading2"/>
        <w:sectPr w:rsidR="0086046D" w:rsidSect="00AA5DFE">
          <w:pgSz w:w="12240" w:h="15840"/>
          <w:pgMar w:top="1728" w:right="1440" w:bottom="1440" w:left="1440" w:header="720" w:footer="720" w:gutter="0"/>
          <w:pgNumType w:fmt="lowerRoman"/>
          <w:cols w:space="720"/>
          <w:docGrid w:linePitch="326"/>
        </w:sectPr>
      </w:pPr>
      <w:bookmarkStart w:id="1" w:name="introduction"/>
    </w:p>
    <w:p w14:paraId="51318B7A" w14:textId="77777777" w:rsidR="00DD4DDE" w:rsidRDefault="0096555E">
      <w:pPr>
        <w:pStyle w:val="Heading2"/>
      </w:pPr>
      <w:bookmarkStart w:id="2" w:name="_Toc230089680"/>
      <w:r>
        <w:lastRenderedPageBreak/>
        <w:t>Introduction</w:t>
      </w:r>
      <w:bookmarkEnd w:id="2"/>
    </w:p>
    <w:p w14:paraId="51318B7B" w14:textId="77777777" w:rsidR="00DD4DDE" w:rsidRDefault="0096555E" w:rsidP="00152B11">
      <w:pPr>
        <w:pStyle w:val="FirstParagraph"/>
      </w:pPr>
      <w:r>
        <w:t>The Stepping Stones Report provides trend data for a selection of measures on the well-being of children and families in the City of Charlottesville and Albemarle County. Youth and family development is shaped by multiple interrelated domains. Measures in this report are presented in four sections: Education; Economic and Family Stability; Health; and School and Community Disciplinary Actions. In bringing together data across these domains, we can describe the experiences and environments shaping young peop</w:t>
      </w:r>
      <w:r>
        <w:t>le in our community. The goal is to create a data-informed understanding of our collective trajectory, encourage dialogue, and promote action to improve the lives of all who reside in our community.</w:t>
      </w:r>
    </w:p>
    <w:p w14:paraId="51318B7C" w14:textId="77777777" w:rsidR="00DD4DDE" w:rsidRDefault="0096555E" w:rsidP="006957ED">
      <w:pPr>
        <w:pStyle w:val="Heading3"/>
      </w:pPr>
      <w:bookmarkStart w:id="3" w:name="approach"/>
      <w:bookmarkStart w:id="4" w:name="_Toc230089681"/>
      <w:r>
        <w:t>Approach</w:t>
      </w:r>
      <w:bookmarkEnd w:id="4"/>
    </w:p>
    <w:p w14:paraId="51318B7D" w14:textId="77777777" w:rsidR="00DD4DDE" w:rsidRDefault="0096555E" w:rsidP="00152B11">
      <w:pPr>
        <w:pStyle w:val="FirstParagraph"/>
      </w:pPr>
      <w:r>
        <w:t>In updating this community resource, we followed key principles of data equity and ethics, including openness, reproducibility, and contextualization.</w:t>
      </w:r>
    </w:p>
    <w:p w14:paraId="51318B7E" w14:textId="77777777" w:rsidR="00DD4DDE" w:rsidRDefault="0096555E">
      <w:pPr>
        <w:pStyle w:val="BodyText"/>
      </w:pPr>
      <w:r>
        <w:rPr>
          <w:b/>
          <w:bCs/>
        </w:rPr>
        <w:t>O</w:t>
      </w:r>
      <w:r>
        <w:rPr>
          <w:b/>
          <w:bCs/>
        </w:rPr>
        <w:t>pen:</w:t>
      </w:r>
      <w:r>
        <w:t xml:space="preserve"> Since this report began, there has been a significant movement to make data from public agencies more open and available. We leverage open data as much as possible, gathering measures from publicly maintained sites and collections. This ensures we are measuring the same conditions, behaviors, or outcomes over time.</w:t>
      </w:r>
    </w:p>
    <w:p w14:paraId="51318B7F" w14:textId="77777777" w:rsidR="00DD4DDE" w:rsidRDefault="0096555E">
      <w:pPr>
        <w:pStyle w:val="BodyText"/>
      </w:pPr>
      <w:r>
        <w:rPr>
          <w:b/>
          <w:bCs/>
        </w:rPr>
        <w:t>Reproducible:</w:t>
      </w:r>
      <w:r>
        <w:t xml:space="preserve"> These updates include building processes that are repeatable for future years and are well-documented for future researchers. The data collection and corresponding code are documented and made publicly available in a GitHub repository.</w:t>
      </w:r>
    </w:p>
    <w:p w14:paraId="51318B80" w14:textId="77777777" w:rsidR="00DD4DDE" w:rsidRDefault="0096555E">
      <w:pPr>
        <w:pStyle w:val="BodyText"/>
      </w:pPr>
      <w:r>
        <w:rPr>
          <w:b/>
          <w:bCs/>
        </w:rPr>
        <w:t>Contextualized:</w:t>
      </w:r>
      <w:r>
        <w:t xml:space="preserve"> The report is divided into sections based on the nature of the measures and their source. For each metric, we provide an overview of how the measure impacts youth and community well-being, present visualizations and highlight key trends, and note the sources and limitations of the data.</w:t>
      </w:r>
    </w:p>
    <w:p w14:paraId="6C21B81B" w14:textId="28863A34" w:rsidR="00CE425E" w:rsidRDefault="0096555E" w:rsidP="00102E7F">
      <w:pPr>
        <w:pStyle w:val="BodyText"/>
      </w:pPr>
      <w:r>
        <w:t xml:space="preserve">An important piece of context missing from this report is representation of racial disparities in the outcomes shown here. Many of the metrics we highlight in this report disproportionately impact youth of color due to long-standing systemic racial inequality in our region and the country. Although we only display data for the populations </w:t>
      </w:r>
      <w:proofErr w:type="gramStart"/>
      <w:r>
        <w:t>as a whole in</w:t>
      </w:r>
      <w:proofErr w:type="gramEnd"/>
      <w:r>
        <w:t xml:space="preserve"> this report, understanding how these metrics differentially impact youth depending on their racial identity is critical to promoting racial equity in the region.</w:t>
      </w:r>
      <w:bookmarkStart w:id="5" w:name="_Toc230089682"/>
      <w:bookmarkEnd w:id="3"/>
    </w:p>
    <w:p w14:paraId="05BDCCA6" w14:textId="77777777" w:rsidR="00102E7F" w:rsidRDefault="00102E7F" w:rsidP="006957ED">
      <w:pPr>
        <w:pStyle w:val="Heading3"/>
      </w:pPr>
    </w:p>
    <w:p w14:paraId="626C7001" w14:textId="77777777" w:rsidR="00102E7F" w:rsidRDefault="00102E7F" w:rsidP="006957ED">
      <w:pPr>
        <w:pStyle w:val="Heading3"/>
      </w:pPr>
    </w:p>
    <w:p w14:paraId="63C1C561" w14:textId="77777777" w:rsidR="00102E7F" w:rsidRDefault="00102E7F" w:rsidP="006957ED">
      <w:pPr>
        <w:pStyle w:val="Heading3"/>
      </w:pPr>
    </w:p>
    <w:p w14:paraId="50934155" w14:textId="77777777" w:rsidR="00102E7F" w:rsidRDefault="00102E7F" w:rsidP="006957ED">
      <w:pPr>
        <w:pStyle w:val="Heading3"/>
      </w:pPr>
    </w:p>
    <w:p w14:paraId="51318B82" w14:textId="25DDFF2E" w:rsidR="00DD4DDE" w:rsidRDefault="0096555E" w:rsidP="006957ED">
      <w:pPr>
        <w:pStyle w:val="Heading3"/>
      </w:pPr>
      <w:r>
        <w:lastRenderedPageBreak/>
        <w:t>Our Youth</w:t>
      </w:r>
      <w:bookmarkEnd w:id="5"/>
    </w:p>
    <w:p w14:paraId="51318B83" w14:textId="77777777" w:rsidR="00DD4DDE" w:rsidRDefault="0096555E" w:rsidP="00152B11">
      <w:pPr>
        <w:pStyle w:val="FirstParagraph"/>
      </w:pPr>
      <w:bookmarkStart w:id="6" w:name="our-youth"/>
      <w:r>
        <w:t>These data represent the youth in our community–your children and their friends, the children you see at your grocery store or waiting at the bus stop, and all the children you know in your community are included here. Although these graphs show single outcomes in isolation, none of these data exist in a vacuum. The environments we prepare for youth in our community, their families, the neighborhoods where they live, and their intersecting identities all provide important context for understanding each of t</w:t>
      </w:r>
      <w:r>
        <w:t>hese individual outcomes. We encourage you to keep the children you know in mind, and consider how we can do better by them and future generations.</w:t>
      </w:r>
    </w:p>
    <w:p w14:paraId="51318B84" w14:textId="77777777" w:rsidR="00DD4DDE" w:rsidRDefault="0096555E" w:rsidP="006957ED">
      <w:pPr>
        <w:pStyle w:val="Heading3"/>
      </w:pPr>
      <w:bookmarkStart w:id="7" w:name="_Toc230089683"/>
      <w:bookmarkEnd w:id="6"/>
      <w:r>
        <w:t>Contributions</w:t>
      </w:r>
      <w:bookmarkEnd w:id="7"/>
    </w:p>
    <w:p w14:paraId="51318B85" w14:textId="77777777" w:rsidR="00DD4DDE" w:rsidRDefault="0096555E" w:rsidP="00152B11">
      <w:pPr>
        <w:pStyle w:val="FirstParagraph"/>
      </w:pPr>
      <w:bookmarkStart w:id="8" w:name="contributions"/>
      <w:r>
        <w:t>The 2026 Stepping Stones Report was produced through a collaboration between the Center for Community Partnerships at UVA and the City of Charlottesville and Albemarle County’s respective Departments of Human Services.</w:t>
      </w:r>
    </w:p>
    <w:p w14:paraId="51318B86" w14:textId="77777777" w:rsidR="00DD4DDE" w:rsidRDefault="0096555E">
      <w:pPr>
        <w:pStyle w:val="BodyText"/>
      </w:pPr>
      <w:r>
        <w:t>T</w:t>
      </w:r>
      <w:r>
        <w:t>he first Stepping Stones Report was published by the Charlottesville/Albemarle Commission on Children and Families (CCF) in 2000. After the CCF was dissolved in 2012, the City of Charlottesville’s Department of Human Services (DHS) began stewarding the Stepping Stones Report. In 2023, the UVA Center for Community Partnerships joined the collaboration in producing the report. We continue to build on the foundation established by the CCF Data Management Work Group and the knowledge cultivated by Charlottesvil</w:t>
      </w:r>
      <w:r>
        <w:t>le DHS, Albemarle DHS, as well as the administrators and agency experts who have provided insight for the last two decades.</w:t>
      </w:r>
    </w:p>
    <w:p w14:paraId="400E2B71" w14:textId="77777777" w:rsidR="00F94BF7" w:rsidRDefault="00F94BF7">
      <w:pPr>
        <w:pStyle w:val="BodyText"/>
      </w:pPr>
    </w:p>
    <w:bookmarkEnd w:id="1"/>
    <w:bookmarkEnd w:id="8"/>
    <w:p w14:paraId="3E98E3E0" w14:textId="77777777" w:rsidR="000E65C7" w:rsidRDefault="000E65C7">
      <w:pPr>
        <w:pStyle w:val="Heading2"/>
        <w:sectPr w:rsidR="000E65C7" w:rsidSect="00944D26">
          <w:pgSz w:w="12240" w:h="15840"/>
          <w:pgMar w:top="1728" w:right="1440" w:bottom="1440" w:left="1440" w:header="720" w:footer="720" w:gutter="0"/>
          <w:pgNumType w:start="1"/>
          <w:cols w:space="720"/>
          <w:docGrid w:linePitch="326"/>
        </w:sectPr>
      </w:pPr>
    </w:p>
    <w:p w14:paraId="51318B87" w14:textId="77777777" w:rsidR="00DD4DDE" w:rsidRDefault="0096555E">
      <w:pPr>
        <w:pStyle w:val="Heading2"/>
      </w:pPr>
      <w:bookmarkStart w:id="9" w:name="_Toc230089684"/>
      <w:r>
        <w:lastRenderedPageBreak/>
        <w:t>Education</w:t>
      </w:r>
      <w:bookmarkEnd w:id="9"/>
    </w:p>
    <w:p w14:paraId="51318B88" w14:textId="77777777" w:rsidR="00DD4DDE" w:rsidRDefault="0096555E" w:rsidP="006957ED">
      <w:pPr>
        <w:pStyle w:val="Heading3"/>
      </w:pPr>
      <w:bookmarkStart w:id="10" w:name="_Toc230089685"/>
      <w:r>
        <w:t>Kindergarten Readiness</w:t>
      </w:r>
      <w:bookmarkEnd w:id="10"/>
    </w:p>
    <w:p w14:paraId="51318B89" w14:textId="7EED5940" w:rsidR="00DD4DDE" w:rsidRDefault="0096555E" w:rsidP="00152B11">
      <w:pPr>
        <w:pStyle w:val="FirstParagraph"/>
      </w:pPr>
      <w:bookmarkStart w:id="11" w:name="kindergarten-readiness"/>
      <w:r>
        <w:t xml:space="preserve">Children are identified as kindergarten ready if they meet benchmarks in literacy, mathematics, self-regulation, and social skills. These benchmarks are part of the </w:t>
      </w:r>
      <w:hyperlink r:id="rId19">
        <w:r>
          <w:rPr>
            <w:rStyle w:val="Hyperlink"/>
          </w:rPr>
          <w:t>Virginia Kindergarten Readiness Program (VKRP)</w:t>
        </w:r>
      </w:hyperlink>
      <w:r>
        <w:t>: proactive, preventive screening measures that assist teachers, schools, and programs in providing differentiated, targeted instruction to meet each child’s needs.</w:t>
      </w:r>
    </w:p>
    <w:p w14:paraId="51318B8A" w14:textId="77777777" w:rsidR="00DD4DDE" w:rsidRDefault="0096555E" w:rsidP="0096555E">
      <w:pPr>
        <w:numPr>
          <w:ilvl w:val="0"/>
          <w:numId w:val="2"/>
        </w:numPr>
      </w:pPr>
      <w:r>
        <w:rPr>
          <w:b/>
          <w:bCs/>
        </w:rPr>
        <w:t>D</w:t>
      </w:r>
      <w:r>
        <w:rPr>
          <w:b/>
          <w:bCs/>
        </w:rPr>
        <w:t>ata considerations:</w:t>
      </w:r>
      <w:r>
        <w:t xml:space="preserve"> The fall overall benchmark is based on the expected skill levels of a kindergarten student at the beginning of the academic year. All kindergarten students in public schools are required to take the assessment in the fall and spring. Fall 2024 reflects the first year that the Virginia Language and Literacy Screening System (VALLS), used for the literacy benchmark, was implemented statewide. This replaced the Phonological Awareness Literacy Screening (PALS).</w:t>
      </w:r>
    </w:p>
    <w:p w14:paraId="51318B8B" w14:textId="77777777" w:rsidR="00DD4DDE" w:rsidRDefault="0096555E" w:rsidP="0096555E">
      <w:pPr>
        <w:numPr>
          <w:ilvl w:val="0"/>
          <w:numId w:val="2"/>
        </w:numPr>
      </w:pPr>
      <w:r>
        <w:rPr>
          <w:b/>
          <w:bCs/>
        </w:rPr>
        <w:t>How is this measured?:</w:t>
      </w:r>
      <w:r>
        <w:t xml:space="preserve"> </w:t>
      </w:r>
      <w:r>
        <w:t>This measure represents the number of kindergarten students who are at or above kindergarten readiness benchmarks as a percent of all kindergarten students screened in the fall assessment.</w:t>
      </w:r>
    </w:p>
    <w:p w14:paraId="51318B8C" w14:textId="77777777" w:rsidR="00DD4DDE" w:rsidRDefault="0096555E" w:rsidP="00F57CDF">
      <w:pPr>
        <w:pStyle w:val="Heading4"/>
      </w:pPr>
      <w:bookmarkStart w:id="12" w:name="notable-trends"/>
      <w:r>
        <w:t>Notable Trends</w:t>
      </w:r>
    </w:p>
    <w:p w14:paraId="51318B8D" w14:textId="77777777" w:rsidR="00DD4DDE" w:rsidRDefault="0096555E" w:rsidP="0096555E">
      <w:pPr>
        <w:numPr>
          <w:ilvl w:val="0"/>
          <w:numId w:val="3"/>
        </w:numPr>
      </w:pPr>
      <w:r>
        <w:t>I</w:t>
      </w:r>
      <w:r>
        <w:t>n Fall 2025, kindergarten students in Albemarle and Charlottesville were above the state overall in meeting the readiness benchmark, an increase from the prior year.</w:t>
      </w:r>
    </w:p>
    <w:p w14:paraId="51318B8E" w14:textId="77777777" w:rsidR="00DD4DDE" w:rsidRDefault="0096555E" w:rsidP="0096555E">
      <w:pPr>
        <w:numPr>
          <w:ilvl w:val="0"/>
          <w:numId w:val="3"/>
        </w:numPr>
      </w:pPr>
      <w:r>
        <w:t>In the most recent fall assessment, 59% of Albemarle kindergartners and 58% of Charlottesville kindergartners met the overall readiness benchmark.</w:t>
      </w:r>
    </w:p>
    <w:tbl>
      <w:tblPr>
        <w:tblStyle w:val="Table"/>
        <w:tblW w:w="5000" w:type="pct"/>
        <w:tblLayout w:type="fixed"/>
        <w:tblLook w:val="0000" w:firstRow="0" w:lastRow="0" w:firstColumn="0" w:lastColumn="0" w:noHBand="0" w:noVBand="0"/>
      </w:tblPr>
      <w:tblGrid>
        <w:gridCol w:w="9360"/>
      </w:tblGrid>
      <w:tr w:rsidR="00DD4DDE" w14:paraId="51318B91" w14:textId="77777777">
        <w:tc>
          <w:tcPr>
            <w:tcW w:w="7920" w:type="dxa"/>
          </w:tcPr>
          <w:p w14:paraId="51318B8F" w14:textId="77777777" w:rsidR="00DD4DDE" w:rsidRDefault="0096555E">
            <w:pPr>
              <w:pStyle w:val="Compact"/>
              <w:jc w:val="center"/>
            </w:pPr>
            <w:bookmarkStart w:id="13" w:name="fig-kinder-img"/>
            <w:r>
              <w:rPr>
                <w:noProof/>
              </w:rPr>
              <w:lastRenderedPageBreak/>
              <w:drawing>
                <wp:inline distT="0" distB="0" distL="0" distR="0" wp14:anchorId="51318D32" wp14:editId="22E25BA2">
                  <wp:extent cx="5029200" cy="33528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_images/fig-1-percent-of-kindergartner.png"/>
                          <pic:cNvPicPr>
                            <a:picLocks noChangeAspect="1" noChangeArrowheads="1"/>
                          </pic:cNvPicPr>
                        </pic:nvPicPr>
                        <pic:blipFill>
                          <a:blip r:embed="rId20"/>
                          <a:stretch>
                            <a:fillRect/>
                          </a:stretch>
                        </pic:blipFill>
                        <pic:spPr bwMode="auto">
                          <a:xfrm>
                            <a:off x="0" y="0"/>
                            <a:ext cx="5029200" cy="3352800"/>
                          </a:xfrm>
                          <a:prstGeom prst="rect">
                            <a:avLst/>
                          </a:prstGeom>
                          <a:noFill/>
                          <a:ln w="9525">
                            <a:noFill/>
                            <a:headEnd/>
                            <a:tailEnd/>
                          </a:ln>
                        </pic:spPr>
                      </pic:pic>
                    </a:graphicData>
                  </a:graphic>
                </wp:inline>
              </w:drawing>
            </w:r>
          </w:p>
          <w:p w14:paraId="51318B90" w14:textId="77777777" w:rsidR="00DD4DDE" w:rsidRDefault="0096555E">
            <w:pPr>
              <w:pStyle w:val="ImageCaption"/>
              <w:spacing w:before="200"/>
            </w:pPr>
            <w:r>
              <w:t>Figure 1: Percent of kindergartners meeting overall readiness benchmark in the 2024 and 2025 fall assessments for Albemarle County, Charlottesville City, and Virginia.</w:t>
            </w:r>
          </w:p>
        </w:tc>
        <w:bookmarkEnd w:id="13"/>
      </w:tr>
    </w:tbl>
    <w:p w14:paraId="51318B92" w14:textId="77777777" w:rsidR="00DD4DDE" w:rsidRDefault="0096555E" w:rsidP="006957ED">
      <w:pPr>
        <w:pStyle w:val="Heading3"/>
      </w:pPr>
      <w:bookmarkStart w:id="14" w:name="_Toc230089686"/>
      <w:bookmarkEnd w:id="11"/>
      <w:bookmarkEnd w:id="12"/>
      <w:r>
        <w:t>Standards of Learning</w:t>
      </w:r>
      <w:bookmarkEnd w:id="14"/>
    </w:p>
    <w:p w14:paraId="51318B93" w14:textId="77777777" w:rsidR="00DD4DDE" w:rsidRDefault="0096555E" w:rsidP="00152B11">
      <w:pPr>
        <w:pStyle w:val="FirstParagraph"/>
      </w:pPr>
      <w:bookmarkStart w:id="15" w:name="standards-of-learning"/>
      <w:r>
        <w:t>The Virginia Department of Education’s Standards of Learning (SOL) outline minimum expectations of student knowledge at each grade level in a range of subjects. SOL tests are administered in all Virginia public schools starting in 3rd grade, and the resulting pass rates are used to assess student achievement, evaluate school and district performance, and determine whether schools are meeting state and federal standards. Student performance is graded on a scale of 0-600 with 400-499 representing pass profici</w:t>
      </w:r>
      <w:r>
        <w:t>ency and 500 and above representing advanced proficiency.</w:t>
      </w:r>
    </w:p>
    <w:p w14:paraId="51318B94" w14:textId="77777777" w:rsidR="00DD4DDE" w:rsidRDefault="0096555E">
      <w:pPr>
        <w:pStyle w:val="BodyText"/>
      </w:pPr>
      <w:r>
        <w:t>T</w:t>
      </w:r>
      <w:r>
        <w:t>he Virginia Board of Education revised both math and reading SOLs to raise standards and implemented these in the math SOL tests in 2012 and the reading SOL tests in 2013. Mirroring the trend in the state as a whole, both Charlottesville and Albemarle divisions saw a notable decline in pass rates for reading and math across 3rd and 5th grades in the years these changes were implemented.</w:t>
      </w:r>
    </w:p>
    <w:p w14:paraId="51318B95" w14:textId="77777777" w:rsidR="00DD4DDE" w:rsidRDefault="0096555E" w:rsidP="0096555E">
      <w:pPr>
        <w:numPr>
          <w:ilvl w:val="0"/>
          <w:numId w:val="4"/>
        </w:numPr>
      </w:pPr>
      <w:r>
        <w:rPr>
          <w:b/>
          <w:bCs/>
        </w:rPr>
        <w:lastRenderedPageBreak/>
        <w:t>Data considerations:</w:t>
      </w:r>
      <w:r>
        <w:t xml:space="preserve"> SOL tests are administered to students enrolled in public schools, and do not account for students who are homeschooled or attend private schools. Further, SOL tests were not administered at the end of the 2019-2020 school year due to closures during the COVID-19 pandemic. While traditionally participation on the SOL tests has been high (approximately 95%), participation dropped notably in 2020-2021 (approximately 70%) as schools reopened with COVID health precautions.</w:t>
      </w:r>
    </w:p>
    <w:p w14:paraId="51318B96" w14:textId="77777777" w:rsidR="00DD4DDE" w:rsidRDefault="0096555E" w:rsidP="0096555E">
      <w:pPr>
        <w:numPr>
          <w:ilvl w:val="0"/>
          <w:numId w:val="4"/>
        </w:numPr>
      </w:pPr>
      <w:r>
        <w:rPr>
          <w:b/>
          <w:bCs/>
        </w:rPr>
        <w:t>How is this measured?:</w:t>
      </w:r>
      <w:r>
        <w:t xml:space="preserve"> The pass rate is the number of students in a given grade who passed the math or reading SOL test (i.e., scoring 400 or above) for that grade level as a percent of the total number of students in that grade who took the math or reading SOL test.</w:t>
      </w:r>
    </w:p>
    <w:p w14:paraId="51318B97" w14:textId="77777777" w:rsidR="00DD4DDE" w:rsidRDefault="0096555E" w:rsidP="006957ED">
      <w:pPr>
        <w:pStyle w:val="Heading3"/>
      </w:pPr>
      <w:bookmarkStart w:id="16" w:name="_Toc230089687"/>
      <w:bookmarkEnd w:id="15"/>
      <w:r>
        <w:t>Math: Grade 3 and Grade 5</w:t>
      </w:r>
      <w:bookmarkEnd w:id="16"/>
    </w:p>
    <w:p w14:paraId="51318B98" w14:textId="77777777" w:rsidR="00DD4DDE" w:rsidRDefault="0096555E" w:rsidP="00152B11">
      <w:pPr>
        <w:pStyle w:val="FirstParagraph"/>
      </w:pPr>
      <w:bookmarkStart w:id="17" w:name="math-grade-3-and-grade-5"/>
      <w:r>
        <w:t>Math is a fundamental subject that is necessary for success in many college and career paths, and children who are proficient at math will be able to access a wide range of paths.</w:t>
      </w:r>
    </w:p>
    <w:p w14:paraId="51318B99" w14:textId="77777777" w:rsidR="00DD4DDE" w:rsidRDefault="0096555E" w:rsidP="00F57CDF">
      <w:pPr>
        <w:pStyle w:val="Heading4"/>
      </w:pPr>
      <w:bookmarkStart w:id="18" w:name="notable-trends-1"/>
      <w:r>
        <w:t>Notable Trends</w:t>
      </w:r>
    </w:p>
    <w:p w14:paraId="51318B9A" w14:textId="77777777" w:rsidR="00DD4DDE" w:rsidRDefault="0096555E" w:rsidP="0096555E">
      <w:pPr>
        <w:numPr>
          <w:ilvl w:val="0"/>
          <w:numId w:val="5"/>
        </w:numPr>
      </w:pPr>
      <w:r>
        <w:t>M</w:t>
      </w:r>
      <w:r>
        <w:t>ath SOL test pass rates have been improving since the steep drop in 2021 after schools reopened after the first wave of the COVID-19 pandemic.</w:t>
      </w:r>
    </w:p>
    <w:p w14:paraId="51318B9B" w14:textId="77777777" w:rsidR="00DD4DDE" w:rsidRDefault="0096555E" w:rsidP="0096555E">
      <w:pPr>
        <w:numPr>
          <w:ilvl w:val="0"/>
          <w:numId w:val="5"/>
        </w:numPr>
      </w:pPr>
      <w:r>
        <w:t>CCS and ACPS have experienced similar pass rates in 3rd grade math throughout 2010 to present. 5th grade pass rates in CCS, though, dropped notably below those in ACPS in the years following the 2012 revisions.</w:t>
      </w:r>
    </w:p>
    <w:tbl>
      <w:tblPr>
        <w:tblStyle w:val="Table"/>
        <w:tblpPr w:leftFromText="187" w:rightFromText="187" w:vertAnchor="text" w:tblpY="1"/>
        <w:tblOverlap w:val="never"/>
        <w:tblW w:w="5000" w:type="pct"/>
        <w:tblLayout w:type="fixed"/>
        <w:tblLook w:val="0000" w:firstRow="0" w:lastRow="0" w:firstColumn="0" w:lastColumn="0" w:noHBand="0" w:noVBand="0"/>
      </w:tblPr>
      <w:tblGrid>
        <w:gridCol w:w="9360"/>
      </w:tblGrid>
      <w:tr w:rsidR="00DD4DDE" w14:paraId="51318B9E" w14:textId="77777777" w:rsidTr="00C31A15">
        <w:tc>
          <w:tcPr>
            <w:tcW w:w="7920" w:type="dxa"/>
          </w:tcPr>
          <w:p w14:paraId="51318B9C" w14:textId="77777777" w:rsidR="00DD4DDE" w:rsidRDefault="0096555E" w:rsidP="00C31A15">
            <w:pPr>
              <w:pStyle w:val="Compact"/>
              <w:jc w:val="center"/>
            </w:pPr>
            <w:bookmarkStart w:id="19" w:name="fig-series-sol-img"/>
            <w:r>
              <w:rPr>
                <w:noProof/>
              </w:rPr>
              <w:drawing>
                <wp:inline distT="0" distB="0" distL="0" distR="0" wp14:anchorId="51318D34" wp14:editId="43BB426B">
                  <wp:extent cx="5029200" cy="3352800"/>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_images/fig-2-sol_pass_rates_math_3.png"/>
                          <pic:cNvPicPr>
                            <a:picLocks noChangeAspect="1" noChangeArrowheads="1"/>
                          </pic:cNvPicPr>
                        </pic:nvPicPr>
                        <pic:blipFill>
                          <a:blip r:embed="rId21"/>
                          <a:stretch>
                            <a:fillRect/>
                          </a:stretch>
                        </pic:blipFill>
                        <pic:spPr bwMode="auto">
                          <a:xfrm>
                            <a:off x="0" y="0"/>
                            <a:ext cx="5029200" cy="3352800"/>
                          </a:xfrm>
                          <a:prstGeom prst="rect">
                            <a:avLst/>
                          </a:prstGeom>
                          <a:noFill/>
                          <a:ln w="9525">
                            <a:noFill/>
                            <a:headEnd/>
                            <a:tailEnd/>
                          </a:ln>
                        </pic:spPr>
                      </pic:pic>
                    </a:graphicData>
                  </a:graphic>
                </wp:inline>
              </w:drawing>
            </w:r>
          </w:p>
          <w:p w14:paraId="51318B9D" w14:textId="77777777" w:rsidR="00DD4DDE" w:rsidRDefault="0096555E" w:rsidP="00C31A15">
            <w:pPr>
              <w:pStyle w:val="ImageCaption"/>
              <w:spacing w:before="200"/>
            </w:pPr>
            <w:r>
              <w:lastRenderedPageBreak/>
              <w:t>Figure 2: Percent of students who pass the 3rd grade math SOL test, 2009-10 through 2024-25 school years at ACPS, CCS and Virginia public schools. SOL tests were not conducted for the 2019-20 school year due to the COVID-19 pandemic.</w:t>
            </w:r>
          </w:p>
        </w:tc>
        <w:bookmarkEnd w:id="19"/>
      </w:tr>
      <w:tr w:rsidR="00DD4DDE" w14:paraId="51318BA1" w14:textId="77777777" w:rsidTr="00C31A15">
        <w:tc>
          <w:tcPr>
            <w:tcW w:w="7920" w:type="dxa"/>
          </w:tcPr>
          <w:p w14:paraId="51318B9F" w14:textId="77777777" w:rsidR="00DD4DDE" w:rsidRDefault="0096555E" w:rsidP="00C31A15">
            <w:pPr>
              <w:pStyle w:val="Compact"/>
              <w:jc w:val="center"/>
            </w:pPr>
            <w:bookmarkStart w:id="20" w:name="fig-sol-5-img"/>
            <w:r>
              <w:rPr>
                <w:noProof/>
              </w:rPr>
              <w:lastRenderedPageBreak/>
              <w:drawing>
                <wp:inline distT="0" distB="0" distL="0" distR="0" wp14:anchorId="51318D36" wp14:editId="708F9485">
                  <wp:extent cx="5029200" cy="3352800"/>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figure_images/fig-3-sol_pass_rates_math_5.png"/>
                          <pic:cNvPicPr>
                            <a:picLocks noChangeAspect="1" noChangeArrowheads="1"/>
                          </pic:cNvPicPr>
                        </pic:nvPicPr>
                        <pic:blipFill>
                          <a:blip r:embed="rId22"/>
                          <a:stretch>
                            <a:fillRect/>
                          </a:stretch>
                        </pic:blipFill>
                        <pic:spPr bwMode="auto">
                          <a:xfrm>
                            <a:off x="0" y="0"/>
                            <a:ext cx="5029200" cy="3352800"/>
                          </a:xfrm>
                          <a:prstGeom prst="rect">
                            <a:avLst/>
                          </a:prstGeom>
                          <a:noFill/>
                          <a:ln w="9525">
                            <a:noFill/>
                            <a:headEnd/>
                            <a:tailEnd/>
                          </a:ln>
                        </pic:spPr>
                      </pic:pic>
                    </a:graphicData>
                  </a:graphic>
                </wp:inline>
              </w:drawing>
            </w:r>
          </w:p>
          <w:p w14:paraId="51318BA0" w14:textId="77777777" w:rsidR="00DD4DDE" w:rsidRDefault="0096555E" w:rsidP="00C31A15">
            <w:pPr>
              <w:pStyle w:val="ImageCaption"/>
              <w:spacing w:before="200"/>
            </w:pPr>
            <w:r>
              <w:t>Figure 3: Percent of students who pass the 5th grade math SOL test, 2009-10 through 2024-25 school years at ACPS, CCS and Virginia public schools. SOL tests were not conducted for the 2019-20 school year due to the COVID-19 pandemic.</w:t>
            </w:r>
          </w:p>
        </w:tc>
        <w:bookmarkEnd w:id="20"/>
      </w:tr>
    </w:tbl>
    <w:p w14:paraId="51318BA2" w14:textId="77777777" w:rsidR="00DD4DDE" w:rsidRDefault="0096555E" w:rsidP="006957ED">
      <w:pPr>
        <w:pStyle w:val="Heading3"/>
      </w:pPr>
      <w:bookmarkStart w:id="21" w:name="_Toc230089688"/>
      <w:bookmarkEnd w:id="17"/>
      <w:bookmarkEnd w:id="18"/>
      <w:r>
        <w:lastRenderedPageBreak/>
        <w:t>Reading: Grade 3 and Grade 5</w:t>
      </w:r>
      <w:bookmarkEnd w:id="21"/>
    </w:p>
    <w:p w14:paraId="51318BA3" w14:textId="183CDF56" w:rsidR="00DD4DDE" w:rsidRDefault="0096555E" w:rsidP="00152B11">
      <w:pPr>
        <w:pStyle w:val="FirstParagraph"/>
      </w:pPr>
      <w:bookmarkStart w:id="22" w:name="reading-grade-3-and-grade-5"/>
      <w:r>
        <w:t xml:space="preserve">Reading test scores measure a students’ ability to read at grade level. Not meeting reading proficiency has lasting impacts on student academic success, degree attainment, and future earnings. </w:t>
      </w:r>
      <w:hyperlink r:id="rId23">
        <w:r>
          <w:rPr>
            <w:rStyle w:val="Hyperlink"/>
          </w:rPr>
          <w:t>Third grade reading</w:t>
        </w:r>
      </w:hyperlink>
      <w:r>
        <w:t xml:space="preserve"> is particularly important as this is when children transition from learning to read to reading to learn.</w:t>
      </w:r>
    </w:p>
    <w:p w14:paraId="51318BA4" w14:textId="77777777" w:rsidR="00DD4DDE" w:rsidRDefault="0096555E" w:rsidP="00F57CDF">
      <w:pPr>
        <w:pStyle w:val="Heading4"/>
      </w:pPr>
      <w:bookmarkStart w:id="23" w:name="notable-trends-2"/>
      <w:r>
        <w:t>Notable Trends</w:t>
      </w:r>
    </w:p>
    <w:p w14:paraId="51318BA5" w14:textId="77777777" w:rsidR="00DD4DDE" w:rsidRDefault="0096555E" w:rsidP="0096555E">
      <w:pPr>
        <w:numPr>
          <w:ilvl w:val="0"/>
          <w:numId w:val="6"/>
        </w:numPr>
      </w:pPr>
      <w:r>
        <w:t>R</w:t>
      </w:r>
      <w:r>
        <w:t>eading SOL test pass rates have returned to pre-pandemic rate, after initially declining in 2021.</w:t>
      </w:r>
    </w:p>
    <w:p w14:paraId="51318BA6" w14:textId="77777777" w:rsidR="00DD4DDE" w:rsidRDefault="0096555E" w:rsidP="0096555E">
      <w:pPr>
        <w:numPr>
          <w:ilvl w:val="0"/>
          <w:numId w:val="6"/>
        </w:numPr>
      </w:pPr>
      <w:r>
        <w:t>CCS and ACPS have experienced similar pass rates in 3rd grade reading throughout 2010 to present.</w:t>
      </w:r>
    </w:p>
    <w:p w14:paraId="51318BA7" w14:textId="77777777" w:rsidR="00DD4DDE" w:rsidRDefault="0096555E" w:rsidP="0096555E">
      <w:pPr>
        <w:numPr>
          <w:ilvl w:val="0"/>
          <w:numId w:val="6"/>
        </w:numPr>
      </w:pPr>
      <w:r>
        <w:t>5th grade passing rates in CCS dropped notably below those in ACPS after the 2013 revisions. These apparent differences in 5th grade could be, in part, due to the changing population of students during the middle school years, as the Charlottesville region is home to multiple private middle schools.</w:t>
      </w:r>
    </w:p>
    <w:tbl>
      <w:tblPr>
        <w:tblStyle w:val="Table"/>
        <w:tblpPr w:leftFromText="187" w:rightFromText="187" w:vertAnchor="text" w:tblpY="1"/>
        <w:tblOverlap w:val="never"/>
        <w:tblW w:w="5000" w:type="pct"/>
        <w:tblLayout w:type="fixed"/>
        <w:tblLook w:val="0000" w:firstRow="0" w:lastRow="0" w:firstColumn="0" w:lastColumn="0" w:noHBand="0" w:noVBand="0"/>
      </w:tblPr>
      <w:tblGrid>
        <w:gridCol w:w="9360"/>
      </w:tblGrid>
      <w:tr w:rsidR="00DD4DDE" w14:paraId="51318BAA" w14:textId="77777777" w:rsidTr="004420BA">
        <w:tc>
          <w:tcPr>
            <w:tcW w:w="7920" w:type="dxa"/>
          </w:tcPr>
          <w:p w14:paraId="51318BA8" w14:textId="77777777" w:rsidR="00DD4DDE" w:rsidRDefault="0096555E" w:rsidP="004420BA">
            <w:pPr>
              <w:pStyle w:val="Compact"/>
              <w:jc w:val="center"/>
            </w:pPr>
            <w:bookmarkStart w:id="24" w:name="fig-sol-read3-img"/>
            <w:r>
              <w:rPr>
                <w:noProof/>
              </w:rPr>
              <w:drawing>
                <wp:inline distT="0" distB="0" distL="0" distR="0" wp14:anchorId="51318D38" wp14:editId="7995529F">
                  <wp:extent cx="5029200" cy="3352800"/>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figure_images/fig-4-sol_pass_rates_reading_3.png"/>
                          <pic:cNvPicPr>
                            <a:picLocks noChangeAspect="1" noChangeArrowheads="1"/>
                          </pic:cNvPicPr>
                        </pic:nvPicPr>
                        <pic:blipFill>
                          <a:blip r:embed="rId24"/>
                          <a:stretch>
                            <a:fillRect/>
                          </a:stretch>
                        </pic:blipFill>
                        <pic:spPr bwMode="auto">
                          <a:xfrm>
                            <a:off x="0" y="0"/>
                            <a:ext cx="5029200" cy="3352800"/>
                          </a:xfrm>
                          <a:prstGeom prst="rect">
                            <a:avLst/>
                          </a:prstGeom>
                          <a:noFill/>
                          <a:ln w="9525">
                            <a:noFill/>
                            <a:headEnd/>
                            <a:tailEnd/>
                          </a:ln>
                        </pic:spPr>
                      </pic:pic>
                    </a:graphicData>
                  </a:graphic>
                </wp:inline>
              </w:drawing>
            </w:r>
          </w:p>
          <w:p w14:paraId="51318BA9" w14:textId="77777777" w:rsidR="00DD4DDE" w:rsidRDefault="0096555E" w:rsidP="004420BA">
            <w:pPr>
              <w:pStyle w:val="ImageCaption"/>
              <w:spacing w:before="200"/>
            </w:pPr>
            <w:r>
              <w:t>Figure 4: Percent of students who pass the 3rd grade reading SOL test, 2009-10 through 2024-25 school years at ACPS, CCS and Virginia public schools. SOL tests were not conducted for the 2019-20 school year due to the COVID-19 pandemic.</w:t>
            </w:r>
          </w:p>
        </w:tc>
        <w:bookmarkEnd w:id="24"/>
      </w:tr>
      <w:tr w:rsidR="00DD4DDE" w14:paraId="51318BAD" w14:textId="77777777" w:rsidTr="004420BA">
        <w:tc>
          <w:tcPr>
            <w:tcW w:w="7920" w:type="dxa"/>
          </w:tcPr>
          <w:p w14:paraId="51318BAB" w14:textId="77777777" w:rsidR="00DD4DDE" w:rsidRDefault="0096555E" w:rsidP="004420BA">
            <w:pPr>
              <w:pStyle w:val="Compact"/>
              <w:jc w:val="center"/>
            </w:pPr>
            <w:bookmarkStart w:id="25" w:name="fig-sol-read5-img"/>
            <w:r>
              <w:rPr>
                <w:noProof/>
              </w:rPr>
              <w:lastRenderedPageBreak/>
              <w:drawing>
                <wp:inline distT="0" distB="0" distL="0" distR="0" wp14:anchorId="51318D3A" wp14:editId="064EB17E">
                  <wp:extent cx="5029200" cy="3352800"/>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figure_images/fig-5-sol_pass_rates_reading_5.png"/>
                          <pic:cNvPicPr>
                            <a:picLocks noChangeAspect="1" noChangeArrowheads="1"/>
                          </pic:cNvPicPr>
                        </pic:nvPicPr>
                        <pic:blipFill>
                          <a:blip r:embed="rId25"/>
                          <a:stretch>
                            <a:fillRect/>
                          </a:stretch>
                        </pic:blipFill>
                        <pic:spPr bwMode="auto">
                          <a:xfrm>
                            <a:off x="0" y="0"/>
                            <a:ext cx="5029200" cy="3352800"/>
                          </a:xfrm>
                          <a:prstGeom prst="rect">
                            <a:avLst/>
                          </a:prstGeom>
                          <a:noFill/>
                          <a:ln w="9525">
                            <a:noFill/>
                            <a:headEnd/>
                            <a:tailEnd/>
                          </a:ln>
                        </pic:spPr>
                      </pic:pic>
                    </a:graphicData>
                  </a:graphic>
                </wp:inline>
              </w:drawing>
            </w:r>
          </w:p>
          <w:p w14:paraId="51318BAC" w14:textId="77777777" w:rsidR="00DD4DDE" w:rsidRDefault="0096555E" w:rsidP="004420BA">
            <w:pPr>
              <w:pStyle w:val="ImageCaption"/>
              <w:spacing w:before="200"/>
            </w:pPr>
            <w:r>
              <w:t>Figure 5: Percent of students who pass the 5th grade reading SOL test, 2009-10 through 2024-25 school years at ACPS, CCS and Virginia public schools. SOL tests were not conducted for the 2019-20 school year due to the COVID-19 pandemic.</w:t>
            </w:r>
          </w:p>
        </w:tc>
        <w:bookmarkEnd w:id="25"/>
      </w:tr>
    </w:tbl>
    <w:p w14:paraId="51318BAE" w14:textId="77777777" w:rsidR="00DD4DDE" w:rsidRDefault="0096555E" w:rsidP="006957ED">
      <w:pPr>
        <w:pStyle w:val="Heading3"/>
      </w:pPr>
      <w:bookmarkStart w:id="26" w:name="_Toc230089689"/>
      <w:bookmarkEnd w:id="22"/>
      <w:bookmarkEnd w:id="23"/>
      <w:r>
        <w:lastRenderedPageBreak/>
        <w:t>Students Eligible for Special Education Services</w:t>
      </w:r>
      <w:bookmarkEnd w:id="26"/>
    </w:p>
    <w:p w14:paraId="51318BAF" w14:textId="1B92DD95" w:rsidR="00DD4DDE" w:rsidRDefault="0096555E" w:rsidP="00152B11">
      <w:pPr>
        <w:pStyle w:val="FirstParagraph"/>
      </w:pPr>
      <w:bookmarkStart w:id="27" w:name="Xb5f5e16cbc286432f38698e5eb2840ae14395f7"/>
      <w:r>
        <w:t>Special education services are intended to ensure students with disabilities have access to a meaningful public education. The Individuals with Disability Education Act (IDEA) guarantees a free appropriate public education to all eligible children with documented disabilities. Students with a disability – hearing impairment, including deafness; speech or language impairment; visual impairment, including blindness; orthopedic impairment; autism; traumatic brain injury; developmental delay; other health impai</w:t>
      </w:r>
      <w:r>
        <w:t xml:space="preserve">rment; intellectual disability; specific learning disability; serious emotional disturbance; or multiple disabilities – receive special education and related services outlined in an Individual Education Program (IEP) or other service plan. </w:t>
      </w:r>
      <w:hyperlink r:id="rId26">
        <w:r>
          <w:rPr>
            <w:rStyle w:val="Hyperlink"/>
          </w:rPr>
          <w:t>See VDOE for more details</w:t>
        </w:r>
      </w:hyperlink>
      <w:r>
        <w:t>.</w:t>
      </w:r>
    </w:p>
    <w:p w14:paraId="51318BB0" w14:textId="77777777" w:rsidR="00DD4DDE" w:rsidRDefault="0096555E" w:rsidP="0096555E">
      <w:pPr>
        <w:numPr>
          <w:ilvl w:val="0"/>
          <w:numId w:val="7"/>
        </w:numPr>
      </w:pPr>
      <w:r>
        <w:rPr>
          <w:b/>
          <w:bCs/>
        </w:rPr>
        <w:t>D</w:t>
      </w:r>
      <w:r>
        <w:rPr>
          <w:b/>
          <w:bCs/>
        </w:rPr>
        <w:t>ata considerations:</w:t>
      </w:r>
      <w:r>
        <w:t xml:space="preserve"> These data are collected for the administration of special education services and represent the record of children deemed eligible for special education services. Eligibility is determined through evaluation processes to identify disabilities and determine needed services. Increasing numbers of students receiving special education services can reflect increased access to needed resources, as disability diagnoses become less stigmatized.</w:t>
      </w:r>
    </w:p>
    <w:p w14:paraId="51318BB1" w14:textId="77777777" w:rsidR="00DD4DDE" w:rsidRDefault="0096555E" w:rsidP="0096555E">
      <w:pPr>
        <w:numPr>
          <w:ilvl w:val="0"/>
          <w:numId w:val="7"/>
        </w:numPr>
      </w:pPr>
      <w:r>
        <w:rPr>
          <w:b/>
          <w:bCs/>
        </w:rPr>
        <w:t>How is this measured?:</w:t>
      </w:r>
      <w:r>
        <w:t xml:space="preserve"> This measure is the number of students identified as eligible for special education services as a percent of all students in the school division.</w:t>
      </w:r>
    </w:p>
    <w:p w14:paraId="51318BB2" w14:textId="77777777" w:rsidR="00DD4DDE" w:rsidRDefault="0096555E" w:rsidP="00F57CDF">
      <w:pPr>
        <w:pStyle w:val="Heading4"/>
      </w:pPr>
      <w:bookmarkStart w:id="28" w:name="notable-trends-3"/>
      <w:r>
        <w:t>Notable Trends</w:t>
      </w:r>
    </w:p>
    <w:p w14:paraId="51318BB3" w14:textId="77777777" w:rsidR="00DD4DDE" w:rsidRDefault="0096555E" w:rsidP="0096555E">
      <w:pPr>
        <w:numPr>
          <w:ilvl w:val="0"/>
          <w:numId w:val="8"/>
        </w:numPr>
      </w:pPr>
      <w:r>
        <w:t>F</w:t>
      </w:r>
      <w:r>
        <w:t>rom 2011 through 2017, the percentage of students receiving special education services in Albemarle County Public Schools (ACPS) was below that for Charlottesville City Schools (CCS).</w:t>
      </w:r>
    </w:p>
    <w:p w14:paraId="51318BB4" w14:textId="24E3A7FE" w:rsidR="00DD4DDE" w:rsidRDefault="0096555E" w:rsidP="0096555E">
      <w:pPr>
        <w:numPr>
          <w:ilvl w:val="0"/>
          <w:numId w:val="8"/>
        </w:numPr>
      </w:pPr>
      <w:r>
        <w:t xml:space="preserve">The percent in ACPS increased modestly after 2015 and has been very similar to the percent in CCS since. This modest increase mirrors the trend nationally. From 2009–10 through 2020–21, the number of students ages 3–21 who received special education services under IDEA increased from 13% of total </w:t>
      </w:r>
      <w:proofErr w:type="gramStart"/>
      <w:r>
        <w:t>public school</w:t>
      </w:r>
      <w:proofErr w:type="gramEnd"/>
      <w:r>
        <w:t xml:space="preserve"> enrollment to 15% of total </w:t>
      </w:r>
      <w:proofErr w:type="gramStart"/>
      <w:r>
        <w:t>public school</w:t>
      </w:r>
      <w:proofErr w:type="gramEnd"/>
      <w:r>
        <w:t xml:space="preserve"> enrollment (</w:t>
      </w:r>
      <w:hyperlink r:id="rId27" w:anchor="fn1">
        <w:r>
          <w:rPr>
            <w:rStyle w:val="Hyperlink"/>
          </w:rPr>
          <w:t>NCES</w:t>
        </w:r>
      </w:hyperlink>
      <w:r>
        <w:t>).</w:t>
      </w:r>
    </w:p>
    <w:tbl>
      <w:tblPr>
        <w:tblStyle w:val="Table"/>
        <w:tblW w:w="5000" w:type="pct"/>
        <w:tblLayout w:type="fixed"/>
        <w:tblLook w:val="0000" w:firstRow="0" w:lastRow="0" w:firstColumn="0" w:lastColumn="0" w:noHBand="0" w:noVBand="0"/>
      </w:tblPr>
      <w:tblGrid>
        <w:gridCol w:w="9360"/>
      </w:tblGrid>
      <w:tr w:rsidR="00DD4DDE" w14:paraId="51318BB7" w14:textId="77777777">
        <w:tc>
          <w:tcPr>
            <w:tcW w:w="7920" w:type="dxa"/>
          </w:tcPr>
          <w:p w14:paraId="51318BB5" w14:textId="77777777" w:rsidR="00DD4DDE" w:rsidRDefault="0096555E">
            <w:pPr>
              <w:pStyle w:val="Compact"/>
              <w:jc w:val="center"/>
            </w:pPr>
            <w:bookmarkStart w:id="29" w:name="fig-series-percent-img"/>
            <w:r>
              <w:rPr>
                <w:noProof/>
              </w:rPr>
              <w:lastRenderedPageBreak/>
              <w:drawing>
                <wp:inline distT="0" distB="0" distL="0" distR="0" wp14:anchorId="51318D3C" wp14:editId="0CC5C99E">
                  <wp:extent cx="5029200" cy="3352800"/>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figure_images/fig-6-percent-of-students-iden.png"/>
                          <pic:cNvPicPr>
                            <a:picLocks noChangeAspect="1" noChangeArrowheads="1"/>
                          </pic:cNvPicPr>
                        </pic:nvPicPr>
                        <pic:blipFill>
                          <a:blip r:embed="rId28"/>
                          <a:stretch>
                            <a:fillRect/>
                          </a:stretch>
                        </pic:blipFill>
                        <pic:spPr bwMode="auto">
                          <a:xfrm>
                            <a:off x="0" y="0"/>
                            <a:ext cx="5029200" cy="3352800"/>
                          </a:xfrm>
                          <a:prstGeom prst="rect">
                            <a:avLst/>
                          </a:prstGeom>
                          <a:noFill/>
                          <a:ln w="9525">
                            <a:noFill/>
                            <a:headEnd/>
                            <a:tailEnd/>
                          </a:ln>
                        </pic:spPr>
                      </pic:pic>
                    </a:graphicData>
                  </a:graphic>
                </wp:inline>
              </w:drawing>
            </w:r>
          </w:p>
          <w:p w14:paraId="51318BB6" w14:textId="77777777" w:rsidR="00DD4DDE" w:rsidRDefault="0096555E">
            <w:pPr>
              <w:pStyle w:val="ImageCaption"/>
              <w:spacing w:before="200"/>
            </w:pPr>
            <w:r>
              <w:t>Figure 6: Percent of students identified to receive special education services for the 2010-11 through 2024-25 school years at ACPS, CCS and Virginia public schools.</w:t>
            </w:r>
          </w:p>
        </w:tc>
        <w:bookmarkEnd w:id="29"/>
      </w:tr>
    </w:tbl>
    <w:p w14:paraId="51318BB8" w14:textId="77777777" w:rsidR="00DD4DDE" w:rsidRDefault="0096555E" w:rsidP="006957ED">
      <w:pPr>
        <w:pStyle w:val="Heading3"/>
      </w:pPr>
      <w:bookmarkStart w:id="30" w:name="_Toc230089690"/>
      <w:bookmarkEnd w:id="27"/>
      <w:bookmarkEnd w:id="28"/>
      <w:r>
        <w:t>Students Eligible for English Language Instruction</w:t>
      </w:r>
      <w:bookmarkEnd w:id="30"/>
    </w:p>
    <w:p w14:paraId="51318BB9" w14:textId="2C35D824" w:rsidR="00DD4DDE" w:rsidRDefault="0096555E" w:rsidP="00152B11">
      <w:pPr>
        <w:pStyle w:val="FirstParagraph"/>
      </w:pPr>
      <w:bookmarkStart w:id="31" w:name="X994cde38f48dd6f4a7d66c74af96922afee47e3"/>
      <w:r>
        <w:t xml:space="preserve">An English Learner (EL) is a student who is not fully proficient in English and requires language-based accommodations to effectively learn during their K-12 education. To support the growing population of multilingual students in Virginia, the </w:t>
      </w:r>
      <w:hyperlink r:id="rId29">
        <w:r>
          <w:rPr>
            <w:rStyle w:val="Hyperlink"/>
          </w:rPr>
          <w:t>Virginia Department of Education</w:t>
        </w:r>
      </w:hyperlink>
      <w:r>
        <w:t xml:space="preserve"> provides resources for educators in providing instruction and services to English Learners (ELs).</w:t>
      </w:r>
    </w:p>
    <w:p w14:paraId="51318BBA" w14:textId="77777777" w:rsidR="00DD4DDE" w:rsidRDefault="0096555E" w:rsidP="0096555E">
      <w:pPr>
        <w:numPr>
          <w:ilvl w:val="0"/>
          <w:numId w:val="9"/>
        </w:numPr>
      </w:pPr>
      <w:r>
        <w:rPr>
          <w:b/>
          <w:bCs/>
        </w:rPr>
        <w:t>D</w:t>
      </w:r>
      <w:r>
        <w:rPr>
          <w:b/>
          <w:bCs/>
        </w:rPr>
        <w:t>ata considerations:</w:t>
      </w:r>
      <w:r>
        <w:t xml:space="preserve"> An English Language Screening assessment is administered to potential EL students during the enrollment process and annually to current EL students to determine eligibility for English language instructional services. The data can be used to provide a full picture of the current composition of EL students in public schools.</w:t>
      </w:r>
    </w:p>
    <w:p w14:paraId="51318BBB" w14:textId="77777777" w:rsidR="00DD4DDE" w:rsidRDefault="0096555E" w:rsidP="0096555E">
      <w:pPr>
        <w:numPr>
          <w:ilvl w:val="0"/>
          <w:numId w:val="9"/>
        </w:numPr>
      </w:pPr>
      <w:r>
        <w:rPr>
          <w:b/>
          <w:bCs/>
        </w:rPr>
        <w:t>How is this measured?:</w:t>
      </w:r>
      <w:r>
        <w:t xml:space="preserve"> The count of identified students who speak English as a second or other language and are emergent in the speaking, reading, writing, and/or understanding of English as a percent of all students in the school division.</w:t>
      </w:r>
    </w:p>
    <w:p w14:paraId="51318BBC" w14:textId="77777777" w:rsidR="00DD4DDE" w:rsidRDefault="0096555E" w:rsidP="00F57CDF">
      <w:pPr>
        <w:pStyle w:val="Heading4"/>
      </w:pPr>
      <w:bookmarkStart w:id="32" w:name="notable-trends-4"/>
      <w:r>
        <w:t>Notable Trends</w:t>
      </w:r>
    </w:p>
    <w:p w14:paraId="51318BBD" w14:textId="77777777" w:rsidR="00DD4DDE" w:rsidRDefault="0096555E" w:rsidP="0096555E">
      <w:pPr>
        <w:numPr>
          <w:ilvl w:val="0"/>
          <w:numId w:val="10"/>
        </w:numPr>
      </w:pPr>
      <w:r>
        <w:t>T</w:t>
      </w:r>
      <w:r>
        <w:t>he percentage of English Language Learners in both Charlottesville City Schools (CCS) and Albemarle County Public Schools (ACPS) has grown between 2009-2025, mirroring growth in the state overall.</w:t>
      </w:r>
    </w:p>
    <w:p w14:paraId="51318BBE" w14:textId="77777777" w:rsidR="00DD4DDE" w:rsidRDefault="0096555E" w:rsidP="0096555E">
      <w:pPr>
        <w:numPr>
          <w:ilvl w:val="0"/>
          <w:numId w:val="10"/>
        </w:numPr>
      </w:pPr>
      <w:r>
        <w:lastRenderedPageBreak/>
        <w:t>In recent years, the increase has been larger in CCS. In the 2025-26 school year, 16% of CCS students were identified as current English Language Learners compared to 11% of ACPS students and 11% of students in Virginia.</w:t>
      </w:r>
    </w:p>
    <w:tbl>
      <w:tblPr>
        <w:tblStyle w:val="Table"/>
        <w:tblW w:w="5000" w:type="pct"/>
        <w:tblLayout w:type="fixed"/>
        <w:tblLook w:val="0000" w:firstRow="0" w:lastRow="0" w:firstColumn="0" w:lastColumn="0" w:noHBand="0" w:noVBand="0"/>
      </w:tblPr>
      <w:tblGrid>
        <w:gridCol w:w="9360"/>
      </w:tblGrid>
      <w:tr w:rsidR="00DD4DDE" w14:paraId="51318BC1" w14:textId="77777777">
        <w:tc>
          <w:tcPr>
            <w:tcW w:w="7920" w:type="dxa"/>
          </w:tcPr>
          <w:p w14:paraId="51318BBF" w14:textId="77777777" w:rsidR="00DD4DDE" w:rsidRDefault="0096555E">
            <w:pPr>
              <w:pStyle w:val="Compact"/>
              <w:jc w:val="center"/>
            </w:pPr>
            <w:bookmarkStart w:id="33" w:name="fig-ell-img"/>
            <w:r>
              <w:rPr>
                <w:noProof/>
              </w:rPr>
              <w:drawing>
                <wp:inline distT="0" distB="0" distL="0" distR="0" wp14:anchorId="51318D3E" wp14:editId="05B8DF37">
                  <wp:extent cx="5029200" cy="3352800"/>
                  <wp:effectExtent l="0" t="0" r="0" b="0"/>
                  <wp:docPr id="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figure_images/fig-7-percent-of-students-elig.png"/>
                          <pic:cNvPicPr>
                            <a:picLocks noChangeAspect="1" noChangeArrowheads="1"/>
                          </pic:cNvPicPr>
                        </pic:nvPicPr>
                        <pic:blipFill>
                          <a:blip r:embed="rId30"/>
                          <a:stretch>
                            <a:fillRect/>
                          </a:stretch>
                        </pic:blipFill>
                        <pic:spPr bwMode="auto">
                          <a:xfrm>
                            <a:off x="0" y="0"/>
                            <a:ext cx="5029200" cy="3352800"/>
                          </a:xfrm>
                          <a:prstGeom prst="rect">
                            <a:avLst/>
                          </a:prstGeom>
                          <a:noFill/>
                          <a:ln w="9525">
                            <a:noFill/>
                            <a:headEnd/>
                            <a:tailEnd/>
                          </a:ln>
                        </pic:spPr>
                      </pic:pic>
                    </a:graphicData>
                  </a:graphic>
                </wp:inline>
              </w:drawing>
            </w:r>
          </w:p>
          <w:p w14:paraId="51318BC0" w14:textId="77777777" w:rsidR="00DD4DDE" w:rsidRDefault="0096555E">
            <w:pPr>
              <w:pStyle w:val="ImageCaption"/>
              <w:spacing w:before="200"/>
            </w:pPr>
            <w:r>
              <w:t>Figure 7: Percent of students eligible for English language instruction for the 2009-10 through 2025-26 school years at ACPS, CCS and Virginia public schools.</w:t>
            </w:r>
          </w:p>
        </w:tc>
        <w:bookmarkEnd w:id="33"/>
      </w:tr>
    </w:tbl>
    <w:p w14:paraId="51318BC2" w14:textId="77777777" w:rsidR="00DD4DDE" w:rsidRDefault="0096555E" w:rsidP="006957ED">
      <w:pPr>
        <w:pStyle w:val="Heading3"/>
      </w:pPr>
      <w:bookmarkStart w:id="34" w:name="_Toc230089691"/>
      <w:bookmarkEnd w:id="31"/>
      <w:bookmarkEnd w:id="32"/>
      <w:r>
        <w:t>Absenteeism</w:t>
      </w:r>
      <w:bookmarkEnd w:id="34"/>
    </w:p>
    <w:p w14:paraId="51318BC3" w14:textId="433678E4" w:rsidR="00DD4DDE" w:rsidRDefault="0096555E" w:rsidP="00152B11">
      <w:pPr>
        <w:pStyle w:val="FirstParagraph"/>
      </w:pPr>
      <w:bookmarkStart w:id="35" w:name="absenteeism"/>
      <w:r>
        <w:t xml:space="preserve">Attendance has been increasingly the focus of attention among school divisions and educators. Regular attendance is a significant factor in a student’s success, as chronic absenteeism correlates to low academic achievement and is a powerful predictor of dropout rates. In the years following the initial onset of the COVID-19 pandemic, rates of chronic absenteeism in schools throughout the U.S. have skyrocketed: </w:t>
      </w:r>
      <w:hyperlink r:id="rId31">
        <w:r>
          <w:rPr>
            <w:rStyle w:val="Hyperlink"/>
          </w:rPr>
          <w:t>national-level data</w:t>
        </w:r>
      </w:hyperlink>
      <w:r>
        <w:t xml:space="preserve"> shows that rates of chronic absenteeism in U.S. schools increased from 15% in 2019 to 26% in 2023.</w:t>
      </w:r>
    </w:p>
    <w:p w14:paraId="51318BC4" w14:textId="791B2A34" w:rsidR="00DD4DDE" w:rsidRDefault="0096555E" w:rsidP="0096555E">
      <w:pPr>
        <w:numPr>
          <w:ilvl w:val="0"/>
          <w:numId w:val="11"/>
        </w:numPr>
      </w:pPr>
      <w:r>
        <w:rPr>
          <w:b/>
          <w:bCs/>
        </w:rPr>
        <w:t>D</w:t>
      </w:r>
      <w:r>
        <w:rPr>
          <w:b/>
          <w:bCs/>
        </w:rPr>
        <w:t>ata considerations:</w:t>
      </w:r>
      <w:r>
        <w:t xml:space="preserve"> In Virginia public schools, </w:t>
      </w:r>
      <w:hyperlink r:id="rId32">
        <w:r>
          <w:rPr>
            <w:rStyle w:val="Hyperlink"/>
          </w:rPr>
          <w:t>chronic absenteeism</w:t>
        </w:r>
      </w:hyperlink>
      <w:r>
        <w:t xml:space="preserve"> is defined as missing ten percent or more of the academic year for any reason, including excused absences, unexcused absences, and suspensions. Based on a 180-day school year, that means approximately 18 days per year or 2 to 3 days per month.</w:t>
      </w:r>
    </w:p>
    <w:p w14:paraId="51318BC5" w14:textId="03D0CF8E" w:rsidR="00DD4DDE" w:rsidRDefault="0096555E" w:rsidP="0096555E">
      <w:pPr>
        <w:numPr>
          <w:ilvl w:val="0"/>
          <w:numId w:val="11"/>
        </w:numPr>
      </w:pPr>
      <w:r>
        <w:rPr>
          <w:b/>
          <w:bCs/>
        </w:rPr>
        <w:t>How is this measured?</w:t>
      </w:r>
      <w:r>
        <w:t xml:space="preserve">: The percent of chronically absent students is a measure based on the number of students determined to be chronically absent divided by the number of enrolled students. For more detailed information on this calculation, see the explanation from the </w:t>
      </w:r>
      <w:hyperlink r:id="rId33">
        <w:r>
          <w:rPr>
            <w:rStyle w:val="Hyperlink"/>
          </w:rPr>
          <w:t>School Climate Reports page</w:t>
        </w:r>
      </w:hyperlink>
      <w:r>
        <w:t>.</w:t>
      </w:r>
    </w:p>
    <w:p w14:paraId="51318BC6" w14:textId="77777777" w:rsidR="00DD4DDE" w:rsidRDefault="0096555E" w:rsidP="00F57CDF">
      <w:pPr>
        <w:pStyle w:val="Heading4"/>
      </w:pPr>
      <w:bookmarkStart w:id="36" w:name="notable-trends-5"/>
      <w:r>
        <w:lastRenderedPageBreak/>
        <w:t>Notable Trends</w:t>
      </w:r>
    </w:p>
    <w:p w14:paraId="51318BC7" w14:textId="77777777" w:rsidR="00DD4DDE" w:rsidRDefault="0096555E" w:rsidP="0096555E">
      <w:pPr>
        <w:numPr>
          <w:ilvl w:val="0"/>
          <w:numId w:val="12"/>
        </w:numPr>
      </w:pPr>
      <w:r>
        <w:t>A</w:t>
      </w:r>
      <w:r>
        <w:t>cross Virginia public schools, chronic absenteeism increased following the COVID-19 pandemic and still remains higher than pre-pandemic numbers.</w:t>
      </w:r>
    </w:p>
    <w:p w14:paraId="51318BC8" w14:textId="77777777" w:rsidR="00DD4DDE" w:rsidRDefault="0096555E" w:rsidP="0096555E">
      <w:pPr>
        <w:numPr>
          <w:ilvl w:val="0"/>
          <w:numId w:val="12"/>
        </w:numPr>
      </w:pPr>
      <w:r>
        <w:t>ACPS has followed recent trends in the state, seeing a decrease in chronic absenteeism from 18% in 2022-2023 to 12% in 2024-2025 – a 33% reduction.</w:t>
      </w:r>
    </w:p>
    <w:p w14:paraId="51318BC9" w14:textId="77777777" w:rsidR="00DD4DDE" w:rsidRDefault="0096555E" w:rsidP="0096555E">
      <w:pPr>
        <w:numPr>
          <w:ilvl w:val="0"/>
          <w:numId w:val="12"/>
        </w:numPr>
      </w:pPr>
      <w:r>
        <w:t>In CSS, over 1 in 5 students (21%) were identified as chronically absent in the 2024-25 school year – higher than the state average by 6%.</w:t>
      </w:r>
    </w:p>
    <w:tbl>
      <w:tblPr>
        <w:tblStyle w:val="Table"/>
        <w:tblW w:w="5000" w:type="pct"/>
        <w:tblLayout w:type="fixed"/>
        <w:tblLook w:val="0000" w:firstRow="0" w:lastRow="0" w:firstColumn="0" w:lastColumn="0" w:noHBand="0" w:noVBand="0"/>
      </w:tblPr>
      <w:tblGrid>
        <w:gridCol w:w="9360"/>
      </w:tblGrid>
      <w:tr w:rsidR="00DD4DDE" w14:paraId="51318BCC" w14:textId="77777777">
        <w:tc>
          <w:tcPr>
            <w:tcW w:w="7920" w:type="dxa"/>
          </w:tcPr>
          <w:p w14:paraId="51318BCA" w14:textId="77777777" w:rsidR="00DD4DDE" w:rsidRDefault="0096555E">
            <w:pPr>
              <w:pStyle w:val="Compact"/>
              <w:jc w:val="center"/>
            </w:pPr>
            <w:bookmarkStart w:id="37" w:name="fig-absentee-img"/>
            <w:r>
              <w:rPr>
                <w:noProof/>
              </w:rPr>
              <w:drawing>
                <wp:inline distT="0" distB="0" distL="0" distR="0" wp14:anchorId="51318D40" wp14:editId="2261E0AA">
                  <wp:extent cx="5029200" cy="3352800"/>
                  <wp:effectExtent l="0" t="0" r="0"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ure_images/fig-8-percent-of-students-iden.png"/>
                          <pic:cNvPicPr>
                            <a:picLocks noChangeAspect="1" noChangeArrowheads="1"/>
                          </pic:cNvPicPr>
                        </pic:nvPicPr>
                        <pic:blipFill>
                          <a:blip r:embed="rId34"/>
                          <a:stretch>
                            <a:fillRect/>
                          </a:stretch>
                        </pic:blipFill>
                        <pic:spPr bwMode="auto">
                          <a:xfrm>
                            <a:off x="0" y="0"/>
                            <a:ext cx="5029200" cy="3352800"/>
                          </a:xfrm>
                          <a:prstGeom prst="rect">
                            <a:avLst/>
                          </a:prstGeom>
                          <a:noFill/>
                          <a:ln w="9525">
                            <a:noFill/>
                            <a:headEnd/>
                            <a:tailEnd/>
                          </a:ln>
                        </pic:spPr>
                      </pic:pic>
                    </a:graphicData>
                  </a:graphic>
                </wp:inline>
              </w:drawing>
            </w:r>
          </w:p>
          <w:p w14:paraId="51318BCB" w14:textId="77777777" w:rsidR="00DD4DDE" w:rsidRDefault="0096555E">
            <w:pPr>
              <w:pStyle w:val="ImageCaption"/>
              <w:spacing w:before="200"/>
            </w:pPr>
            <w:r>
              <w:t>Figure 8: Percent of students identified chronically absent for the 2015-16 through 2024-25 school years at ACPS, CCS and Virginia public schools.</w:t>
            </w:r>
          </w:p>
        </w:tc>
        <w:bookmarkEnd w:id="37"/>
      </w:tr>
    </w:tbl>
    <w:p w14:paraId="51318BCD" w14:textId="77777777" w:rsidR="00DD4DDE" w:rsidRDefault="0096555E" w:rsidP="006957ED">
      <w:pPr>
        <w:pStyle w:val="Heading3"/>
      </w:pPr>
      <w:bookmarkStart w:id="38" w:name="_Toc230089692"/>
      <w:bookmarkEnd w:id="35"/>
      <w:bookmarkEnd w:id="36"/>
      <w:r>
        <w:t>On-Time Graduation Rates</w:t>
      </w:r>
      <w:bookmarkEnd w:id="38"/>
    </w:p>
    <w:p w14:paraId="51318BCE" w14:textId="77777777" w:rsidR="00DD4DDE" w:rsidRDefault="0096555E" w:rsidP="00152B11">
      <w:pPr>
        <w:pStyle w:val="FirstParagraph"/>
      </w:pPr>
      <w:bookmarkStart w:id="39" w:name="on-time-graduation-rates"/>
      <w:r>
        <w:t>On-time graduation is an important indicator of whether localities are preparing most students for college or career readiness, as a high school diploma is a standard requirement for many jobs and for accessing higher education. On-time graduation measures the percentage of public school students that graduated within four years of entering high school.</w:t>
      </w:r>
    </w:p>
    <w:p w14:paraId="51318BCF" w14:textId="77777777" w:rsidR="00DD4DDE" w:rsidRDefault="0096555E" w:rsidP="0096555E">
      <w:pPr>
        <w:numPr>
          <w:ilvl w:val="0"/>
          <w:numId w:val="13"/>
        </w:numPr>
      </w:pPr>
      <w:r>
        <w:rPr>
          <w:b/>
          <w:bCs/>
        </w:rPr>
        <w:lastRenderedPageBreak/>
        <w:t>D</w:t>
      </w:r>
      <w:r>
        <w:rPr>
          <w:b/>
          <w:bCs/>
        </w:rPr>
        <w:t>ata considerations:</w:t>
      </w:r>
      <w:r>
        <w:t xml:space="preserve"> This rate is derived from Virginia’s longitudinal student data system linking the records of students who entered 9th grade for the first time in a given year (beginning in 2004) with their records four years later to determine their graduation or completion status. The measure accounts for student mobility, retention, and promotion patterns and provides a complete description of completion outcomes for each cohort attending public schools. Students who earn a GED or a certificate of com</w:t>
      </w:r>
      <w:r>
        <w:t>pletion are not counted as dropouts or as graduates when calculating the on-time graduation rate.</w:t>
      </w:r>
    </w:p>
    <w:p w14:paraId="51318BD0" w14:textId="1849E630" w:rsidR="00DD4DDE" w:rsidRDefault="0096555E" w:rsidP="0096555E">
      <w:pPr>
        <w:numPr>
          <w:ilvl w:val="0"/>
          <w:numId w:val="13"/>
        </w:numPr>
      </w:pPr>
      <w:r>
        <w:rPr>
          <w:b/>
          <w:bCs/>
        </w:rPr>
        <w:t>How is this measured?:</w:t>
      </w:r>
      <w:r>
        <w:t xml:space="preserve"> On-time graduation is defined as students who earn a Virginia Board of Education-approved diploma among students who entered 9th grade for the first time together and were scheduled to graduate four years later; the percent represents students in a cohort who graduated on time over all students in that cohort, (multiplied by 100). This measure recognizes that some students with disabilities and limited English proficiency are allowed more than the standard four years to earn a diploma and counts those stud</w:t>
      </w:r>
      <w:r>
        <w:t xml:space="preserve">ents as “on-time” graduates. </w:t>
      </w:r>
      <w:hyperlink r:id="rId35">
        <w:r>
          <w:rPr>
            <w:rStyle w:val="Hyperlink"/>
          </w:rPr>
          <w:t>See VDOE for more</w:t>
        </w:r>
      </w:hyperlink>
      <w:r>
        <w:t>.</w:t>
      </w:r>
    </w:p>
    <w:p w14:paraId="51318BD1" w14:textId="77777777" w:rsidR="00DD4DDE" w:rsidRDefault="0096555E" w:rsidP="00F57CDF">
      <w:pPr>
        <w:pStyle w:val="Heading4"/>
      </w:pPr>
      <w:bookmarkStart w:id="40" w:name="notable-trends-6"/>
      <w:r>
        <w:t>Notable Trends</w:t>
      </w:r>
    </w:p>
    <w:p w14:paraId="51318BD2" w14:textId="77777777" w:rsidR="00DD4DDE" w:rsidRDefault="0096555E" w:rsidP="0096555E">
      <w:pPr>
        <w:numPr>
          <w:ilvl w:val="0"/>
          <w:numId w:val="14"/>
        </w:numPr>
      </w:pPr>
      <w:r>
        <w:t>O</w:t>
      </w:r>
      <w:r>
        <w:t>n-time graduation rates have generally increased in both divisions and in the state overall since 2010, with ACPS remaining higher than the state average.</w:t>
      </w:r>
    </w:p>
    <w:p w14:paraId="51318BD3" w14:textId="77777777" w:rsidR="00DD4DDE" w:rsidRDefault="0096555E" w:rsidP="0096555E">
      <w:pPr>
        <w:numPr>
          <w:ilvl w:val="0"/>
          <w:numId w:val="14"/>
        </w:numPr>
      </w:pPr>
      <w:r>
        <w:t>In CCS, the rate dipped in 2013 before increasing to near ACPS between 2018-2023, at 93-94%. Recent years have seen a drop below state averages, falling to 87% in 2025.</w:t>
      </w:r>
    </w:p>
    <w:tbl>
      <w:tblPr>
        <w:tblStyle w:val="Table"/>
        <w:tblW w:w="5000" w:type="pct"/>
        <w:tblLayout w:type="fixed"/>
        <w:tblLook w:val="0000" w:firstRow="0" w:lastRow="0" w:firstColumn="0" w:lastColumn="0" w:noHBand="0" w:noVBand="0"/>
      </w:tblPr>
      <w:tblGrid>
        <w:gridCol w:w="9360"/>
      </w:tblGrid>
      <w:tr w:rsidR="00DD4DDE" w14:paraId="51318BD6" w14:textId="77777777">
        <w:tc>
          <w:tcPr>
            <w:tcW w:w="7920" w:type="dxa"/>
          </w:tcPr>
          <w:p w14:paraId="51318BD4" w14:textId="77777777" w:rsidR="00DD4DDE" w:rsidRDefault="0096555E">
            <w:pPr>
              <w:pStyle w:val="Compact"/>
              <w:jc w:val="center"/>
            </w:pPr>
            <w:bookmarkStart w:id="41" w:name="fig-grad-rates-img"/>
            <w:r>
              <w:rPr>
                <w:noProof/>
              </w:rPr>
              <w:lastRenderedPageBreak/>
              <w:drawing>
                <wp:inline distT="0" distB="0" distL="0" distR="0" wp14:anchorId="51318D42" wp14:editId="351AD9ED">
                  <wp:extent cx="5029200" cy="3352800"/>
                  <wp:effectExtent l="0" t="0" r="0" b="0"/>
                  <wp:docPr id="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figure_images/fig-9-percent-of-student-cohor.png"/>
                          <pic:cNvPicPr>
                            <a:picLocks noChangeAspect="1" noChangeArrowheads="1"/>
                          </pic:cNvPicPr>
                        </pic:nvPicPr>
                        <pic:blipFill>
                          <a:blip r:embed="rId36"/>
                          <a:stretch>
                            <a:fillRect/>
                          </a:stretch>
                        </pic:blipFill>
                        <pic:spPr bwMode="auto">
                          <a:xfrm>
                            <a:off x="0" y="0"/>
                            <a:ext cx="5029200" cy="3352800"/>
                          </a:xfrm>
                          <a:prstGeom prst="rect">
                            <a:avLst/>
                          </a:prstGeom>
                          <a:noFill/>
                          <a:ln w="9525">
                            <a:noFill/>
                            <a:headEnd/>
                            <a:tailEnd/>
                          </a:ln>
                        </pic:spPr>
                      </pic:pic>
                    </a:graphicData>
                  </a:graphic>
                </wp:inline>
              </w:drawing>
            </w:r>
          </w:p>
          <w:p w14:paraId="51318BD5" w14:textId="77777777" w:rsidR="00DD4DDE" w:rsidRDefault="0096555E">
            <w:pPr>
              <w:pStyle w:val="ImageCaption"/>
              <w:spacing w:before="200"/>
            </w:pPr>
            <w:r>
              <w:t>Figure 9: Percent of student cohort graduating in four years for 2010-2025 at ACPS, CCS and Virginia public schools.</w:t>
            </w:r>
          </w:p>
        </w:tc>
        <w:bookmarkEnd w:id="41"/>
      </w:tr>
    </w:tbl>
    <w:p w14:paraId="51318BD7" w14:textId="77777777" w:rsidR="00DD4DDE" w:rsidRDefault="0096555E" w:rsidP="006957ED">
      <w:pPr>
        <w:pStyle w:val="Heading3"/>
      </w:pPr>
      <w:bookmarkStart w:id="42" w:name="_Toc230089693"/>
      <w:bookmarkEnd w:id="39"/>
      <w:bookmarkEnd w:id="40"/>
      <w:r>
        <w:t>Post-Secondary Enrollment</w:t>
      </w:r>
      <w:bookmarkEnd w:id="42"/>
    </w:p>
    <w:p w14:paraId="51318BD8" w14:textId="77777777" w:rsidR="00DD4DDE" w:rsidRDefault="0096555E" w:rsidP="00152B11">
      <w:pPr>
        <w:pStyle w:val="FirstParagraph"/>
      </w:pPr>
      <w:bookmarkStart w:id="43" w:name="post-secondary-enrollment"/>
      <w:r>
        <w:t>It is increasingly common for jobs to require post-secondary education or postsecondary training or certification, particularly among jobs that support economic security. The rate of post-secondary enrollment measures the percent of graduating high school seniors who enter a higher education institution (e.g., college, university or community college) within 16 months after graduating from high school.</w:t>
      </w:r>
    </w:p>
    <w:p w14:paraId="51318BD9" w14:textId="77777777" w:rsidR="00DD4DDE" w:rsidRDefault="0096555E" w:rsidP="0096555E">
      <w:pPr>
        <w:numPr>
          <w:ilvl w:val="0"/>
          <w:numId w:val="15"/>
        </w:numPr>
      </w:pPr>
      <w:r>
        <w:rPr>
          <w:b/>
          <w:bCs/>
        </w:rPr>
        <w:t>D</w:t>
      </w:r>
      <w:r>
        <w:rPr>
          <w:b/>
          <w:bCs/>
        </w:rPr>
        <w:t>ata considerations:</w:t>
      </w:r>
      <w:r>
        <w:t xml:space="preserve"> This metric tracks each graduating cohort’s enrollment in a two- or four-year college or university anywhere in the United States. It is an accurate and complete reflection of education enrollment immediately following high school, but it does not include information on students who begin college more than 16 months after graduation.</w:t>
      </w:r>
    </w:p>
    <w:p w14:paraId="51318BDA" w14:textId="2300AB0F" w:rsidR="00DD4DDE" w:rsidRDefault="0096555E" w:rsidP="0096555E">
      <w:pPr>
        <w:numPr>
          <w:ilvl w:val="0"/>
          <w:numId w:val="15"/>
        </w:numPr>
      </w:pPr>
      <w:r>
        <w:rPr>
          <w:b/>
          <w:bCs/>
        </w:rPr>
        <w:t xml:space="preserve">How is this </w:t>
      </w:r>
      <w:proofErr w:type="gramStart"/>
      <w:r>
        <w:rPr>
          <w:b/>
          <w:bCs/>
        </w:rPr>
        <w:t>measured?:</w:t>
      </w:r>
      <w:proofErr w:type="gramEnd"/>
      <w:r>
        <w:t xml:space="preserve"> The VDOE uses data from the </w:t>
      </w:r>
      <w:hyperlink r:id="rId37">
        <w:r>
          <w:rPr>
            <w:rStyle w:val="Hyperlink"/>
          </w:rPr>
          <w:t>National Student Clearinghouse</w:t>
        </w:r>
      </w:hyperlink>
      <w:r>
        <w:t xml:space="preserve"> to track college attendance nationwide among students graduating from Virginia’s public schools. This metric represents the number of students in a division’s graduating cohort who enroll in any institution of higher education within 16 months of graduating as a percent of the number of students in the graduating cohort.</w:t>
      </w:r>
    </w:p>
    <w:p w14:paraId="51318BDB" w14:textId="77777777" w:rsidR="00DD4DDE" w:rsidRDefault="0096555E" w:rsidP="00F57CDF">
      <w:pPr>
        <w:pStyle w:val="Heading4"/>
      </w:pPr>
      <w:bookmarkStart w:id="44" w:name="notable-trends-7"/>
      <w:r>
        <w:t>Notable Trends</w:t>
      </w:r>
    </w:p>
    <w:p w14:paraId="51318BDC" w14:textId="77777777" w:rsidR="00DD4DDE" w:rsidRDefault="0096555E" w:rsidP="0096555E">
      <w:pPr>
        <w:numPr>
          <w:ilvl w:val="0"/>
          <w:numId w:val="16"/>
        </w:numPr>
      </w:pPr>
      <w:r>
        <w:lastRenderedPageBreak/>
        <w:t>T</w:t>
      </w:r>
      <w:r>
        <w:t>he percentage of graduates enrolling in any post-secondary Institute of Higher Education (IHE) is consistently higher among Albemarle County Public School (ACPS) graduates than Charlottesville City Schools (CCS) or Virginia graduates overall.</w:t>
      </w:r>
    </w:p>
    <w:p w14:paraId="51318BDD" w14:textId="77777777" w:rsidR="00DD4DDE" w:rsidRDefault="0096555E" w:rsidP="0096555E">
      <w:pPr>
        <w:numPr>
          <w:ilvl w:val="0"/>
          <w:numId w:val="16"/>
        </w:numPr>
      </w:pPr>
      <w:r>
        <w:t>In ACPS, the percentage has fallen from 80% in 2015 to 72% in 2023. In CCS, the percentage has been relatively steady over the past decade, rising to 77% in 2013 with values between 64%-70% in other years.</w:t>
      </w:r>
    </w:p>
    <w:p w14:paraId="51318BDE" w14:textId="77777777" w:rsidR="00DD4DDE" w:rsidRDefault="0096555E" w:rsidP="0096555E">
      <w:pPr>
        <w:numPr>
          <w:ilvl w:val="0"/>
          <w:numId w:val="16"/>
        </w:numPr>
      </w:pPr>
      <w:r>
        <w:t>The percentage of graduates enrolling in a four-year institution is consistently higher in ACPS graduates than CCS or Virginia graduates. The percentage has fluctuated in both divisions from 2010 to 2023, with the most recent years showing 54% in ACPS and 43% in CCS, compared to 43% statewide.</w:t>
      </w:r>
    </w:p>
    <w:tbl>
      <w:tblPr>
        <w:tblStyle w:val="Table"/>
        <w:tblW w:w="5000" w:type="pct"/>
        <w:tblLayout w:type="fixed"/>
        <w:tblLook w:val="0000" w:firstRow="0" w:lastRow="0" w:firstColumn="0" w:lastColumn="0" w:noHBand="0" w:noVBand="0"/>
      </w:tblPr>
      <w:tblGrid>
        <w:gridCol w:w="9360"/>
      </w:tblGrid>
      <w:tr w:rsidR="00DD4DDE" w14:paraId="51318BE1" w14:textId="77777777">
        <w:tc>
          <w:tcPr>
            <w:tcW w:w="7920" w:type="dxa"/>
          </w:tcPr>
          <w:p w14:paraId="51318BDF" w14:textId="77777777" w:rsidR="00DD4DDE" w:rsidRDefault="0096555E">
            <w:pPr>
              <w:pStyle w:val="Compact"/>
              <w:jc w:val="center"/>
            </w:pPr>
            <w:bookmarkStart w:id="45" w:name="fig-postsecondary-img"/>
            <w:r>
              <w:rPr>
                <w:noProof/>
              </w:rPr>
              <w:drawing>
                <wp:inline distT="0" distB="0" distL="0" distR="0" wp14:anchorId="51318D44" wp14:editId="1D458B80">
                  <wp:extent cx="5029200" cy="3352800"/>
                  <wp:effectExtent l="0" t="0" r="0" b="0"/>
                  <wp:docPr id="8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figure_images/fig-10-percent-of-graduating-st.png"/>
                          <pic:cNvPicPr>
                            <a:picLocks noChangeAspect="1" noChangeArrowheads="1"/>
                          </pic:cNvPicPr>
                        </pic:nvPicPr>
                        <pic:blipFill>
                          <a:blip r:embed="rId38"/>
                          <a:stretch>
                            <a:fillRect/>
                          </a:stretch>
                        </pic:blipFill>
                        <pic:spPr bwMode="auto">
                          <a:xfrm>
                            <a:off x="0" y="0"/>
                            <a:ext cx="5029200" cy="3352800"/>
                          </a:xfrm>
                          <a:prstGeom prst="rect">
                            <a:avLst/>
                          </a:prstGeom>
                          <a:noFill/>
                          <a:ln w="9525">
                            <a:noFill/>
                            <a:headEnd/>
                            <a:tailEnd/>
                          </a:ln>
                        </pic:spPr>
                      </pic:pic>
                    </a:graphicData>
                  </a:graphic>
                </wp:inline>
              </w:drawing>
            </w:r>
          </w:p>
          <w:p w14:paraId="51318BE0" w14:textId="77777777" w:rsidR="00DD4DDE" w:rsidRDefault="0096555E">
            <w:pPr>
              <w:pStyle w:val="ImageCaption"/>
              <w:spacing w:before="200"/>
            </w:pPr>
            <w:r>
              <w:t>Figure 10: Percent of graduating students enrolled in a post-secondary institution for 2010-2025 at ACPS, CCS and Virginia public schools.</w:t>
            </w:r>
          </w:p>
        </w:tc>
        <w:bookmarkEnd w:id="45"/>
      </w:tr>
    </w:tbl>
    <w:p w14:paraId="51318BE2" w14:textId="77777777" w:rsidR="00DD4DDE" w:rsidRDefault="0096555E" w:rsidP="006957ED">
      <w:pPr>
        <w:pStyle w:val="Heading3"/>
      </w:pPr>
      <w:bookmarkStart w:id="46" w:name="_Toc230089694"/>
      <w:bookmarkEnd w:id="43"/>
      <w:bookmarkEnd w:id="44"/>
      <w:r>
        <w:t>High School Degree Attainment</w:t>
      </w:r>
      <w:bookmarkEnd w:id="46"/>
    </w:p>
    <w:p w14:paraId="51318BE3" w14:textId="77777777" w:rsidR="00DD4DDE" w:rsidRDefault="0096555E" w:rsidP="00152B11">
      <w:pPr>
        <w:pStyle w:val="FirstParagraph"/>
      </w:pPr>
      <w:bookmarkStart w:id="47" w:name="education"/>
      <w:bookmarkStart w:id="48" w:name="high-school-degree-attainment"/>
      <w:r>
        <w:t>Earning a high school diploma is a minimum requirement for many jobs and to pursue higher education, thus it can have wide-ranging health, social, and economic impacts. The rate of education attainment in a community not only reflects benefits to individuals but is also related to community economic and population health.</w:t>
      </w:r>
    </w:p>
    <w:p w14:paraId="51318BE4" w14:textId="77777777" w:rsidR="00DD4DDE" w:rsidRDefault="0096555E" w:rsidP="0096555E">
      <w:pPr>
        <w:numPr>
          <w:ilvl w:val="0"/>
          <w:numId w:val="17"/>
        </w:numPr>
      </w:pPr>
      <w:r>
        <w:rPr>
          <w:b/>
          <w:bCs/>
        </w:rPr>
        <w:lastRenderedPageBreak/>
        <w:t>D</w:t>
      </w:r>
      <w:r>
        <w:rPr>
          <w:b/>
          <w:bCs/>
        </w:rPr>
        <w:t>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Importantly, this metric does not capture the performance of schools in a gi</w:t>
      </w:r>
      <w:r>
        <w:t>ven city but rather on the highest level of education achieved by adults who reside in that city, regardless of where they attended school.</w:t>
      </w:r>
    </w:p>
    <w:p w14:paraId="51318BE5" w14:textId="77777777" w:rsidR="00DD4DDE" w:rsidRDefault="0096555E" w:rsidP="0096555E">
      <w:pPr>
        <w:numPr>
          <w:ilvl w:val="0"/>
          <w:numId w:val="17"/>
        </w:numPr>
      </w:pPr>
      <w:r>
        <w:rPr>
          <w:b/>
          <w:bCs/>
        </w:rPr>
        <w:t>How is this measured?:</w:t>
      </w:r>
      <w:r>
        <w:t xml:space="preserve"> The measure is the count of residents who are 25 or over who have received at least a H.S. diploma or equivalent (including GEDs) over the count of all residents aged 25 or over in the relevant city, county, or state (multiplied by 100).</w:t>
      </w:r>
    </w:p>
    <w:p w14:paraId="51318BE6" w14:textId="77777777" w:rsidR="00DD4DDE" w:rsidRDefault="0096555E" w:rsidP="00F57CDF">
      <w:pPr>
        <w:pStyle w:val="Heading4"/>
      </w:pPr>
      <w:bookmarkStart w:id="49" w:name="notable-trends-8"/>
      <w:r>
        <w:t>Notable Trends</w:t>
      </w:r>
    </w:p>
    <w:p w14:paraId="51318BE7" w14:textId="77777777" w:rsidR="00DD4DDE" w:rsidRDefault="0096555E" w:rsidP="0096555E">
      <w:pPr>
        <w:numPr>
          <w:ilvl w:val="0"/>
          <w:numId w:val="18"/>
        </w:numPr>
      </w:pPr>
      <w:r>
        <w:t>I</w:t>
      </w:r>
      <w:r>
        <w:t>n Albemarle County, the percentage of residents with a H.S. diploma or more has been high and steady, remaining between 90-94% from 2010-2024.</w:t>
      </w:r>
    </w:p>
    <w:p w14:paraId="51318BE8" w14:textId="77777777" w:rsidR="00DD4DDE" w:rsidRDefault="0096555E" w:rsidP="0096555E">
      <w:pPr>
        <w:numPr>
          <w:ilvl w:val="0"/>
          <w:numId w:val="18"/>
        </w:numPr>
      </w:pPr>
      <w:r>
        <w:t>Among Charlottesville City residents there has been significant growth, with a H.S. diploma attainment rate of 85% in 2010 and a rate of 94% in 2024, essentially matching the rate in Albemarle County. From 2013 onward, the H.S. diploma attainment rate in both localities has exceeded that of the state as a whole.</w:t>
      </w:r>
    </w:p>
    <w:tbl>
      <w:tblPr>
        <w:tblStyle w:val="Table"/>
        <w:tblW w:w="5000" w:type="pct"/>
        <w:tblLayout w:type="fixed"/>
        <w:tblLook w:val="0000" w:firstRow="0" w:lastRow="0" w:firstColumn="0" w:lastColumn="0" w:noHBand="0" w:noVBand="0"/>
      </w:tblPr>
      <w:tblGrid>
        <w:gridCol w:w="9360"/>
      </w:tblGrid>
      <w:tr w:rsidR="00DD4DDE" w14:paraId="51318BEB" w14:textId="77777777">
        <w:tc>
          <w:tcPr>
            <w:tcW w:w="7920" w:type="dxa"/>
          </w:tcPr>
          <w:p w14:paraId="51318BE9" w14:textId="77777777" w:rsidR="00DD4DDE" w:rsidRDefault="0096555E">
            <w:pPr>
              <w:pStyle w:val="Compact"/>
              <w:jc w:val="center"/>
            </w:pPr>
            <w:bookmarkStart w:id="50" w:name="fig-hsdegree-img"/>
            <w:r>
              <w:rPr>
                <w:noProof/>
              </w:rPr>
              <w:drawing>
                <wp:inline distT="0" distB="0" distL="0" distR="0" wp14:anchorId="51318D46" wp14:editId="5BC115D6">
                  <wp:extent cx="4572000" cy="3048000"/>
                  <wp:effectExtent l="0" t="0" r="0" b="0"/>
                  <wp:docPr id="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figure_images/fig-11-percent-of-residents-age.png"/>
                          <pic:cNvPicPr>
                            <a:picLocks noChangeAspect="1" noChangeArrowheads="1"/>
                          </pic:cNvPicPr>
                        </pic:nvPicPr>
                        <pic:blipFill>
                          <a:blip r:embed="rId39"/>
                          <a:stretch>
                            <a:fillRect/>
                          </a:stretch>
                        </pic:blipFill>
                        <pic:spPr bwMode="auto">
                          <a:xfrm>
                            <a:off x="0" y="0"/>
                            <a:ext cx="4572000" cy="3048000"/>
                          </a:xfrm>
                          <a:prstGeom prst="rect">
                            <a:avLst/>
                          </a:prstGeom>
                          <a:noFill/>
                          <a:ln w="9525">
                            <a:noFill/>
                            <a:headEnd/>
                            <a:tailEnd/>
                          </a:ln>
                        </pic:spPr>
                      </pic:pic>
                    </a:graphicData>
                  </a:graphic>
                </wp:inline>
              </w:drawing>
            </w:r>
          </w:p>
          <w:p w14:paraId="51318BEA" w14:textId="77777777" w:rsidR="00DD4DDE" w:rsidRDefault="0096555E">
            <w:pPr>
              <w:pStyle w:val="ImageCaption"/>
              <w:spacing w:before="200"/>
            </w:pPr>
            <w:r>
              <w:t>Figure 11: Percent of residents age 25 and older with a High School degree or equivalent for 2010-2024 in Albemarle County, Charlottesville City, and Virginia.</w:t>
            </w:r>
          </w:p>
        </w:tc>
        <w:bookmarkEnd w:id="50"/>
      </w:tr>
      <w:bookmarkEnd w:id="47"/>
      <w:bookmarkEnd w:id="48"/>
      <w:bookmarkEnd w:id="49"/>
    </w:tbl>
    <w:p w14:paraId="24B9BAC0" w14:textId="77777777" w:rsidR="00B23FCF" w:rsidRDefault="00B23FCF">
      <w:pPr>
        <w:pStyle w:val="Heading2"/>
        <w:sectPr w:rsidR="00B23FCF" w:rsidSect="000E65C7">
          <w:pgSz w:w="12240" w:h="15840"/>
          <w:pgMar w:top="1728" w:right="1440" w:bottom="1440" w:left="1440" w:header="720" w:footer="720" w:gutter="0"/>
          <w:cols w:space="720"/>
          <w:docGrid w:linePitch="326"/>
        </w:sectPr>
      </w:pPr>
    </w:p>
    <w:p w14:paraId="51318BEC" w14:textId="77777777" w:rsidR="00DD4DDE" w:rsidRDefault="0096555E">
      <w:pPr>
        <w:pStyle w:val="Heading2"/>
      </w:pPr>
      <w:bookmarkStart w:id="51" w:name="_Toc230089695"/>
      <w:r>
        <w:lastRenderedPageBreak/>
        <w:t>Economic and Family Stability</w:t>
      </w:r>
      <w:bookmarkEnd w:id="51"/>
    </w:p>
    <w:p w14:paraId="51318BED" w14:textId="77777777" w:rsidR="00DD4DDE" w:rsidRDefault="0096555E" w:rsidP="006957ED">
      <w:pPr>
        <w:pStyle w:val="Heading3"/>
      </w:pPr>
      <w:bookmarkStart w:id="52" w:name="_Toc230089696"/>
      <w:r>
        <w:t>Income for Families with Children</w:t>
      </w:r>
      <w:bookmarkEnd w:id="52"/>
    </w:p>
    <w:p w14:paraId="51318BEE" w14:textId="36A5BEE4" w:rsidR="00DD4DDE" w:rsidRDefault="0096555E" w:rsidP="00152B11">
      <w:pPr>
        <w:pStyle w:val="FirstParagraph"/>
      </w:pPr>
      <w:bookmarkStart w:id="53" w:name="income-for-families-with-children"/>
      <w:r>
        <w:t xml:space="preserve">The income available to a family is a primary measure of economic security of children and families. Median income for families with children measures the combined income for a family with children under 18 living in the home. Low household income can mean that a family is unable to afford basic necessities. According to </w:t>
      </w:r>
      <w:hyperlink r:id="rId40">
        <w:r>
          <w:rPr>
            <w:rStyle w:val="Hyperlink"/>
          </w:rPr>
          <w:t>United for ALICE</w:t>
        </w:r>
      </w:hyperlink>
      <w:r>
        <w:t xml:space="preserve"> the amount an average family needs to meet basic needs in 2023 was $75,124 in Albemarle and $68,703 in Charlottesville. Adjusting for inflation allows for the comparison of income given the increase in prices over time.</w:t>
      </w:r>
    </w:p>
    <w:p w14:paraId="51318BEF" w14:textId="77777777" w:rsidR="00DD4DDE" w:rsidRDefault="0096555E" w:rsidP="0096555E">
      <w:pPr>
        <w:numPr>
          <w:ilvl w:val="0"/>
          <w:numId w:val="19"/>
        </w:numPr>
      </w:pPr>
      <w:r>
        <w:rPr>
          <w:b/>
          <w:bCs/>
        </w:rPr>
        <w:t>D</w:t>
      </w:r>
      <w:r>
        <w:rPr>
          <w:b/>
          <w:bCs/>
        </w:rPr>
        <w:t>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w:t>
      </w:r>
    </w:p>
    <w:p w14:paraId="51318BF0" w14:textId="77777777" w:rsidR="00DD4DDE" w:rsidRDefault="0096555E" w:rsidP="0096555E">
      <w:pPr>
        <w:numPr>
          <w:ilvl w:val="0"/>
          <w:numId w:val="19"/>
        </w:numPr>
      </w:pPr>
      <w:r>
        <w:rPr>
          <w:b/>
          <w:bCs/>
        </w:rPr>
        <w:t>How is this measured?:</w:t>
      </w:r>
      <w:r>
        <w:t xml:space="preserve"> Median family income represents the midpoint of all family incomes, meaning half of families with children earn more and half earn less than that amount. The median is generally considered a more representative measure of typical income compared to the average, as it’s not affected by extreme outliers (very high or low incomes).The inflation-adjusted version uses the Consumer Price Index with 2014 as the base year.</w:t>
      </w:r>
    </w:p>
    <w:p w14:paraId="51318BF1" w14:textId="77777777" w:rsidR="00DD4DDE" w:rsidRDefault="0096555E" w:rsidP="00F57CDF">
      <w:pPr>
        <w:pStyle w:val="Heading4"/>
      </w:pPr>
      <w:bookmarkStart w:id="54" w:name="notable-trends-9"/>
      <w:r>
        <w:t>Notable Trends</w:t>
      </w:r>
    </w:p>
    <w:p w14:paraId="51318BF2" w14:textId="77777777" w:rsidR="00DD4DDE" w:rsidRDefault="0096555E" w:rsidP="0096555E">
      <w:pPr>
        <w:pStyle w:val="Compact"/>
        <w:numPr>
          <w:ilvl w:val="0"/>
          <w:numId w:val="20"/>
        </w:numPr>
      </w:pPr>
      <w:r>
        <w:t>A</w:t>
      </w:r>
      <w:r>
        <w:t>djusting for inflation shows that even as raw income has increased since 2014, its value has not kept up with the rising cost of living. In 2024, the median income for Albemarle families with children was near $140k/year – the same as earning $105k in 2014. In Charlottesville, the median income was $113k in 2024 — $85k in 2014 dollars.</w:t>
      </w:r>
    </w:p>
    <w:tbl>
      <w:tblPr>
        <w:tblStyle w:val="Table"/>
        <w:tblW w:w="5000" w:type="pct"/>
        <w:tblLayout w:type="fixed"/>
        <w:tblLook w:val="0000" w:firstRow="0" w:lastRow="0" w:firstColumn="0" w:lastColumn="0" w:noHBand="0" w:noVBand="0"/>
      </w:tblPr>
      <w:tblGrid>
        <w:gridCol w:w="9360"/>
      </w:tblGrid>
      <w:tr w:rsidR="00DD4DDE" w14:paraId="51318BF5" w14:textId="77777777">
        <w:tc>
          <w:tcPr>
            <w:tcW w:w="7920" w:type="dxa"/>
          </w:tcPr>
          <w:p w14:paraId="51318BF3" w14:textId="77777777" w:rsidR="00DD4DDE" w:rsidRDefault="0096555E">
            <w:pPr>
              <w:pStyle w:val="Compact"/>
              <w:jc w:val="center"/>
            </w:pPr>
            <w:bookmarkStart w:id="55" w:name="fig-family-income-img"/>
            <w:r>
              <w:rPr>
                <w:noProof/>
              </w:rPr>
              <w:lastRenderedPageBreak/>
              <w:drawing>
                <wp:inline distT="0" distB="0" distL="0" distR="0" wp14:anchorId="51318D48" wp14:editId="3F164058">
                  <wp:extent cx="5029200" cy="33528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figure_images/fig-12-median-income-for-famili.png"/>
                          <pic:cNvPicPr>
                            <a:picLocks noChangeAspect="1" noChangeArrowheads="1"/>
                          </pic:cNvPicPr>
                        </pic:nvPicPr>
                        <pic:blipFill>
                          <a:blip r:embed="rId41"/>
                          <a:stretch>
                            <a:fillRect/>
                          </a:stretch>
                        </pic:blipFill>
                        <pic:spPr bwMode="auto">
                          <a:xfrm>
                            <a:off x="0" y="0"/>
                            <a:ext cx="5029200" cy="3352800"/>
                          </a:xfrm>
                          <a:prstGeom prst="rect">
                            <a:avLst/>
                          </a:prstGeom>
                          <a:noFill/>
                          <a:ln w="9525">
                            <a:noFill/>
                            <a:headEnd/>
                            <a:tailEnd/>
                          </a:ln>
                        </pic:spPr>
                      </pic:pic>
                    </a:graphicData>
                  </a:graphic>
                </wp:inline>
              </w:drawing>
            </w:r>
          </w:p>
          <w:p w14:paraId="51318BF4" w14:textId="77777777" w:rsidR="00DD4DDE" w:rsidRDefault="0096555E">
            <w:pPr>
              <w:pStyle w:val="ImageCaption"/>
              <w:spacing w:before="200"/>
            </w:pPr>
            <w:r>
              <w:t>Figure 12: Median income for families with children under 18, shown as raw income and adjusted for inflation, 2014-2024, for Albemarle County, Charlottesville City, and Virginia.</w:t>
            </w:r>
          </w:p>
        </w:tc>
        <w:bookmarkEnd w:id="55"/>
      </w:tr>
    </w:tbl>
    <w:p w14:paraId="51318BF6" w14:textId="77777777" w:rsidR="00DD4DDE" w:rsidRDefault="0096555E" w:rsidP="006957ED">
      <w:pPr>
        <w:pStyle w:val="Heading3"/>
      </w:pPr>
      <w:bookmarkStart w:id="56" w:name="_Toc230089697"/>
      <w:bookmarkEnd w:id="53"/>
      <w:bookmarkEnd w:id="54"/>
      <w:r>
        <w:t>Youth Labor Force Participation and Unemployment</w:t>
      </w:r>
      <w:bookmarkEnd w:id="56"/>
    </w:p>
    <w:p w14:paraId="51318BF7" w14:textId="77777777" w:rsidR="00DD4DDE" w:rsidRDefault="0096555E" w:rsidP="00152B11">
      <w:pPr>
        <w:pStyle w:val="FirstParagraph"/>
      </w:pPr>
      <w:bookmarkStart w:id="57" w:name="X6b8d79c9d0c37601407ba800ce82c310c4a5726"/>
      <w:r>
        <w:t>Labor force participation among young people and youth unemployment can shed light on both the health of the economy and the well-being of young people. High unemployment rates for youth may suggest an unavailability of jobs for youth or a mismatch between the skills that young people possess and the skills employers are seeking.</w:t>
      </w:r>
    </w:p>
    <w:p w14:paraId="51318BF8" w14:textId="77777777" w:rsidR="00DD4DDE" w:rsidRDefault="0096555E" w:rsidP="0096555E">
      <w:pPr>
        <w:numPr>
          <w:ilvl w:val="0"/>
          <w:numId w:val="21"/>
        </w:numPr>
      </w:pPr>
      <w:r>
        <w:rPr>
          <w:b/>
          <w:bCs/>
        </w:rPr>
        <w:t>D</w:t>
      </w:r>
      <w:r>
        <w:rPr>
          <w:b/>
          <w:bCs/>
        </w:rPr>
        <w:t>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Labor force participation and unemployment do not include discouraged worker</w:t>
      </w:r>
      <w:r>
        <w:t>s who have searched for a job in the last year but have given up.</w:t>
      </w:r>
    </w:p>
    <w:p w14:paraId="51318BF9" w14:textId="77777777" w:rsidR="00DD4DDE" w:rsidRDefault="0096555E" w:rsidP="0096555E">
      <w:pPr>
        <w:numPr>
          <w:ilvl w:val="0"/>
          <w:numId w:val="21"/>
        </w:numPr>
      </w:pPr>
      <w:r>
        <w:rPr>
          <w:b/>
          <w:bCs/>
        </w:rPr>
        <w:t>How is this measured?:</w:t>
      </w:r>
      <w:r>
        <w:t xml:space="preserve"> The youth labor force participation rate is the number of 16-19 year olds who are employed or are seeking employment as a percentage of the number of residents aged 16-19. The youth unemployment rate is the number of 16-19 year olds who have reported that they do not have a job but are ready to work and have been seeking employment within the last 4 weeks as a percentage of the number of residents aged 16-19 in the labor force.</w:t>
      </w:r>
    </w:p>
    <w:p w14:paraId="51318BFA" w14:textId="77777777" w:rsidR="00DD4DDE" w:rsidRDefault="0096555E" w:rsidP="00F57CDF">
      <w:pPr>
        <w:pStyle w:val="Heading4"/>
      </w:pPr>
      <w:bookmarkStart w:id="58" w:name="notable-trends-10"/>
      <w:r>
        <w:lastRenderedPageBreak/>
        <w:t>Notable Trends</w:t>
      </w:r>
    </w:p>
    <w:p w14:paraId="51318BFB" w14:textId="77777777" w:rsidR="00DD4DDE" w:rsidRDefault="0096555E" w:rsidP="0096555E">
      <w:pPr>
        <w:numPr>
          <w:ilvl w:val="0"/>
          <w:numId w:val="22"/>
        </w:numPr>
      </w:pPr>
      <w:r>
        <w:t>Y</w:t>
      </w:r>
      <w:r>
        <w:t>outh participation in the labor force in both Charlottesville and Albemarle is below that of the state overall. In recent years, labor force participation of Charlottesville youth has grown relative to that of young people in Albemarle. In 2024, 34% of Charlottesville youth were in the labor force compared to 28% of Albemarle youth.</w:t>
      </w:r>
    </w:p>
    <w:p w14:paraId="51318BFC" w14:textId="77777777" w:rsidR="00DD4DDE" w:rsidRDefault="0096555E" w:rsidP="0096555E">
      <w:pPr>
        <w:numPr>
          <w:ilvl w:val="0"/>
          <w:numId w:val="22"/>
        </w:numPr>
      </w:pPr>
      <w:r>
        <w:t>From 2016 to 2019, the youth unemployment rate in Charlottesville jumped, peaking at 23%, while the youth unemployment rate in Albemarle fell, hovering around 8%. In recent years the youth unemployment rate has declined in Charlottesville and remained relatively steady in Albemarle.</w:t>
      </w:r>
    </w:p>
    <w:tbl>
      <w:tblPr>
        <w:tblStyle w:val="Table"/>
        <w:tblpPr w:leftFromText="180" w:rightFromText="180" w:vertAnchor="text" w:tblpY="1"/>
        <w:tblOverlap w:val="never"/>
        <w:tblW w:w="5000" w:type="pct"/>
        <w:tblLayout w:type="fixed"/>
        <w:tblLook w:val="0000" w:firstRow="0" w:lastRow="0" w:firstColumn="0" w:lastColumn="0" w:noHBand="0" w:noVBand="0"/>
      </w:tblPr>
      <w:tblGrid>
        <w:gridCol w:w="9360"/>
      </w:tblGrid>
      <w:tr w:rsidR="00DD4DDE" w14:paraId="51318BFF" w14:textId="77777777" w:rsidTr="00C20CAA">
        <w:tc>
          <w:tcPr>
            <w:tcW w:w="9360" w:type="dxa"/>
          </w:tcPr>
          <w:p w14:paraId="51318BFD" w14:textId="77777777" w:rsidR="00DD4DDE" w:rsidRDefault="0096555E" w:rsidP="00C20CAA">
            <w:pPr>
              <w:pStyle w:val="Compact"/>
              <w:jc w:val="center"/>
            </w:pPr>
            <w:bookmarkStart w:id="59" w:name="fig-youth-employ-img"/>
            <w:r>
              <w:rPr>
                <w:noProof/>
              </w:rPr>
              <w:drawing>
                <wp:inline distT="0" distB="0" distL="0" distR="0" wp14:anchorId="51318D4A" wp14:editId="33B86284">
                  <wp:extent cx="5029200" cy="3352800"/>
                  <wp:effectExtent l="0" t="0" r="0" b="0"/>
                  <wp:docPr id="1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figure_images/fig-13-percent-of-youth-16-19-p.png"/>
                          <pic:cNvPicPr>
                            <a:picLocks noChangeAspect="1" noChangeArrowheads="1"/>
                          </pic:cNvPicPr>
                        </pic:nvPicPr>
                        <pic:blipFill>
                          <a:blip r:embed="rId42"/>
                          <a:stretch>
                            <a:fillRect/>
                          </a:stretch>
                        </pic:blipFill>
                        <pic:spPr bwMode="auto">
                          <a:xfrm>
                            <a:off x="0" y="0"/>
                            <a:ext cx="5029200" cy="3352800"/>
                          </a:xfrm>
                          <a:prstGeom prst="rect">
                            <a:avLst/>
                          </a:prstGeom>
                          <a:noFill/>
                          <a:ln w="9525">
                            <a:noFill/>
                            <a:headEnd/>
                            <a:tailEnd/>
                          </a:ln>
                        </pic:spPr>
                      </pic:pic>
                    </a:graphicData>
                  </a:graphic>
                </wp:inline>
              </w:drawing>
            </w:r>
          </w:p>
          <w:p w14:paraId="51318BFE" w14:textId="77777777" w:rsidR="00DD4DDE" w:rsidRDefault="0096555E" w:rsidP="00C20CAA">
            <w:pPr>
              <w:pStyle w:val="ImageCaption"/>
              <w:spacing w:before="200"/>
            </w:pPr>
            <w:r>
              <w:t>Figure 13: Percent of youth (16-19) participating in the labor force, 2010-2024, for Albemarle County, Charlottesville City, and Virginia.</w:t>
            </w:r>
          </w:p>
        </w:tc>
        <w:bookmarkEnd w:id="59"/>
      </w:tr>
      <w:tr w:rsidR="00DD4DDE" w14:paraId="51318C02" w14:textId="77777777" w:rsidTr="00C20CAA">
        <w:tc>
          <w:tcPr>
            <w:tcW w:w="9360" w:type="dxa"/>
          </w:tcPr>
          <w:p w14:paraId="51318C00" w14:textId="77777777" w:rsidR="00DD4DDE" w:rsidRDefault="0096555E" w:rsidP="00C20CAA">
            <w:pPr>
              <w:pStyle w:val="Compact"/>
              <w:jc w:val="center"/>
            </w:pPr>
            <w:bookmarkStart w:id="60" w:name="fig-youth-unemploy-img"/>
            <w:r>
              <w:rPr>
                <w:noProof/>
              </w:rPr>
              <w:lastRenderedPageBreak/>
              <w:drawing>
                <wp:inline distT="0" distB="0" distL="0" distR="0" wp14:anchorId="51318D4C" wp14:editId="1BB3C4C0">
                  <wp:extent cx="5029200" cy="3352800"/>
                  <wp:effectExtent l="0" t="0" r="0" b="0"/>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figure_images/fig-14-percent-of-youth-16-19-i.png"/>
                          <pic:cNvPicPr>
                            <a:picLocks noChangeAspect="1" noChangeArrowheads="1"/>
                          </pic:cNvPicPr>
                        </pic:nvPicPr>
                        <pic:blipFill>
                          <a:blip r:embed="rId43"/>
                          <a:stretch>
                            <a:fillRect/>
                          </a:stretch>
                        </pic:blipFill>
                        <pic:spPr bwMode="auto">
                          <a:xfrm>
                            <a:off x="0" y="0"/>
                            <a:ext cx="5029200" cy="3352800"/>
                          </a:xfrm>
                          <a:prstGeom prst="rect">
                            <a:avLst/>
                          </a:prstGeom>
                          <a:noFill/>
                          <a:ln w="9525">
                            <a:noFill/>
                            <a:headEnd/>
                            <a:tailEnd/>
                          </a:ln>
                        </pic:spPr>
                      </pic:pic>
                    </a:graphicData>
                  </a:graphic>
                </wp:inline>
              </w:drawing>
            </w:r>
          </w:p>
          <w:p w14:paraId="51318C01" w14:textId="77777777" w:rsidR="00DD4DDE" w:rsidRDefault="0096555E" w:rsidP="00C20CAA">
            <w:pPr>
              <w:pStyle w:val="ImageCaption"/>
              <w:spacing w:before="200"/>
            </w:pPr>
            <w:r>
              <w:t>Figure 14: Percent of youth (16-19) in the labor force experiencing unemployment, 2010-2024, for Albemarle County, Charlottesville City, and Virginia.</w:t>
            </w:r>
          </w:p>
        </w:tc>
        <w:bookmarkEnd w:id="60"/>
      </w:tr>
    </w:tbl>
    <w:p w14:paraId="51318C03" w14:textId="77777777" w:rsidR="00DD4DDE" w:rsidRDefault="0096555E" w:rsidP="006957ED">
      <w:pPr>
        <w:pStyle w:val="Heading3"/>
      </w:pPr>
      <w:bookmarkStart w:id="61" w:name="_Toc230089698"/>
      <w:bookmarkEnd w:id="57"/>
      <w:bookmarkEnd w:id="58"/>
      <w:r>
        <w:lastRenderedPageBreak/>
        <w:t>Children Living below Poverty Threshold</w:t>
      </w:r>
      <w:bookmarkEnd w:id="61"/>
    </w:p>
    <w:p w14:paraId="51318C04" w14:textId="77777777" w:rsidR="00DD4DDE" w:rsidRDefault="0096555E" w:rsidP="00152B11">
      <w:pPr>
        <w:pStyle w:val="FirstParagraph"/>
      </w:pPr>
      <w:bookmarkStart w:id="62" w:name="children-living-below-poverty-threshold"/>
      <w:r>
        <w:t>When children grow up in poverty, they are more likely to have inadequate nutrition, limited access to health care services, unstable housing, lower quality of schools, and exposure to environmental toxins, all of which have short- and long-term physical and mental impacts.</w:t>
      </w:r>
    </w:p>
    <w:p w14:paraId="51318C05" w14:textId="77777777" w:rsidR="00DD4DDE" w:rsidRDefault="0096555E" w:rsidP="0096555E">
      <w:pPr>
        <w:numPr>
          <w:ilvl w:val="0"/>
          <w:numId w:val="23"/>
        </w:numPr>
      </w:pPr>
      <w:r>
        <w:rPr>
          <w:b/>
          <w:bCs/>
        </w:rPr>
        <w:t>D</w:t>
      </w:r>
      <w:r>
        <w:rPr>
          <w:b/>
          <w:bCs/>
        </w:rPr>
        <w:t>ata considerations:</w:t>
      </w:r>
      <w:r>
        <w:t xml:space="preserve"> According to the Census, Small Area Income and Poverty Estimates (SAIPE) “are not direct counts from enumerations or administrative records, nor direct estimates from sample surveys. Instead, for counties and states, we model income and poverty estimates by combining survey data with population estimates and administrative records.” As such, these estimates have a degree of uncertainty associated with them.</w:t>
      </w:r>
    </w:p>
    <w:p w14:paraId="51318C06" w14:textId="77777777" w:rsidR="00DD4DDE" w:rsidRDefault="0096555E" w:rsidP="0096555E">
      <w:pPr>
        <w:numPr>
          <w:ilvl w:val="0"/>
          <w:numId w:val="23"/>
        </w:numPr>
      </w:pPr>
      <w:r>
        <w:rPr>
          <w:b/>
          <w:bCs/>
        </w:rPr>
        <w:t>How is this measured?:</w:t>
      </w:r>
      <w:r>
        <w:t xml:space="preserve"> This metric is measured as a percentage of families with incomes below the yearly poverty level out of all families. In 2024, the federal poverty level for a family of four was $31,200.</w:t>
      </w:r>
    </w:p>
    <w:p w14:paraId="51318C07" w14:textId="77777777" w:rsidR="00DD4DDE" w:rsidRDefault="0096555E" w:rsidP="00F57CDF">
      <w:pPr>
        <w:pStyle w:val="Heading4"/>
      </w:pPr>
      <w:bookmarkStart w:id="63" w:name="notable-trends-11"/>
      <w:r>
        <w:t>Notable Trends</w:t>
      </w:r>
    </w:p>
    <w:p w14:paraId="51318C08" w14:textId="77777777" w:rsidR="00DD4DDE" w:rsidRDefault="0096555E" w:rsidP="0096555E">
      <w:pPr>
        <w:numPr>
          <w:ilvl w:val="0"/>
          <w:numId w:val="24"/>
        </w:numPr>
      </w:pPr>
      <w:r>
        <w:t>I</w:t>
      </w:r>
      <w:r>
        <w:t>n Charlottesville in 2024, the percent of children in poverty was the lowest it has been in the last decade, at 15%, but still remained higher than in Virginia overall; the child poverty rate in Albemarle is consistently lower than that in the state, and has remained near its lowest rate in recent years, at 7% in 2024.</w:t>
      </w:r>
    </w:p>
    <w:p w14:paraId="51318C09" w14:textId="77777777" w:rsidR="00DD4DDE" w:rsidRDefault="0096555E" w:rsidP="0096555E">
      <w:pPr>
        <w:numPr>
          <w:ilvl w:val="0"/>
          <w:numId w:val="24"/>
        </w:numPr>
      </w:pPr>
      <w:r>
        <w:t>Although the percentage in the county is lower, due to the difference in population between the City of Charlottesville and Albemarle County, it represents a higher number of children. In 2024, the estimated count in Charlottesville was 1,103 compared to 1,576 in Albemarle.</w:t>
      </w:r>
    </w:p>
    <w:p w14:paraId="51318C0A" w14:textId="7BE2234F" w:rsidR="00DD4DDE" w:rsidRDefault="0096555E" w:rsidP="0096555E">
      <w:pPr>
        <w:numPr>
          <w:ilvl w:val="0"/>
          <w:numId w:val="24"/>
        </w:numPr>
      </w:pPr>
      <w:r>
        <w:t xml:space="preserve">In 2020, Charlottesville, Albemarle, and Virginia experienced low rates of child poverty, as the stimulus payments and child tax credit expansion were in place to provide relief in the midst of the COVID-19 Pandemic. </w:t>
      </w:r>
      <w:hyperlink r:id="rId44">
        <w:r>
          <w:rPr>
            <w:rStyle w:val="Hyperlink"/>
          </w:rPr>
          <w:t>These policies are widely credited with keeping 3.7 million children out of poverty nationwide</w:t>
        </w:r>
      </w:hyperlink>
      <w:r>
        <w:t>.</w:t>
      </w:r>
    </w:p>
    <w:tbl>
      <w:tblPr>
        <w:tblStyle w:val="Table"/>
        <w:tblW w:w="5000" w:type="pct"/>
        <w:tblLayout w:type="fixed"/>
        <w:tblLook w:val="0000" w:firstRow="0" w:lastRow="0" w:firstColumn="0" w:lastColumn="0" w:noHBand="0" w:noVBand="0"/>
      </w:tblPr>
      <w:tblGrid>
        <w:gridCol w:w="9360"/>
      </w:tblGrid>
      <w:tr w:rsidR="00DD4DDE" w14:paraId="51318C0D" w14:textId="77777777">
        <w:tc>
          <w:tcPr>
            <w:tcW w:w="7920" w:type="dxa"/>
          </w:tcPr>
          <w:p w14:paraId="51318C0B" w14:textId="77777777" w:rsidR="00DD4DDE" w:rsidRDefault="0096555E">
            <w:pPr>
              <w:pStyle w:val="Compact"/>
              <w:jc w:val="center"/>
            </w:pPr>
            <w:bookmarkStart w:id="64" w:name="fig-child-pov-img"/>
            <w:r>
              <w:rPr>
                <w:noProof/>
              </w:rPr>
              <w:lastRenderedPageBreak/>
              <w:drawing>
                <wp:inline distT="0" distB="0" distL="0" distR="0" wp14:anchorId="51318D4E" wp14:editId="04FA1531">
                  <wp:extent cx="5029200" cy="3352800"/>
                  <wp:effectExtent l="0" t="0" r="0" b="0"/>
                  <wp:docPr id="1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figure_images/fig-15-percent-of-children-livi.png"/>
                          <pic:cNvPicPr>
                            <a:picLocks noChangeAspect="1" noChangeArrowheads="1"/>
                          </pic:cNvPicPr>
                        </pic:nvPicPr>
                        <pic:blipFill>
                          <a:blip r:embed="rId45"/>
                          <a:stretch>
                            <a:fillRect/>
                          </a:stretch>
                        </pic:blipFill>
                        <pic:spPr bwMode="auto">
                          <a:xfrm>
                            <a:off x="0" y="0"/>
                            <a:ext cx="5029200" cy="3352800"/>
                          </a:xfrm>
                          <a:prstGeom prst="rect">
                            <a:avLst/>
                          </a:prstGeom>
                          <a:noFill/>
                          <a:ln w="9525">
                            <a:noFill/>
                            <a:headEnd/>
                            <a:tailEnd/>
                          </a:ln>
                        </pic:spPr>
                      </pic:pic>
                    </a:graphicData>
                  </a:graphic>
                </wp:inline>
              </w:drawing>
            </w:r>
          </w:p>
          <w:p w14:paraId="51318C0C" w14:textId="77777777" w:rsidR="00DD4DDE" w:rsidRDefault="0096555E">
            <w:pPr>
              <w:pStyle w:val="ImageCaption"/>
              <w:spacing w:before="200"/>
            </w:pPr>
            <w:r>
              <w:t>Figure 15: Percent of children living below the poverty threshold, 2010-2024, for Albemarle County, Charlottesville City, and Virginia.</w:t>
            </w:r>
          </w:p>
        </w:tc>
        <w:bookmarkEnd w:id="64"/>
      </w:tr>
    </w:tbl>
    <w:p w14:paraId="51318C0E" w14:textId="77777777" w:rsidR="00DD4DDE" w:rsidRDefault="0096555E" w:rsidP="006957ED">
      <w:pPr>
        <w:pStyle w:val="Heading3"/>
      </w:pPr>
      <w:bookmarkStart w:id="65" w:name="_Toc230089699"/>
      <w:bookmarkEnd w:id="62"/>
      <w:bookmarkEnd w:id="63"/>
      <w:r>
        <w:t>Students Identified as Economically Disadvantaged</w:t>
      </w:r>
      <w:bookmarkEnd w:id="65"/>
    </w:p>
    <w:p w14:paraId="51318C0F" w14:textId="77AB70AE" w:rsidR="00DD4DDE" w:rsidRDefault="0096555E" w:rsidP="00152B11">
      <w:pPr>
        <w:pStyle w:val="FirstParagraph"/>
      </w:pPr>
      <w:bookmarkStart w:id="66" w:name="X49744413ab67353a51c84172cde23cbe8ec7425"/>
      <w:r>
        <w:t>Students in low-income households face additional challenges that can hinder their learning. Students are identified as economically disadvantaged if they meet one or more of the following conditions: eligible for free or reduced meals (family income is within 130% or 185% of federal poverty threshold), are eligible for TANF, Medicaid and/or Head Start, or identified as from a migrant family, experiencing homelessness, or in foster care. This measure is an indicator of low-income families. In addition, educ</w:t>
      </w:r>
      <w:r>
        <w:t xml:space="preserve">ation funding is influenced by the presence of economically disadvantaged students </w:t>
      </w:r>
      <w:hyperlink r:id="rId46">
        <w:r>
          <w:rPr>
            <w:rStyle w:val="Hyperlink"/>
          </w:rPr>
          <w:t>via the At-Risk Add-On</w:t>
        </w:r>
      </w:hyperlink>
      <w:r>
        <w:t>.</w:t>
      </w:r>
    </w:p>
    <w:p w14:paraId="51318C10" w14:textId="5B71766E" w:rsidR="00DD4DDE" w:rsidRDefault="0096555E" w:rsidP="0096555E">
      <w:pPr>
        <w:numPr>
          <w:ilvl w:val="0"/>
          <w:numId w:val="25"/>
        </w:numPr>
      </w:pPr>
      <w:r>
        <w:rPr>
          <w:b/>
          <w:bCs/>
        </w:rPr>
        <w:t>D</w:t>
      </w:r>
      <w:r>
        <w:rPr>
          <w:b/>
          <w:bCs/>
        </w:rPr>
        <w:t>ata considerations:</w:t>
      </w:r>
      <w:r>
        <w:t xml:space="preserve"> This metric can be used to provide a picture of the current composition of students from low-income families to the extent economic need has been revealed to and verified by the schools. Historically, eligibility for free or reduced lunch has been one of the most frequent indicators of economic disadvantage; the National School Lunch Program has been a key policy to reduce hunger for children from economically insecure families. The USDA Community Eligibility Provision (CEP) was created </w:t>
      </w:r>
      <w:r>
        <w:t xml:space="preserve">in 2010 to allow high-poverty schools an opportunity to apply to offer all students at a school free- or reduced-price-meals. </w:t>
      </w:r>
      <w:hyperlink r:id="rId47">
        <w:r>
          <w:rPr>
            <w:rStyle w:val="Hyperlink"/>
          </w:rPr>
          <w:t>Charlottesville City Schools have been participating in CEP since 2018, and Albemarle County Public Schools began participating in 2022</w:t>
        </w:r>
      </w:hyperlink>
      <w:r>
        <w:t>.</w:t>
      </w:r>
    </w:p>
    <w:p w14:paraId="51318C11" w14:textId="77777777" w:rsidR="00DD4DDE" w:rsidRDefault="0096555E" w:rsidP="0096555E">
      <w:pPr>
        <w:numPr>
          <w:ilvl w:val="0"/>
          <w:numId w:val="25"/>
        </w:numPr>
      </w:pPr>
      <w:r>
        <w:rPr>
          <w:b/>
          <w:bCs/>
        </w:rPr>
        <w:lastRenderedPageBreak/>
        <w:t>How is this measured?:</w:t>
      </w:r>
      <w:r>
        <w:t xml:space="preserve"> This measures the count of students identified as economically disadvantaged as a percentage of all students in the school division.</w:t>
      </w:r>
    </w:p>
    <w:p w14:paraId="51318C12" w14:textId="77777777" w:rsidR="00DD4DDE" w:rsidRDefault="0096555E" w:rsidP="00F57CDF">
      <w:pPr>
        <w:pStyle w:val="Heading4"/>
      </w:pPr>
      <w:bookmarkStart w:id="67" w:name="notable-trends-12"/>
      <w:r>
        <w:t>Notable Trends</w:t>
      </w:r>
    </w:p>
    <w:p w14:paraId="51318C13" w14:textId="77777777" w:rsidR="00DD4DDE" w:rsidRDefault="0096555E" w:rsidP="0096555E">
      <w:pPr>
        <w:numPr>
          <w:ilvl w:val="0"/>
          <w:numId w:val="26"/>
        </w:numPr>
      </w:pPr>
      <w:r>
        <w:t>T</w:t>
      </w:r>
      <w:r>
        <w:t>he percentage of economically disadvantaged students has been considerably higher in Charlottesville City Schools throughout this period, peaking at 63% in 2023-24 and falling to 42% in the 2025-26 school year.</w:t>
      </w:r>
    </w:p>
    <w:p w14:paraId="51318C14" w14:textId="77777777" w:rsidR="00DD4DDE" w:rsidRDefault="0096555E" w:rsidP="0096555E">
      <w:pPr>
        <w:numPr>
          <w:ilvl w:val="0"/>
          <w:numId w:val="26"/>
        </w:numPr>
      </w:pPr>
      <w:r>
        <w:t>In Albemarle County Public Schools, the percentage has ranged from 24-32% over the period, lowering slightly to 27% in the 2025-26 school year.</w:t>
      </w:r>
    </w:p>
    <w:p w14:paraId="51318C15" w14:textId="77777777" w:rsidR="00DD4DDE" w:rsidRDefault="0096555E" w:rsidP="0096555E">
      <w:pPr>
        <w:numPr>
          <w:ilvl w:val="0"/>
          <w:numId w:val="26"/>
        </w:numPr>
      </w:pPr>
      <w:r>
        <w:t>Although the percentage in the county is lower, due to the difference in population between the City of Charlottesville and Albemarle County, it represents a higher number of children. In the 2025-26 school year, the count in Charlottesville was 1,823 compared to 3,778 in Albemarle.</w:t>
      </w:r>
    </w:p>
    <w:tbl>
      <w:tblPr>
        <w:tblStyle w:val="Table"/>
        <w:tblW w:w="5000" w:type="pct"/>
        <w:tblLayout w:type="fixed"/>
        <w:tblLook w:val="0000" w:firstRow="0" w:lastRow="0" w:firstColumn="0" w:lastColumn="0" w:noHBand="0" w:noVBand="0"/>
      </w:tblPr>
      <w:tblGrid>
        <w:gridCol w:w="9360"/>
      </w:tblGrid>
      <w:tr w:rsidR="00DD4DDE" w14:paraId="51318C18" w14:textId="77777777">
        <w:tc>
          <w:tcPr>
            <w:tcW w:w="7920" w:type="dxa"/>
          </w:tcPr>
          <w:p w14:paraId="51318C16" w14:textId="77777777" w:rsidR="00DD4DDE" w:rsidRDefault="0096555E">
            <w:pPr>
              <w:pStyle w:val="Compact"/>
              <w:jc w:val="center"/>
            </w:pPr>
            <w:bookmarkStart w:id="68" w:name="fig-econ-disadv-img"/>
            <w:r>
              <w:rPr>
                <w:noProof/>
              </w:rPr>
              <w:drawing>
                <wp:inline distT="0" distB="0" distL="0" distR="0" wp14:anchorId="51318D50" wp14:editId="2E1E881F">
                  <wp:extent cx="5029200" cy="3352800"/>
                  <wp:effectExtent l="0" t="0" r="0" b="0"/>
                  <wp:docPr id="1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figure_images/fig-16-percent-of-students-iden.png"/>
                          <pic:cNvPicPr>
                            <a:picLocks noChangeAspect="1" noChangeArrowheads="1"/>
                          </pic:cNvPicPr>
                        </pic:nvPicPr>
                        <pic:blipFill>
                          <a:blip r:embed="rId48"/>
                          <a:stretch>
                            <a:fillRect/>
                          </a:stretch>
                        </pic:blipFill>
                        <pic:spPr bwMode="auto">
                          <a:xfrm>
                            <a:off x="0" y="0"/>
                            <a:ext cx="5029200" cy="3352800"/>
                          </a:xfrm>
                          <a:prstGeom prst="rect">
                            <a:avLst/>
                          </a:prstGeom>
                          <a:noFill/>
                          <a:ln w="9525">
                            <a:noFill/>
                            <a:headEnd/>
                            <a:tailEnd/>
                          </a:ln>
                        </pic:spPr>
                      </pic:pic>
                    </a:graphicData>
                  </a:graphic>
                </wp:inline>
              </w:drawing>
            </w:r>
          </w:p>
          <w:p w14:paraId="51318C17" w14:textId="77777777" w:rsidR="00DD4DDE" w:rsidRDefault="0096555E">
            <w:pPr>
              <w:pStyle w:val="ImageCaption"/>
              <w:spacing w:before="200"/>
            </w:pPr>
            <w:r>
              <w:t>Figure 16: Percent of students identified as economically disadvantaged for the 2009-10 through 2025-26 school years in ACPS, CCS, and Virginia public schools.</w:t>
            </w:r>
          </w:p>
        </w:tc>
        <w:bookmarkEnd w:id="68"/>
      </w:tr>
    </w:tbl>
    <w:p w14:paraId="51318C19" w14:textId="45C641F0" w:rsidR="00DD4DDE" w:rsidRDefault="0096555E" w:rsidP="006957ED">
      <w:pPr>
        <w:pStyle w:val="Heading3"/>
      </w:pPr>
      <w:bookmarkStart w:id="69" w:name="_Toc230089700"/>
      <w:bookmarkEnd w:id="66"/>
      <w:bookmarkEnd w:id="67"/>
      <w:r>
        <w:t>Children in Two-Parent Households</w:t>
      </w:r>
      <w:bookmarkEnd w:id="69"/>
    </w:p>
    <w:p w14:paraId="51318C1A" w14:textId="6B909B07" w:rsidR="00DD4DDE" w:rsidRDefault="0096555E" w:rsidP="00152B11">
      <w:pPr>
        <w:pStyle w:val="FirstParagraph"/>
      </w:pPr>
      <w:bookmarkStart w:id="70" w:name="children-in-two-parent-households"/>
      <w:r>
        <w:lastRenderedPageBreak/>
        <w:t xml:space="preserve">Research suggests children living in two-parent households, on average, are more advantaged than single-parent households. Married parent households are typically better off financially and family structure can influence children’s socioemotional development and </w:t>
      </w:r>
      <w:hyperlink r:id="rId49">
        <w:r>
          <w:rPr>
            <w:rStyle w:val="Hyperlink"/>
          </w:rPr>
          <w:t>academic achievement</w:t>
        </w:r>
      </w:hyperlink>
      <w:r>
        <w:t>. Lower rates of two-parent households can be indicators of higher rates of divorce/separation; they can be further impacted by incarceration trends as the carceral systems remove parents from the community.</w:t>
      </w:r>
    </w:p>
    <w:p w14:paraId="51318C1B" w14:textId="77777777" w:rsidR="00DD4DDE" w:rsidRDefault="0096555E" w:rsidP="0096555E">
      <w:pPr>
        <w:numPr>
          <w:ilvl w:val="0"/>
          <w:numId w:val="27"/>
        </w:numPr>
      </w:pPr>
      <w:r>
        <w:rPr>
          <w:b/>
          <w:bCs/>
        </w:rPr>
        <w:t>D</w:t>
      </w:r>
      <w:r>
        <w:rPr>
          <w:b/>
          <w:bCs/>
        </w:rPr>
        <w:t>ata considerations:</w:t>
      </w:r>
      <w:r>
        <w:t xml:space="preserve"> This metric is derived from the U.S. Census Bureau’s American Community Survey (ACS) 5-year estimates, a continuous survey given to a sample of addresses each month. The year listed for ACS measures is the last year of the 5-year period, i.e. “2024” represents the “2020-2024” 5-year period. As a survey, rather than a census, the ACS estimates have a degree of uncertainty, or sampling error, associated with them. In addition, this measure does not include children living in households wit</w:t>
      </w:r>
      <w:r>
        <w:t>h two adults who are not both parents of the child as children living with two parents.</w:t>
      </w:r>
    </w:p>
    <w:p w14:paraId="51318C1C" w14:textId="77777777" w:rsidR="00DD4DDE" w:rsidRDefault="0096555E" w:rsidP="0096555E">
      <w:pPr>
        <w:numPr>
          <w:ilvl w:val="0"/>
          <w:numId w:val="27"/>
        </w:numPr>
      </w:pPr>
      <w:r>
        <w:rPr>
          <w:b/>
          <w:bCs/>
        </w:rPr>
        <w:t>How is this measured?:</w:t>
      </w:r>
      <w:r>
        <w:t xml:space="preserve"> The percent of children living with two parents is derived by totaling children ages 0-17 where child/ren are living with both parents and dividing over the total number of children under 18 years in families and subfamilies (multiplied by 100).</w:t>
      </w:r>
    </w:p>
    <w:p w14:paraId="51318C1D" w14:textId="77777777" w:rsidR="00DD4DDE" w:rsidRDefault="0096555E" w:rsidP="00F57CDF">
      <w:pPr>
        <w:pStyle w:val="Heading4"/>
      </w:pPr>
      <w:bookmarkStart w:id="71" w:name="notable-trends-13"/>
      <w:r>
        <w:t>Notable Trends</w:t>
      </w:r>
    </w:p>
    <w:p w14:paraId="51318C1E" w14:textId="77777777" w:rsidR="00DD4DDE" w:rsidRDefault="0096555E" w:rsidP="0096555E">
      <w:pPr>
        <w:numPr>
          <w:ilvl w:val="0"/>
          <w:numId w:val="28"/>
        </w:numPr>
      </w:pPr>
      <w:r>
        <w:t>A</w:t>
      </w:r>
      <w:r>
        <w:t>lbemarle consistently has a larger share of two-parent households relative to Charlottesville. County trends show a slight decline in recent years, from 79% in 2014 to 73% in 2024.</w:t>
      </w:r>
    </w:p>
    <w:p w14:paraId="51318C1F" w14:textId="77777777" w:rsidR="00DD4DDE" w:rsidRDefault="0096555E" w:rsidP="0096555E">
      <w:pPr>
        <w:numPr>
          <w:ilvl w:val="0"/>
          <w:numId w:val="28"/>
        </w:numPr>
      </w:pPr>
      <w:r>
        <w:t>In Charlottesville, the percent of two-parent households fell to a low of 58% in 2014, before gradually rising back to 63% in 2024.</w:t>
      </w:r>
    </w:p>
    <w:tbl>
      <w:tblPr>
        <w:tblStyle w:val="Table"/>
        <w:tblW w:w="5000" w:type="pct"/>
        <w:tblLayout w:type="fixed"/>
        <w:tblLook w:val="0000" w:firstRow="0" w:lastRow="0" w:firstColumn="0" w:lastColumn="0" w:noHBand="0" w:noVBand="0"/>
      </w:tblPr>
      <w:tblGrid>
        <w:gridCol w:w="9360"/>
      </w:tblGrid>
      <w:tr w:rsidR="00DD4DDE" w14:paraId="51318C22" w14:textId="77777777">
        <w:tc>
          <w:tcPr>
            <w:tcW w:w="7920" w:type="dxa"/>
          </w:tcPr>
          <w:p w14:paraId="51318C20" w14:textId="77777777" w:rsidR="00DD4DDE" w:rsidRDefault="0096555E">
            <w:pPr>
              <w:pStyle w:val="Compact"/>
              <w:jc w:val="center"/>
            </w:pPr>
            <w:bookmarkStart w:id="72" w:name="fig-two-parent-img"/>
            <w:r>
              <w:rPr>
                <w:noProof/>
              </w:rPr>
              <w:lastRenderedPageBreak/>
              <w:drawing>
                <wp:inline distT="0" distB="0" distL="0" distR="0" wp14:anchorId="51318D52" wp14:editId="49736FBF">
                  <wp:extent cx="5029200" cy="3352800"/>
                  <wp:effectExtent l="0" t="0" r="0" b="0"/>
                  <wp:docPr id="1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figure_images/fig-17-percent-of-children-livi.png"/>
                          <pic:cNvPicPr>
                            <a:picLocks noChangeAspect="1" noChangeArrowheads="1"/>
                          </pic:cNvPicPr>
                        </pic:nvPicPr>
                        <pic:blipFill>
                          <a:blip r:embed="rId50"/>
                          <a:stretch>
                            <a:fillRect/>
                          </a:stretch>
                        </pic:blipFill>
                        <pic:spPr bwMode="auto">
                          <a:xfrm>
                            <a:off x="0" y="0"/>
                            <a:ext cx="5029200" cy="3352800"/>
                          </a:xfrm>
                          <a:prstGeom prst="rect">
                            <a:avLst/>
                          </a:prstGeom>
                          <a:noFill/>
                          <a:ln w="9525">
                            <a:noFill/>
                            <a:headEnd/>
                            <a:tailEnd/>
                          </a:ln>
                        </pic:spPr>
                      </pic:pic>
                    </a:graphicData>
                  </a:graphic>
                </wp:inline>
              </w:drawing>
            </w:r>
          </w:p>
          <w:p w14:paraId="51318C21" w14:textId="77777777" w:rsidR="00DD4DDE" w:rsidRDefault="0096555E">
            <w:pPr>
              <w:pStyle w:val="ImageCaption"/>
              <w:spacing w:before="200"/>
            </w:pPr>
            <w:r>
              <w:t>Figure 17: Percent of children living in a two-parent household, 2010-2024, for Albemarle County, Charlottesville City, and Virginia.</w:t>
            </w:r>
          </w:p>
        </w:tc>
        <w:bookmarkEnd w:id="72"/>
      </w:tr>
    </w:tbl>
    <w:p w14:paraId="51318C23" w14:textId="77777777" w:rsidR="00DD4DDE" w:rsidRDefault="0096555E" w:rsidP="006957ED">
      <w:pPr>
        <w:pStyle w:val="Heading3"/>
      </w:pPr>
      <w:bookmarkStart w:id="73" w:name="_Toc230089701"/>
      <w:bookmarkEnd w:id="70"/>
      <w:bookmarkEnd w:id="71"/>
      <w:r>
        <w:t xml:space="preserve">Assessments and Investigations by Child Protective </w:t>
      </w:r>
      <w:r>
        <w:lastRenderedPageBreak/>
        <w:t>Services</w:t>
      </w:r>
      <w:bookmarkEnd w:id="73"/>
    </w:p>
    <w:p w14:paraId="51318C24" w14:textId="5ED3F947" w:rsidR="00DD4DDE" w:rsidRDefault="0096555E" w:rsidP="00152B11">
      <w:pPr>
        <w:pStyle w:val="FirstParagraph"/>
      </w:pPr>
      <w:bookmarkStart w:id="74" w:name="Xdb087d9f20de13ecc539fed3313e249b066ef76"/>
      <w:r>
        <w:t xml:space="preserve">Reports of potential child neglect or abuse are one indicator of child wellbeing and may signal that more or fewer children are being identified as potentially at risk or that there is greater awareness of the signs of abuse and neglect within the community. Childhood maltreatment, in addition to having an immediate and negative impact on children, has been linked to later </w:t>
      </w:r>
      <w:hyperlink r:id="rId51">
        <w:r>
          <w:rPr>
            <w:rStyle w:val="Hyperlink"/>
          </w:rPr>
          <w:t>physical, psychological, and behavioral consequences</w:t>
        </w:r>
      </w:hyperlink>
      <w:r>
        <w:t>.</w:t>
      </w:r>
    </w:p>
    <w:p w14:paraId="51318C25" w14:textId="292026CB" w:rsidR="00DD4DDE" w:rsidRDefault="0096555E" w:rsidP="0096555E">
      <w:pPr>
        <w:numPr>
          <w:ilvl w:val="0"/>
          <w:numId w:val="29"/>
        </w:numPr>
      </w:pPr>
      <w:r>
        <w:rPr>
          <w:b/>
          <w:bCs/>
        </w:rPr>
        <w:t>D</w:t>
      </w:r>
      <w:r>
        <w:rPr>
          <w:b/>
          <w:bCs/>
        </w:rPr>
        <w:t>ata considerations:</w:t>
      </w:r>
      <w:r>
        <w:t xml:space="preserve"> Child abuse and neglect referrals are made to Child Protective Services who make a determination of whether the referral meets the threshold and criteria for further action and, if so, whether to pursue a family assessment or an investigation. As such, this measure is not reporting the substantiated occurrence of neglect or abuse, but the valid reporting of potential neglect or abuse. These data, then, capture only cases that have been reported to CPS and screened in by social services. </w:t>
      </w:r>
      <w:r>
        <w:t xml:space="preserve">Reports to CPS require someone to observe or evaluate behavior as meeting a threshold of neglect or abuse. </w:t>
      </w:r>
      <w:proofErr w:type="gramStart"/>
      <w:r>
        <w:t>The majority of</w:t>
      </w:r>
      <w:proofErr w:type="gramEnd"/>
      <w:r>
        <w:t xml:space="preserve"> accepted referrals to CPS are made for “physical neglect,” an occurrence open to considerable interpretation as </w:t>
      </w:r>
      <w:hyperlink r:id="rId52">
        <w:r>
          <w:rPr>
            <w:rStyle w:val="Hyperlink"/>
          </w:rPr>
          <w:t>research has demonstrated the deep overlap between the conditions of poverty and of child neglect</w:t>
        </w:r>
      </w:hyperlink>
      <w:r>
        <w:t>.</w:t>
      </w:r>
    </w:p>
    <w:p w14:paraId="51318C26" w14:textId="77777777" w:rsidR="00DD4DDE" w:rsidRDefault="0096555E" w:rsidP="0096555E">
      <w:pPr>
        <w:numPr>
          <w:ilvl w:val="0"/>
          <w:numId w:val="29"/>
        </w:numPr>
      </w:pPr>
      <w:r>
        <w:rPr>
          <w:b/>
          <w:bCs/>
        </w:rPr>
        <w:t>How is this measured?:</w:t>
      </w:r>
      <w:r>
        <w:t xml:space="preserve"> This metric captures the number of referrals to Child Protective Services accepted for assessment or investigation in Virginia, regardless of outcome, over the number of children aged 0-17 in the area and multiplied by 1,000.</w:t>
      </w:r>
    </w:p>
    <w:p w14:paraId="51318C27" w14:textId="77777777" w:rsidR="00DD4DDE" w:rsidRDefault="0096555E" w:rsidP="00F57CDF">
      <w:pPr>
        <w:pStyle w:val="Heading4"/>
      </w:pPr>
      <w:bookmarkStart w:id="75" w:name="notable-trends-14"/>
      <w:r>
        <w:t>Notable Trends</w:t>
      </w:r>
    </w:p>
    <w:p w14:paraId="51318C28" w14:textId="77777777" w:rsidR="00DD4DDE" w:rsidRDefault="0096555E" w:rsidP="0096555E">
      <w:pPr>
        <w:numPr>
          <w:ilvl w:val="0"/>
          <w:numId w:val="30"/>
        </w:numPr>
      </w:pPr>
      <w:r>
        <w:t>T</w:t>
      </w:r>
      <w:r>
        <w:t>he rate of child neglect and abuse assessments and investigations has fluctuated in both Charlottesville and Albemarle but is consistently higher in Charlottesville. Poverty has been consistently linked to judgments of neglect used in child welfare, and the rate of poverty is considerably lower in Albemarle than in Charlottesville.</w:t>
      </w:r>
    </w:p>
    <w:p w14:paraId="51318C29" w14:textId="77777777" w:rsidR="00DD4DDE" w:rsidRDefault="0096555E" w:rsidP="0096555E">
      <w:pPr>
        <w:numPr>
          <w:ilvl w:val="0"/>
          <w:numId w:val="30"/>
        </w:numPr>
      </w:pPr>
      <w:r>
        <w:t>In Charlottesville, the rate has generally declined from 47 per 1,000 children in 2017 to 25 per 1,000 in 2024.</w:t>
      </w:r>
    </w:p>
    <w:p w14:paraId="51318C2A" w14:textId="77777777" w:rsidR="00DD4DDE" w:rsidRDefault="0096555E" w:rsidP="0096555E">
      <w:pPr>
        <w:numPr>
          <w:ilvl w:val="0"/>
          <w:numId w:val="30"/>
        </w:numPr>
      </w:pPr>
      <w:r>
        <w:t>The rate in Albemarle has seen a rise in this period, from a low of 12 per 1,000 in 2011 up to 20 per 1,000 in 2024.</w:t>
      </w:r>
    </w:p>
    <w:tbl>
      <w:tblPr>
        <w:tblStyle w:val="Table"/>
        <w:tblW w:w="5000" w:type="pct"/>
        <w:tblLayout w:type="fixed"/>
        <w:tblLook w:val="0000" w:firstRow="0" w:lastRow="0" w:firstColumn="0" w:lastColumn="0" w:noHBand="0" w:noVBand="0"/>
      </w:tblPr>
      <w:tblGrid>
        <w:gridCol w:w="9360"/>
      </w:tblGrid>
      <w:tr w:rsidR="00DD4DDE" w14:paraId="51318C2D" w14:textId="77777777">
        <w:tc>
          <w:tcPr>
            <w:tcW w:w="7920" w:type="dxa"/>
          </w:tcPr>
          <w:p w14:paraId="51318C2B" w14:textId="77777777" w:rsidR="00DD4DDE" w:rsidRDefault="0096555E">
            <w:pPr>
              <w:pStyle w:val="Compact"/>
              <w:jc w:val="center"/>
            </w:pPr>
            <w:bookmarkStart w:id="76" w:name="fig-series-rate-img"/>
            <w:r>
              <w:rPr>
                <w:noProof/>
              </w:rPr>
              <w:lastRenderedPageBreak/>
              <w:drawing>
                <wp:inline distT="0" distB="0" distL="0" distR="0" wp14:anchorId="51318D54" wp14:editId="52D8C803">
                  <wp:extent cx="5029200" cy="3352800"/>
                  <wp:effectExtent l="0" t="0" r="0" b="0"/>
                  <wp:docPr id="1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descr="figure_images/fig-18-referrals-to-child-prote.png"/>
                          <pic:cNvPicPr>
                            <a:picLocks noChangeAspect="1" noChangeArrowheads="1"/>
                          </pic:cNvPicPr>
                        </pic:nvPicPr>
                        <pic:blipFill>
                          <a:blip r:embed="rId53"/>
                          <a:stretch>
                            <a:fillRect/>
                          </a:stretch>
                        </pic:blipFill>
                        <pic:spPr bwMode="auto">
                          <a:xfrm>
                            <a:off x="0" y="0"/>
                            <a:ext cx="5029200" cy="3352800"/>
                          </a:xfrm>
                          <a:prstGeom prst="rect">
                            <a:avLst/>
                          </a:prstGeom>
                          <a:noFill/>
                          <a:ln w="9525">
                            <a:noFill/>
                            <a:headEnd/>
                            <a:tailEnd/>
                          </a:ln>
                        </pic:spPr>
                      </pic:pic>
                    </a:graphicData>
                  </a:graphic>
                </wp:inline>
              </w:drawing>
            </w:r>
          </w:p>
          <w:p w14:paraId="51318C2C" w14:textId="77777777" w:rsidR="00DD4DDE" w:rsidRDefault="0096555E">
            <w:pPr>
              <w:pStyle w:val="ImageCaption"/>
              <w:spacing w:before="200"/>
            </w:pPr>
            <w:r>
              <w:t>Figure 18: Referrals to child protective services accepted for assessment or investigation for fiscal years, rate per 1,000 children for 2010-2024 for Albemarle County, Charlottesville City, and Virginia.</w:t>
            </w:r>
          </w:p>
        </w:tc>
        <w:bookmarkEnd w:id="76"/>
      </w:tr>
    </w:tbl>
    <w:p w14:paraId="51318C2E" w14:textId="7D7AC186" w:rsidR="00DD4DDE" w:rsidRDefault="0096555E" w:rsidP="006957ED">
      <w:pPr>
        <w:pStyle w:val="Heading3"/>
      </w:pPr>
      <w:bookmarkStart w:id="77" w:name="_Toc230089702"/>
      <w:bookmarkEnd w:id="74"/>
      <w:bookmarkEnd w:id="75"/>
      <w:r>
        <w:t>Children in Foster Care</w:t>
      </w:r>
      <w:bookmarkEnd w:id="77"/>
    </w:p>
    <w:p w14:paraId="51318C2F" w14:textId="43B63213" w:rsidR="00DD4DDE" w:rsidRDefault="0096555E" w:rsidP="00152B11">
      <w:pPr>
        <w:pStyle w:val="FirstParagraph"/>
      </w:pPr>
      <w:bookmarkStart w:id="78" w:name="children-in-foster-care"/>
      <w:r>
        <w:t xml:space="preserve">Children in foster care are among our most vulnerable children. The rate of family separation is both an indicator of child welfare and of the unmet need or underinvestment in policies and resources to support families in the community. Neglect, often a proxy for the effects of poverty, is </w:t>
      </w:r>
      <w:hyperlink r:id="rId54">
        <w:r>
          <w:rPr>
            <w:rStyle w:val="Hyperlink"/>
          </w:rPr>
          <w:t>one of the most common reasons for a child’s removal from the home nationally</w:t>
        </w:r>
      </w:hyperlink>
      <w:r>
        <w:t>, including “failure to provide adequate nutrition, supervision, health care, clothing, or housing.”</w:t>
      </w:r>
    </w:p>
    <w:p w14:paraId="51318C30" w14:textId="2F900F4C" w:rsidR="00DD4DDE" w:rsidRDefault="0096555E" w:rsidP="0096555E">
      <w:pPr>
        <w:numPr>
          <w:ilvl w:val="0"/>
          <w:numId w:val="31"/>
        </w:numPr>
      </w:pPr>
      <w:r>
        <w:rPr>
          <w:b/>
          <w:bCs/>
        </w:rPr>
        <w:t>D</w:t>
      </w:r>
      <w:r>
        <w:rPr>
          <w:b/>
          <w:bCs/>
        </w:rPr>
        <w:t>ata considerations:</w:t>
      </w:r>
      <w:r>
        <w:t xml:space="preserve"> While this data counts all children in foster care at a point in time, a child’s presence in foster care occurs only after multiple decisions made by people in a position of authority. These data, then, reflect a series of actions, evaluations, and decisions, many of which are subject to interpretation. Research has long shown that minoritized populations, especially Black children, are overrepresented in foster care, and legal and social researchers have </w:t>
      </w:r>
      <w:hyperlink r:id="rId55">
        <w:r>
          <w:rPr>
            <w:rStyle w:val="Hyperlink"/>
          </w:rPr>
          <w:t>repeatedly</w:t>
        </w:r>
      </w:hyperlink>
      <w:r>
        <w:t xml:space="preserve"> </w:t>
      </w:r>
      <w:hyperlink r:id="rId56">
        <w:r>
          <w:rPr>
            <w:rStyle w:val="Hyperlink"/>
          </w:rPr>
          <w:t>documented</w:t>
        </w:r>
      </w:hyperlink>
      <w:r>
        <w:t xml:space="preserve"> the ways child welfare systems are </w:t>
      </w:r>
      <w:hyperlink r:id="rId57">
        <w:r>
          <w:rPr>
            <w:rStyle w:val="Hyperlink"/>
          </w:rPr>
          <w:t>entangled</w:t>
        </w:r>
      </w:hyperlink>
      <w:r>
        <w:t xml:space="preserve"> with </w:t>
      </w:r>
      <w:hyperlink r:id="rId58">
        <w:r>
          <w:rPr>
            <w:rStyle w:val="Hyperlink"/>
          </w:rPr>
          <w:t>race</w:t>
        </w:r>
      </w:hyperlink>
      <w:r>
        <w:t>.</w:t>
      </w:r>
    </w:p>
    <w:p w14:paraId="51318C31" w14:textId="77777777" w:rsidR="00DD4DDE" w:rsidRDefault="0096555E" w:rsidP="0096555E">
      <w:pPr>
        <w:numPr>
          <w:ilvl w:val="0"/>
          <w:numId w:val="31"/>
        </w:numPr>
      </w:pPr>
      <w:r>
        <w:rPr>
          <w:b/>
          <w:bCs/>
        </w:rPr>
        <w:t>How is this measured?:</w:t>
      </w:r>
      <w:r>
        <w:t xml:space="preserve"> This metric reports the number of children in foster care on October 1 of each year divided by the number of children aged 0-17 in the area and multiplied by 1,000.</w:t>
      </w:r>
    </w:p>
    <w:p w14:paraId="51318C32" w14:textId="77777777" w:rsidR="00DD4DDE" w:rsidRDefault="0096555E" w:rsidP="00F57CDF">
      <w:pPr>
        <w:pStyle w:val="Heading4"/>
      </w:pPr>
      <w:bookmarkStart w:id="79" w:name="notable-trends-15"/>
      <w:r>
        <w:t>Notable Trends</w:t>
      </w:r>
    </w:p>
    <w:p w14:paraId="51318C33" w14:textId="77777777" w:rsidR="00DD4DDE" w:rsidRDefault="0096555E" w:rsidP="0096555E">
      <w:pPr>
        <w:pStyle w:val="Compact"/>
        <w:numPr>
          <w:ilvl w:val="0"/>
          <w:numId w:val="32"/>
        </w:numPr>
      </w:pPr>
      <w:r>
        <w:lastRenderedPageBreak/>
        <w:t>T</w:t>
      </w:r>
      <w:r>
        <w:t>he rate of children in foster care has been consistently higher in Charlottesville than in Albemarle. The rate in Albemarle has remained relatively steady, at around 4-5 children per 1,000, during this period. The rate in Charlottesville has fallen substantially over time, from rates above 20 children per 1,000 in 2010 to 10 or fewer children per 1,000 in 2023 and 2024.</w:t>
      </w:r>
    </w:p>
    <w:tbl>
      <w:tblPr>
        <w:tblStyle w:val="Table"/>
        <w:tblW w:w="5000" w:type="pct"/>
        <w:tblLayout w:type="fixed"/>
        <w:tblLook w:val="0000" w:firstRow="0" w:lastRow="0" w:firstColumn="0" w:lastColumn="0" w:noHBand="0" w:noVBand="0"/>
      </w:tblPr>
      <w:tblGrid>
        <w:gridCol w:w="9360"/>
      </w:tblGrid>
      <w:tr w:rsidR="00DD4DDE" w14:paraId="51318C36" w14:textId="77777777">
        <w:tc>
          <w:tcPr>
            <w:tcW w:w="7920" w:type="dxa"/>
          </w:tcPr>
          <w:p w14:paraId="51318C34" w14:textId="77777777" w:rsidR="00DD4DDE" w:rsidRDefault="0096555E">
            <w:pPr>
              <w:pStyle w:val="Compact"/>
              <w:jc w:val="center"/>
            </w:pPr>
            <w:bookmarkStart w:id="80" w:name="fig-foster-care-img"/>
            <w:r>
              <w:rPr>
                <w:noProof/>
              </w:rPr>
              <w:drawing>
                <wp:inline distT="0" distB="0" distL="0" distR="0" wp14:anchorId="51318D56" wp14:editId="6ABDDD68">
                  <wp:extent cx="5029200" cy="3352800"/>
                  <wp:effectExtent l="0" t="0" r="0" b="0"/>
                  <wp:docPr id="1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descr="figure_images/fig-19-rate-of-children-in-fost.png"/>
                          <pic:cNvPicPr>
                            <a:picLocks noChangeAspect="1" noChangeArrowheads="1"/>
                          </pic:cNvPicPr>
                        </pic:nvPicPr>
                        <pic:blipFill>
                          <a:blip r:embed="rId59"/>
                          <a:stretch>
                            <a:fillRect/>
                          </a:stretch>
                        </pic:blipFill>
                        <pic:spPr bwMode="auto">
                          <a:xfrm>
                            <a:off x="0" y="0"/>
                            <a:ext cx="5029200" cy="3352800"/>
                          </a:xfrm>
                          <a:prstGeom prst="rect">
                            <a:avLst/>
                          </a:prstGeom>
                          <a:noFill/>
                          <a:ln w="9525">
                            <a:noFill/>
                            <a:headEnd/>
                            <a:tailEnd/>
                          </a:ln>
                        </pic:spPr>
                      </pic:pic>
                    </a:graphicData>
                  </a:graphic>
                </wp:inline>
              </w:drawing>
            </w:r>
          </w:p>
          <w:p w14:paraId="51318C35" w14:textId="77777777" w:rsidR="00DD4DDE" w:rsidRDefault="0096555E">
            <w:pPr>
              <w:pStyle w:val="ImageCaption"/>
              <w:spacing w:before="200"/>
            </w:pPr>
            <w:r>
              <w:t>Figure 19: Children in foster care, rate per 1,000 children in Albemarle County, Charlottesville City, and Virginia for 2010-2024, measured in October of each year.</w:t>
            </w:r>
          </w:p>
        </w:tc>
        <w:bookmarkEnd w:id="80"/>
      </w:tr>
    </w:tbl>
    <w:p w14:paraId="51318C37" w14:textId="77777777" w:rsidR="00DD4DDE" w:rsidRDefault="0096555E" w:rsidP="006957ED">
      <w:pPr>
        <w:pStyle w:val="Heading3"/>
      </w:pPr>
      <w:bookmarkStart w:id="81" w:name="_Toc230089703"/>
      <w:bookmarkEnd w:id="78"/>
      <w:bookmarkEnd w:id="79"/>
      <w:r>
        <w:t>Students Experiencing Homelessness</w:t>
      </w:r>
      <w:bookmarkEnd w:id="81"/>
    </w:p>
    <w:p w14:paraId="51318C38" w14:textId="77777777" w:rsidR="00DD4DDE" w:rsidRDefault="0096555E" w:rsidP="00152B11">
      <w:pPr>
        <w:pStyle w:val="FirstParagraph"/>
      </w:pPr>
      <w:bookmarkStart w:id="82" w:name="economic-and-family-stability"/>
      <w:bookmarkStart w:id="83" w:name="students-experiencing-homelessness"/>
      <w:r>
        <w:t>Children need safe and stable housing to thrive. The absence of secure housing worsens child educational, health, and developmental outcomes. The federal government, through the McKinney-Vento Act, provides protections and resources to support equal access to free, appropriate education for children experiencing homelessness. To administer the program, state and local education agencies capture information on “children and youth who lack a fixed, regular, and adequate nighttime residence, including those wh</w:t>
      </w:r>
      <w:r>
        <w:t>o are sharing the housing of others due to loss of housing, economic hardship, or a similar reason; staying in motels, trailer parks, or camp grounds due to the lack of an adequate alternative; staying in shelters or transitional housing; or sleeping in cars, parks, abandoned buildings, substandard housing, or similar settings.”</w:t>
      </w:r>
    </w:p>
    <w:p w14:paraId="51318C39" w14:textId="77777777" w:rsidR="00DD4DDE" w:rsidRDefault="0096555E" w:rsidP="0096555E">
      <w:pPr>
        <w:numPr>
          <w:ilvl w:val="0"/>
          <w:numId w:val="33"/>
        </w:numPr>
      </w:pPr>
      <w:r>
        <w:rPr>
          <w:b/>
          <w:bCs/>
        </w:rPr>
        <w:lastRenderedPageBreak/>
        <w:t>D</w:t>
      </w:r>
      <w:r>
        <w:rPr>
          <w:b/>
          <w:bCs/>
        </w:rPr>
        <w:t>ata considerations:</w:t>
      </w:r>
      <w:r>
        <w:t xml:space="preserve"> The data on student homelessness uses a more comprehensive definition of homelessness than that used by the Department of Housing and Urban Development, including children living doubled-up. But it only counts children experiencing homelessness among children in kindergarten through grade 12 and preschoolers enrolled in a preschool program that receives a homeless education grant from the Education Department. Children from birth to age 5, not subject to compulsory education requirements</w:t>
      </w:r>
      <w:r>
        <w:t>, are not fully captured in these data.</w:t>
      </w:r>
    </w:p>
    <w:p w14:paraId="51318C3A" w14:textId="77777777" w:rsidR="00DD4DDE" w:rsidRDefault="0096555E" w:rsidP="0096555E">
      <w:pPr>
        <w:numPr>
          <w:ilvl w:val="0"/>
          <w:numId w:val="33"/>
        </w:numPr>
      </w:pPr>
      <w:r>
        <w:rPr>
          <w:b/>
          <w:bCs/>
        </w:rPr>
        <w:t>How is this measured?:</w:t>
      </w:r>
      <w:r>
        <w:t xml:space="preserve"> Schools identify children experiencing homelessness through multiple means, including enrollment processes where families self-identify and staff trained to notice the warning signs of student homelessness and make referrals to a school’s homelessness liaison.</w:t>
      </w:r>
    </w:p>
    <w:p w14:paraId="51318C3B" w14:textId="77777777" w:rsidR="00DD4DDE" w:rsidRDefault="0096555E" w:rsidP="00F57CDF">
      <w:pPr>
        <w:pStyle w:val="Heading4"/>
      </w:pPr>
      <w:bookmarkStart w:id="84" w:name="notable-trends-16"/>
      <w:r>
        <w:t>Notable Trends</w:t>
      </w:r>
    </w:p>
    <w:p w14:paraId="51318C3C" w14:textId="77777777" w:rsidR="00DD4DDE" w:rsidRDefault="0096555E" w:rsidP="0096555E">
      <w:pPr>
        <w:numPr>
          <w:ilvl w:val="0"/>
          <w:numId w:val="34"/>
        </w:numPr>
      </w:pPr>
      <w:r>
        <w:t>T</w:t>
      </w:r>
      <w:r>
        <w:t>he rate of students experiencing homelessness in CCS and ACPS has generally been higher than the state average, except for the 2020-21 school year. The data for 2020 and 2021 may have been impacted by the COVID-19 pandemic. The remote and hybrid learning at the onset of the pandemic reduced the ability for educational staff to recognize housing instability among their students.</w:t>
      </w:r>
    </w:p>
    <w:p w14:paraId="51318C3D" w14:textId="77777777" w:rsidR="00DD4DDE" w:rsidRDefault="0096555E" w:rsidP="0096555E">
      <w:pPr>
        <w:numPr>
          <w:ilvl w:val="0"/>
          <w:numId w:val="34"/>
        </w:numPr>
      </w:pPr>
      <w:r>
        <w:t>In CCS the rate of students experiencing homelessness has jumped to 28 per 1,000 students, higher than pre-pandemic levels.</w:t>
      </w:r>
    </w:p>
    <w:tbl>
      <w:tblPr>
        <w:tblStyle w:val="Table"/>
        <w:tblW w:w="5000" w:type="pct"/>
        <w:tblLayout w:type="fixed"/>
        <w:tblLook w:val="0000" w:firstRow="0" w:lastRow="0" w:firstColumn="0" w:lastColumn="0" w:noHBand="0" w:noVBand="0"/>
      </w:tblPr>
      <w:tblGrid>
        <w:gridCol w:w="9360"/>
      </w:tblGrid>
      <w:tr w:rsidR="00DD4DDE" w14:paraId="51318C40" w14:textId="77777777">
        <w:tc>
          <w:tcPr>
            <w:tcW w:w="7920" w:type="dxa"/>
          </w:tcPr>
          <w:p w14:paraId="51318C3E" w14:textId="77777777" w:rsidR="00DD4DDE" w:rsidRDefault="0096555E">
            <w:pPr>
              <w:pStyle w:val="Compact"/>
              <w:jc w:val="center"/>
            </w:pPr>
            <w:bookmarkStart w:id="85" w:name="fig-mckinney-vento-img"/>
            <w:r>
              <w:rPr>
                <w:noProof/>
              </w:rPr>
              <w:lastRenderedPageBreak/>
              <w:drawing>
                <wp:inline distT="0" distB="0" distL="0" distR="0" wp14:anchorId="51318D58" wp14:editId="40C40110">
                  <wp:extent cx="5029200" cy="3352800"/>
                  <wp:effectExtent l="0" t="0" r="0" b="0"/>
                  <wp:docPr id="1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figure_images/fig-20-mckinney-vento-students.png"/>
                          <pic:cNvPicPr>
                            <a:picLocks noChangeAspect="1" noChangeArrowheads="1"/>
                          </pic:cNvPicPr>
                        </pic:nvPicPr>
                        <pic:blipFill>
                          <a:blip r:embed="rId60"/>
                          <a:stretch>
                            <a:fillRect/>
                          </a:stretch>
                        </pic:blipFill>
                        <pic:spPr bwMode="auto">
                          <a:xfrm>
                            <a:off x="0" y="0"/>
                            <a:ext cx="5029200" cy="3352800"/>
                          </a:xfrm>
                          <a:prstGeom prst="rect">
                            <a:avLst/>
                          </a:prstGeom>
                          <a:noFill/>
                          <a:ln w="9525">
                            <a:noFill/>
                            <a:headEnd/>
                            <a:tailEnd/>
                          </a:ln>
                        </pic:spPr>
                      </pic:pic>
                    </a:graphicData>
                  </a:graphic>
                </wp:inline>
              </w:drawing>
            </w:r>
          </w:p>
          <w:p w14:paraId="51318C3F" w14:textId="77777777" w:rsidR="00DD4DDE" w:rsidRDefault="0096555E">
            <w:pPr>
              <w:pStyle w:val="ImageCaption"/>
              <w:spacing w:before="200"/>
            </w:pPr>
            <w:r>
              <w:t>Figure 20: Students experiencing homelessness enrolled in public schools, rate per 1,000 students, reported through the McKinney-Vento Act for the 2010-11 through 2022-23 school years at ACPS, CCS, and Virginia public schools.</w:t>
            </w:r>
          </w:p>
        </w:tc>
        <w:bookmarkEnd w:id="85"/>
      </w:tr>
      <w:bookmarkEnd w:id="82"/>
      <w:bookmarkEnd w:id="83"/>
      <w:bookmarkEnd w:id="84"/>
    </w:tbl>
    <w:p w14:paraId="6E249B6E" w14:textId="77777777" w:rsidR="008F46E8" w:rsidRDefault="008F46E8">
      <w:pPr>
        <w:pStyle w:val="Heading2"/>
        <w:sectPr w:rsidR="008F46E8" w:rsidSect="00B23FCF">
          <w:pgSz w:w="12240" w:h="15840"/>
          <w:pgMar w:top="1728" w:right="1440" w:bottom="1440" w:left="1440" w:header="720" w:footer="720" w:gutter="0"/>
          <w:cols w:space="720"/>
          <w:docGrid w:linePitch="326"/>
        </w:sectPr>
      </w:pPr>
    </w:p>
    <w:p w14:paraId="51318C41" w14:textId="77777777" w:rsidR="00DD4DDE" w:rsidRDefault="0096555E">
      <w:pPr>
        <w:pStyle w:val="Heading2"/>
      </w:pPr>
      <w:bookmarkStart w:id="86" w:name="_Toc230089704"/>
      <w:r>
        <w:lastRenderedPageBreak/>
        <w:t>Health</w:t>
      </w:r>
      <w:bookmarkEnd w:id="86"/>
    </w:p>
    <w:p w14:paraId="51318C42" w14:textId="77777777" w:rsidR="00DD4DDE" w:rsidRDefault="0096555E" w:rsidP="006957ED">
      <w:pPr>
        <w:pStyle w:val="Heading3"/>
      </w:pPr>
      <w:bookmarkStart w:id="87" w:name="_Toc230089705"/>
      <w:r>
        <w:t>Prenatal Care</w:t>
      </w:r>
      <w:bookmarkEnd w:id="87"/>
    </w:p>
    <w:p w14:paraId="51318C43" w14:textId="28951134" w:rsidR="00DD4DDE" w:rsidRDefault="0096555E" w:rsidP="00152B11">
      <w:pPr>
        <w:pStyle w:val="FirstParagraph"/>
      </w:pPr>
      <w:bookmarkStart w:id="88" w:name="prenatal-care"/>
      <w:r>
        <w:t xml:space="preserve">Prenatal care is the health care that individuals receive while pregnant, and is important to reduce the risk of pregnancy complications. Prenatal care typically includes physical exams, weight checks, urine and/or blood samples, ultrasounds, and discussions about the mother’s and fetus’s health. </w:t>
      </w:r>
      <w:hyperlink r:id="rId61" w:anchor=":~:text=Studies%20indicate%20that%20prenatal%20care,birth%20weight%20and%20prematurity%209.">
        <w:r>
          <w:rPr>
            <w:rStyle w:val="Hyperlink"/>
          </w:rPr>
          <w:t>Research shows that prenatal care dramatically reduces the negative effect of substances during pregnancy</w:t>
        </w:r>
      </w:hyperlink>
      <w:r>
        <w:t xml:space="preserve">, including decreasing the risks of low </w:t>
      </w:r>
      <w:proofErr w:type="gramStart"/>
      <w:r>
        <w:t>birth-weight</w:t>
      </w:r>
      <w:proofErr w:type="gramEnd"/>
      <w:r>
        <w:t xml:space="preserve"> and premature birth. Reducing barriers to prenatal care has been a priority of the </w:t>
      </w:r>
      <w:hyperlink r:id="rId62">
        <w:r>
          <w:rPr>
            <w:rStyle w:val="Hyperlink"/>
          </w:rPr>
          <w:t>Blue Ridge Health District’s MAPP2Health Community Assessment and Improvement Plan</w:t>
        </w:r>
      </w:hyperlink>
      <w:r>
        <w:t xml:space="preserve"> since 2008.</w:t>
      </w:r>
    </w:p>
    <w:p w14:paraId="51318C44" w14:textId="77777777" w:rsidR="00DD4DDE" w:rsidRDefault="0096555E" w:rsidP="0096555E">
      <w:pPr>
        <w:numPr>
          <w:ilvl w:val="0"/>
          <w:numId w:val="35"/>
        </w:numPr>
      </w:pPr>
      <w:r>
        <w:rPr>
          <w:b/>
          <w:bCs/>
        </w:rPr>
        <w:t>D</w:t>
      </w:r>
      <w:r>
        <w:rPr>
          <w:b/>
          <w:bCs/>
        </w:rPr>
        <w:t>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51318C45" w14:textId="77777777" w:rsidR="00DD4DDE" w:rsidRDefault="0096555E" w:rsidP="0096555E">
      <w:pPr>
        <w:numPr>
          <w:ilvl w:val="0"/>
          <w:numId w:val="35"/>
        </w:numPr>
      </w:pPr>
      <w:r>
        <w:rPr>
          <w:b/>
          <w:bCs/>
        </w:rPr>
        <w:t>How is this measured?:</w:t>
      </w:r>
      <w:r>
        <w:t xml:space="preserve"> This measure is the percent of pregnant people residing in a locality seeing a health care provider during the first thirteen weeks of pregnancy (first trimester).</w:t>
      </w:r>
    </w:p>
    <w:p w14:paraId="51318C46" w14:textId="77777777" w:rsidR="00DD4DDE" w:rsidRDefault="0096555E" w:rsidP="00F57CDF">
      <w:pPr>
        <w:pStyle w:val="Heading4"/>
      </w:pPr>
      <w:bookmarkStart w:id="89" w:name="notable-trends-17"/>
      <w:r>
        <w:t>Notable Trends</w:t>
      </w:r>
    </w:p>
    <w:p w14:paraId="51318C47" w14:textId="77777777" w:rsidR="00DD4DDE" w:rsidRDefault="0096555E" w:rsidP="0096555E">
      <w:pPr>
        <w:numPr>
          <w:ilvl w:val="0"/>
          <w:numId w:val="36"/>
        </w:numPr>
      </w:pPr>
      <w:r>
        <w:t>I</w:t>
      </w:r>
      <w:r>
        <w:t>n both Albemarle and Charlottesville, the percent of pregnancies receiving prenatal care in the first trimester is higher than in Virginia overall.</w:t>
      </w:r>
    </w:p>
    <w:p w14:paraId="51318C48" w14:textId="77777777" w:rsidR="00DD4DDE" w:rsidRDefault="0096555E" w:rsidP="0096555E">
      <w:pPr>
        <w:numPr>
          <w:ilvl w:val="0"/>
          <w:numId w:val="36"/>
        </w:numPr>
      </w:pPr>
      <w:r>
        <w:t>Since 2010, the percentage receiving prenatal care beginning in the first trimester has grown marginally in Albemarle County and Charlottesville, from 78% and 76% to 82% and 81% in 2023.</w:t>
      </w:r>
    </w:p>
    <w:tbl>
      <w:tblPr>
        <w:tblStyle w:val="Table"/>
        <w:tblW w:w="5000" w:type="pct"/>
        <w:tblLayout w:type="fixed"/>
        <w:tblLook w:val="0000" w:firstRow="0" w:lastRow="0" w:firstColumn="0" w:lastColumn="0" w:noHBand="0" w:noVBand="0"/>
      </w:tblPr>
      <w:tblGrid>
        <w:gridCol w:w="9360"/>
      </w:tblGrid>
      <w:tr w:rsidR="00DD4DDE" w14:paraId="51318C4B" w14:textId="77777777">
        <w:tc>
          <w:tcPr>
            <w:tcW w:w="7920" w:type="dxa"/>
          </w:tcPr>
          <w:p w14:paraId="51318C49" w14:textId="77777777" w:rsidR="00DD4DDE" w:rsidRDefault="0096555E">
            <w:pPr>
              <w:pStyle w:val="Compact"/>
              <w:jc w:val="center"/>
            </w:pPr>
            <w:bookmarkStart w:id="90" w:name="fig-prenatal-img"/>
            <w:r>
              <w:rPr>
                <w:noProof/>
              </w:rPr>
              <w:lastRenderedPageBreak/>
              <w:drawing>
                <wp:inline distT="0" distB="0" distL="0" distR="0" wp14:anchorId="51318D5A" wp14:editId="68D271C9">
                  <wp:extent cx="5029200" cy="3352800"/>
                  <wp:effectExtent l="0" t="0" r="0" b="0"/>
                  <wp:docPr id="16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descr="figure_images/fig-21-percent-receiving-prenat.png"/>
                          <pic:cNvPicPr>
                            <a:picLocks noChangeAspect="1" noChangeArrowheads="1"/>
                          </pic:cNvPicPr>
                        </pic:nvPicPr>
                        <pic:blipFill>
                          <a:blip r:embed="rId63"/>
                          <a:stretch>
                            <a:fillRect/>
                          </a:stretch>
                        </pic:blipFill>
                        <pic:spPr bwMode="auto">
                          <a:xfrm>
                            <a:off x="0" y="0"/>
                            <a:ext cx="5029200" cy="3352800"/>
                          </a:xfrm>
                          <a:prstGeom prst="rect">
                            <a:avLst/>
                          </a:prstGeom>
                          <a:noFill/>
                          <a:ln w="9525">
                            <a:noFill/>
                            <a:headEnd/>
                            <a:tailEnd/>
                          </a:ln>
                        </pic:spPr>
                      </pic:pic>
                    </a:graphicData>
                  </a:graphic>
                </wp:inline>
              </w:drawing>
            </w:r>
          </w:p>
          <w:p w14:paraId="51318C4A" w14:textId="77777777" w:rsidR="00DD4DDE" w:rsidRDefault="0096555E">
            <w:pPr>
              <w:pStyle w:val="ImageCaption"/>
              <w:spacing w:before="200"/>
            </w:pPr>
            <w:r>
              <w:t>Figure 21: Percent of pregnant people receiving prenatal care beginning in the first trimester, 2010-2023, for Albemarle County, Charlottesville City, and Virginia.</w:t>
            </w:r>
          </w:p>
        </w:tc>
        <w:bookmarkEnd w:id="90"/>
      </w:tr>
    </w:tbl>
    <w:p w14:paraId="51318C4C" w14:textId="77777777" w:rsidR="00DD4DDE" w:rsidRDefault="0096555E" w:rsidP="006957ED">
      <w:pPr>
        <w:pStyle w:val="Heading3"/>
      </w:pPr>
      <w:bookmarkStart w:id="91" w:name="_Toc230089706"/>
      <w:bookmarkEnd w:id="88"/>
      <w:bookmarkEnd w:id="89"/>
      <w:r>
        <w:t>Low Birth-Weight Babies</w:t>
      </w:r>
      <w:bookmarkEnd w:id="91"/>
    </w:p>
    <w:p w14:paraId="51318C4D" w14:textId="77777777" w:rsidR="00DD4DDE" w:rsidRDefault="0096555E" w:rsidP="00152B11">
      <w:pPr>
        <w:pStyle w:val="FirstParagraph"/>
      </w:pPr>
      <w:bookmarkStart w:id="92" w:name="low-birth-weight-babies"/>
      <w:r>
        <w:t>Low birth-weight is an indicator of current infant and maternal health, as well as future health, as low birth-weight babies are at higher risk of dying early, and long-term health and development issues. Low birthweight is defined as less than 2,500 grams (about 5.5 lbs).</w:t>
      </w:r>
    </w:p>
    <w:p w14:paraId="51318C4E" w14:textId="77777777" w:rsidR="00DD4DDE" w:rsidRDefault="0096555E" w:rsidP="0096555E">
      <w:pPr>
        <w:numPr>
          <w:ilvl w:val="0"/>
          <w:numId w:val="37"/>
        </w:numPr>
      </w:pPr>
      <w:r>
        <w:rPr>
          <w:b/>
          <w:bCs/>
        </w:rPr>
        <w:t>D</w:t>
      </w:r>
      <w:r>
        <w:rPr>
          <w:b/>
          <w:bCs/>
        </w:rPr>
        <w:t>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51318C4F" w14:textId="77777777" w:rsidR="00DD4DDE" w:rsidRDefault="0096555E" w:rsidP="0096555E">
      <w:pPr>
        <w:numPr>
          <w:ilvl w:val="0"/>
          <w:numId w:val="37"/>
        </w:numPr>
      </w:pPr>
      <w:r>
        <w:rPr>
          <w:b/>
          <w:bCs/>
        </w:rPr>
        <w:t>How is this measured?:</w:t>
      </w:r>
      <w:r>
        <w:t xml:space="preserve"> This measure records the number of live births of babies weighing less than 2,500 grams as a percent of the total number of live births with residence in the area.</w:t>
      </w:r>
    </w:p>
    <w:p w14:paraId="51318C50" w14:textId="77777777" w:rsidR="00DD4DDE" w:rsidRDefault="0096555E" w:rsidP="00F57CDF">
      <w:pPr>
        <w:pStyle w:val="Heading4"/>
      </w:pPr>
      <w:bookmarkStart w:id="93" w:name="notable-trends-18"/>
      <w:r>
        <w:t>Notable Trends</w:t>
      </w:r>
    </w:p>
    <w:p w14:paraId="51318C51" w14:textId="77777777" w:rsidR="00DD4DDE" w:rsidRDefault="0096555E" w:rsidP="0096555E">
      <w:pPr>
        <w:numPr>
          <w:ilvl w:val="0"/>
          <w:numId w:val="38"/>
        </w:numPr>
      </w:pPr>
      <w:r>
        <w:t>T</w:t>
      </w:r>
      <w:r>
        <w:t>he percent of low birth-weight babies born in Albemarle has held steady over this period hovering around 5-6%, slightly below the Virginia rate of 8%.</w:t>
      </w:r>
    </w:p>
    <w:p w14:paraId="51318C52" w14:textId="77777777" w:rsidR="00DD4DDE" w:rsidRDefault="0096555E" w:rsidP="0096555E">
      <w:pPr>
        <w:numPr>
          <w:ilvl w:val="0"/>
          <w:numId w:val="38"/>
        </w:numPr>
      </w:pPr>
      <w:r>
        <w:t>In Charlottesville, the percentage of low birth-weight babies since 2010 has slightly fluctuated, from a low of 4% to a recent high of 11%.</w:t>
      </w:r>
    </w:p>
    <w:tbl>
      <w:tblPr>
        <w:tblStyle w:val="Table"/>
        <w:tblW w:w="5000" w:type="pct"/>
        <w:tblLayout w:type="fixed"/>
        <w:tblLook w:val="0000" w:firstRow="0" w:lastRow="0" w:firstColumn="0" w:lastColumn="0" w:noHBand="0" w:noVBand="0"/>
      </w:tblPr>
      <w:tblGrid>
        <w:gridCol w:w="9360"/>
      </w:tblGrid>
      <w:tr w:rsidR="00DD4DDE" w14:paraId="51318C55" w14:textId="77777777">
        <w:tc>
          <w:tcPr>
            <w:tcW w:w="7920" w:type="dxa"/>
          </w:tcPr>
          <w:p w14:paraId="51318C53" w14:textId="77777777" w:rsidR="00DD4DDE" w:rsidRDefault="0096555E">
            <w:pPr>
              <w:pStyle w:val="Compact"/>
              <w:jc w:val="center"/>
            </w:pPr>
            <w:bookmarkStart w:id="94" w:name="fig-low-birthweight-img"/>
            <w:r>
              <w:rPr>
                <w:noProof/>
              </w:rPr>
              <w:lastRenderedPageBreak/>
              <w:drawing>
                <wp:inline distT="0" distB="0" distL="0" distR="0" wp14:anchorId="51318D5C" wp14:editId="49F20B8E">
                  <wp:extent cx="5029200" cy="3352800"/>
                  <wp:effectExtent l="0" t="0" r="0" b="0"/>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figure_images/fig-22-percent-low-birth-weight.png"/>
                          <pic:cNvPicPr>
                            <a:picLocks noChangeAspect="1" noChangeArrowheads="1"/>
                          </pic:cNvPicPr>
                        </pic:nvPicPr>
                        <pic:blipFill>
                          <a:blip r:embed="rId64"/>
                          <a:stretch>
                            <a:fillRect/>
                          </a:stretch>
                        </pic:blipFill>
                        <pic:spPr bwMode="auto">
                          <a:xfrm>
                            <a:off x="0" y="0"/>
                            <a:ext cx="5029200" cy="3352800"/>
                          </a:xfrm>
                          <a:prstGeom prst="rect">
                            <a:avLst/>
                          </a:prstGeom>
                          <a:noFill/>
                          <a:ln w="9525">
                            <a:noFill/>
                            <a:headEnd/>
                            <a:tailEnd/>
                          </a:ln>
                        </pic:spPr>
                      </pic:pic>
                    </a:graphicData>
                  </a:graphic>
                </wp:inline>
              </w:drawing>
            </w:r>
          </w:p>
          <w:p w14:paraId="51318C54" w14:textId="77777777" w:rsidR="00DD4DDE" w:rsidRDefault="0096555E">
            <w:pPr>
              <w:pStyle w:val="ImageCaption"/>
              <w:spacing w:before="200"/>
            </w:pPr>
            <w:r>
              <w:t>Figure 22: Percent of babies born weighing under 2,500 grams (5.5 lbs), 2010-2023, for Albemarle County, Charlottesville City, and Virginia.</w:t>
            </w:r>
          </w:p>
        </w:tc>
        <w:bookmarkEnd w:id="94"/>
      </w:tr>
    </w:tbl>
    <w:p w14:paraId="51318C56" w14:textId="77777777" w:rsidR="00DD4DDE" w:rsidRDefault="0096555E" w:rsidP="006957ED">
      <w:pPr>
        <w:pStyle w:val="Heading3"/>
      </w:pPr>
      <w:bookmarkStart w:id="95" w:name="_Toc230089707"/>
      <w:bookmarkEnd w:id="92"/>
      <w:bookmarkEnd w:id="93"/>
      <w:r>
        <w:t>Infant Mortality</w:t>
      </w:r>
      <w:bookmarkEnd w:id="95"/>
    </w:p>
    <w:p w14:paraId="51318C57" w14:textId="77777777" w:rsidR="00DD4DDE" w:rsidRDefault="0096555E" w:rsidP="00152B11">
      <w:pPr>
        <w:pStyle w:val="FirstParagraph"/>
      </w:pPr>
      <w:bookmarkStart w:id="96" w:name="infant-mortality"/>
      <w:r>
        <w:t>Infant mortality measures the rate of death among children under one year of age in the given year, some of whom may have been born in the previous year. The most common causes of infant mortality include birth defects, preterm birth and low birth weight, maternal complications of pregnancy, Sudden Infant Death Syndrome, and injuries.</w:t>
      </w:r>
    </w:p>
    <w:p w14:paraId="51318C58" w14:textId="77777777" w:rsidR="00DD4DDE" w:rsidRDefault="0096555E" w:rsidP="0096555E">
      <w:pPr>
        <w:numPr>
          <w:ilvl w:val="0"/>
          <w:numId w:val="39"/>
        </w:numPr>
      </w:pPr>
      <w:r>
        <w:rPr>
          <w:b/>
          <w:bCs/>
        </w:rPr>
        <w:t>D</w:t>
      </w:r>
      <w:r>
        <w:rPr>
          <w:b/>
          <w:bCs/>
        </w:rPr>
        <w:t>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51318C59" w14:textId="77777777" w:rsidR="00DD4DDE" w:rsidRDefault="0096555E" w:rsidP="0096555E">
      <w:pPr>
        <w:numPr>
          <w:ilvl w:val="0"/>
          <w:numId w:val="39"/>
        </w:numPr>
      </w:pPr>
      <w:r>
        <w:rPr>
          <w:b/>
          <w:bCs/>
        </w:rPr>
        <w:t>How is this measured?:</w:t>
      </w:r>
      <w:r>
        <w:t xml:space="preserve"> This measure is the number of infant deaths (children less than one year old) per 1,000 live births in each locality in the given year. The rate is calculated as a 3 year rolling average to better identify long-term trends.</w:t>
      </w:r>
    </w:p>
    <w:p w14:paraId="51318C5A" w14:textId="77777777" w:rsidR="00DD4DDE" w:rsidRDefault="0096555E" w:rsidP="00F57CDF">
      <w:pPr>
        <w:pStyle w:val="Heading4"/>
      </w:pPr>
      <w:bookmarkStart w:id="97" w:name="notable-trends-19"/>
      <w:r>
        <w:t>Notable Trends</w:t>
      </w:r>
    </w:p>
    <w:p w14:paraId="51318C5B" w14:textId="77777777" w:rsidR="00DD4DDE" w:rsidRDefault="0096555E" w:rsidP="0096555E">
      <w:pPr>
        <w:numPr>
          <w:ilvl w:val="0"/>
          <w:numId w:val="40"/>
        </w:numPr>
      </w:pPr>
      <w:r>
        <w:t>T</w:t>
      </w:r>
      <w:r>
        <w:t>he infant mortality rate has risen in Albemarle since 2016, growing to a high for the period of around 6 infant deaths per 1,000 live births in 2022, the most recent year with an available 3 year average value.</w:t>
      </w:r>
    </w:p>
    <w:p w14:paraId="51318C5C" w14:textId="77777777" w:rsidR="00DD4DDE" w:rsidRDefault="0096555E" w:rsidP="0096555E">
      <w:pPr>
        <w:numPr>
          <w:ilvl w:val="0"/>
          <w:numId w:val="40"/>
        </w:numPr>
      </w:pPr>
      <w:r>
        <w:lastRenderedPageBreak/>
        <w:t>In Charlottesville, the infant mortality rate has fluctuated over the period, with a high average in 2016 of 7 infant deaths per 1,000 live births. In the most recent year with an available 3 year average, the rate was around 5 infant deaths per 1,000 live births.</w:t>
      </w:r>
    </w:p>
    <w:tbl>
      <w:tblPr>
        <w:tblStyle w:val="Table"/>
        <w:tblW w:w="5000" w:type="pct"/>
        <w:tblLayout w:type="fixed"/>
        <w:tblLook w:val="0000" w:firstRow="0" w:lastRow="0" w:firstColumn="0" w:lastColumn="0" w:noHBand="0" w:noVBand="0"/>
      </w:tblPr>
      <w:tblGrid>
        <w:gridCol w:w="9360"/>
      </w:tblGrid>
      <w:tr w:rsidR="00DD4DDE" w14:paraId="51318C5F" w14:textId="77777777">
        <w:tc>
          <w:tcPr>
            <w:tcW w:w="7920" w:type="dxa"/>
          </w:tcPr>
          <w:p w14:paraId="51318C5D" w14:textId="77777777" w:rsidR="00DD4DDE" w:rsidRDefault="0096555E">
            <w:pPr>
              <w:pStyle w:val="Compact"/>
              <w:jc w:val="center"/>
            </w:pPr>
            <w:bookmarkStart w:id="98" w:name="fig-infant-mortality-img"/>
            <w:r>
              <w:rPr>
                <w:noProof/>
              </w:rPr>
              <w:drawing>
                <wp:inline distT="0" distB="0" distL="0" distR="0" wp14:anchorId="51318D5E" wp14:editId="533D2B1B">
                  <wp:extent cx="5029200" cy="3352800"/>
                  <wp:effectExtent l="0" t="0" r="0" b="0"/>
                  <wp:docPr id="17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descr="figure_images/fig-23-infant-mortality-rate.png"/>
                          <pic:cNvPicPr>
                            <a:picLocks noChangeAspect="1" noChangeArrowheads="1"/>
                          </pic:cNvPicPr>
                        </pic:nvPicPr>
                        <pic:blipFill>
                          <a:blip r:embed="rId65"/>
                          <a:stretch>
                            <a:fillRect/>
                          </a:stretch>
                        </pic:blipFill>
                        <pic:spPr bwMode="auto">
                          <a:xfrm>
                            <a:off x="0" y="0"/>
                            <a:ext cx="5029200" cy="3352800"/>
                          </a:xfrm>
                          <a:prstGeom prst="rect">
                            <a:avLst/>
                          </a:prstGeom>
                          <a:noFill/>
                          <a:ln w="9525">
                            <a:noFill/>
                            <a:headEnd/>
                            <a:tailEnd/>
                          </a:ln>
                        </pic:spPr>
                      </pic:pic>
                    </a:graphicData>
                  </a:graphic>
                </wp:inline>
              </w:drawing>
            </w:r>
          </w:p>
          <w:p w14:paraId="51318C5E" w14:textId="77777777" w:rsidR="00DD4DDE" w:rsidRDefault="0096555E">
            <w:pPr>
              <w:pStyle w:val="ImageCaption"/>
              <w:spacing w:before="200"/>
            </w:pPr>
            <w:r>
              <w:t>Figure 23: Rate per 1,000 births of infants who died before their 1st birthday, 2010-2023, for Albemarle County, Charlottesville City, and Virginia.</w:t>
            </w:r>
          </w:p>
        </w:tc>
        <w:bookmarkEnd w:id="98"/>
      </w:tr>
    </w:tbl>
    <w:p w14:paraId="51318C60" w14:textId="77777777" w:rsidR="00DD4DDE" w:rsidRDefault="0096555E" w:rsidP="006957ED">
      <w:pPr>
        <w:pStyle w:val="Heading3"/>
      </w:pPr>
      <w:bookmarkStart w:id="99" w:name="_Toc230089708"/>
      <w:bookmarkEnd w:id="96"/>
      <w:bookmarkEnd w:id="97"/>
      <w:r>
        <w:t>Teen Pregnancy</w:t>
      </w:r>
      <w:bookmarkEnd w:id="99"/>
    </w:p>
    <w:p w14:paraId="51318C61" w14:textId="77777777" w:rsidR="00DD4DDE" w:rsidRDefault="0096555E" w:rsidP="00152B11">
      <w:pPr>
        <w:pStyle w:val="FirstParagraph"/>
      </w:pPr>
      <w:bookmarkStart w:id="100" w:name="teen-pregnancy"/>
      <w:r>
        <w:t>According to the VDH, teen pregnancy has unique medical risks including lack of prenatal care, high blood pressure, premature birth, low birth weight, STDs, and postpartum depression. In addition, teen births are more likely to lead to poor outcomes for both teenage mothers and their children.</w:t>
      </w:r>
    </w:p>
    <w:p w14:paraId="51318C62" w14:textId="77777777" w:rsidR="00DD4DDE" w:rsidRDefault="0096555E" w:rsidP="0096555E">
      <w:pPr>
        <w:numPr>
          <w:ilvl w:val="0"/>
          <w:numId w:val="41"/>
        </w:numPr>
      </w:pPr>
      <w:r>
        <w:rPr>
          <w:b/>
          <w:bCs/>
        </w:rPr>
        <w:t>D</w:t>
      </w:r>
      <w:r>
        <w:rPr>
          <w:b/>
          <w:bCs/>
        </w:rPr>
        <w:t>ata considerations:</w:t>
      </w:r>
      <w:r>
        <w:t xml:space="preserve"> These data are derived from health registration data. Registration data represent an authoritative list of births known to the Department of Health. Registration data is closer to census data in that it attempts to capture all relevant events to accurately reflect the population. Error may be introduced if relevant events are not captured.</w:t>
      </w:r>
    </w:p>
    <w:p w14:paraId="51318C63" w14:textId="77777777" w:rsidR="00DD4DDE" w:rsidRDefault="0096555E" w:rsidP="0096555E">
      <w:pPr>
        <w:numPr>
          <w:ilvl w:val="0"/>
          <w:numId w:val="41"/>
        </w:numPr>
      </w:pPr>
      <w:r>
        <w:rPr>
          <w:b/>
          <w:bCs/>
        </w:rPr>
        <w:t>How is this measured?:</w:t>
      </w:r>
      <w:r>
        <w:t xml:space="preserve"> The teenage pregnancy rate is the sum of live births, legal induced abortions, and natural fetal deaths per 1,000 women aged 15-19 years. The rate of teen pregnancy for ages 18-19 years is consistently higher than ages 15-17 years for both localities.</w:t>
      </w:r>
    </w:p>
    <w:p w14:paraId="51318C64" w14:textId="77777777" w:rsidR="00DD4DDE" w:rsidRDefault="0096555E" w:rsidP="00F57CDF">
      <w:pPr>
        <w:pStyle w:val="Heading4"/>
      </w:pPr>
      <w:bookmarkStart w:id="101" w:name="notable-trends-20"/>
      <w:r>
        <w:lastRenderedPageBreak/>
        <w:t>Notable Trends</w:t>
      </w:r>
    </w:p>
    <w:p w14:paraId="51318C65" w14:textId="77777777" w:rsidR="00DD4DDE" w:rsidRDefault="0096555E" w:rsidP="0096555E">
      <w:pPr>
        <w:numPr>
          <w:ilvl w:val="0"/>
          <w:numId w:val="42"/>
        </w:numPr>
      </w:pPr>
      <w:r>
        <w:t>T</w:t>
      </w:r>
      <w:r>
        <w:t>he teen pregnancy rate in Albemarle has remained relatively consistent over the period, between 6-8 per 1,000 women ages 15-19 years, falling below Virginia overall.</w:t>
      </w:r>
    </w:p>
    <w:p w14:paraId="51318C66" w14:textId="77777777" w:rsidR="00DD4DDE" w:rsidRDefault="0096555E" w:rsidP="0096555E">
      <w:pPr>
        <w:numPr>
          <w:ilvl w:val="0"/>
          <w:numId w:val="42"/>
        </w:numPr>
      </w:pPr>
      <w:r>
        <w:t>In Charlottesville, teen pregnancy has fluctuated since 2010, with a high of 28 per 1,000 15-19 year old women in 2016 to around 16 per 1,000 in 2023, the most recent available year.</w:t>
      </w:r>
    </w:p>
    <w:tbl>
      <w:tblPr>
        <w:tblStyle w:val="Table"/>
        <w:tblW w:w="5000" w:type="pct"/>
        <w:tblLayout w:type="fixed"/>
        <w:tblLook w:val="0000" w:firstRow="0" w:lastRow="0" w:firstColumn="0" w:lastColumn="0" w:noHBand="0" w:noVBand="0"/>
      </w:tblPr>
      <w:tblGrid>
        <w:gridCol w:w="9360"/>
      </w:tblGrid>
      <w:tr w:rsidR="00DD4DDE" w14:paraId="51318C69" w14:textId="77777777">
        <w:tc>
          <w:tcPr>
            <w:tcW w:w="7920" w:type="dxa"/>
          </w:tcPr>
          <w:p w14:paraId="51318C67" w14:textId="77777777" w:rsidR="00DD4DDE" w:rsidRDefault="0096555E">
            <w:pPr>
              <w:pStyle w:val="Compact"/>
              <w:jc w:val="center"/>
            </w:pPr>
            <w:bookmarkStart w:id="102" w:name="fig-teen-preg-img"/>
            <w:r>
              <w:rPr>
                <w:noProof/>
              </w:rPr>
              <w:drawing>
                <wp:inline distT="0" distB="0" distL="0" distR="0" wp14:anchorId="51318D60" wp14:editId="6221ECDD">
                  <wp:extent cx="5029200" cy="3352800"/>
                  <wp:effectExtent l="0" t="0" r="0" b="0"/>
                  <wp:docPr id="1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descr="figure_images/fig-24-teen-pregnancy-rate-for.png"/>
                          <pic:cNvPicPr>
                            <a:picLocks noChangeAspect="1" noChangeArrowheads="1"/>
                          </pic:cNvPicPr>
                        </pic:nvPicPr>
                        <pic:blipFill>
                          <a:blip r:embed="rId66"/>
                          <a:stretch>
                            <a:fillRect/>
                          </a:stretch>
                        </pic:blipFill>
                        <pic:spPr bwMode="auto">
                          <a:xfrm>
                            <a:off x="0" y="0"/>
                            <a:ext cx="5029200" cy="3352800"/>
                          </a:xfrm>
                          <a:prstGeom prst="rect">
                            <a:avLst/>
                          </a:prstGeom>
                          <a:noFill/>
                          <a:ln w="9525">
                            <a:noFill/>
                            <a:headEnd/>
                            <a:tailEnd/>
                          </a:ln>
                        </pic:spPr>
                      </pic:pic>
                    </a:graphicData>
                  </a:graphic>
                </wp:inline>
              </w:drawing>
            </w:r>
          </w:p>
          <w:p w14:paraId="51318C68" w14:textId="77777777" w:rsidR="00DD4DDE" w:rsidRDefault="0096555E">
            <w:pPr>
              <w:pStyle w:val="ImageCaption"/>
              <w:spacing w:before="200"/>
            </w:pPr>
            <w:r>
              <w:t>Figure 24: Teen pregnancy rate per 1,000 young women ages 15–19, 2015-2023, for Albemarle County, Charlottesville City, and Virginia.</w:t>
            </w:r>
          </w:p>
        </w:tc>
        <w:bookmarkEnd w:id="102"/>
      </w:tr>
    </w:tbl>
    <w:p w14:paraId="51318C6A" w14:textId="77777777" w:rsidR="00DD4DDE" w:rsidRDefault="0096555E" w:rsidP="006957ED">
      <w:pPr>
        <w:pStyle w:val="Heading3"/>
      </w:pPr>
      <w:bookmarkStart w:id="103" w:name="_Toc230089709"/>
      <w:bookmarkEnd w:id="100"/>
      <w:bookmarkEnd w:id="101"/>
      <w:r>
        <w:t>Sexually Transmitted Infections in Youth</w:t>
      </w:r>
      <w:bookmarkEnd w:id="103"/>
    </w:p>
    <w:p w14:paraId="51318C6B" w14:textId="19C6198F" w:rsidR="00DD4DDE" w:rsidRDefault="0096555E" w:rsidP="00152B11">
      <w:pPr>
        <w:pStyle w:val="FirstParagraph"/>
      </w:pPr>
      <w:bookmarkStart w:id="104" w:name="health"/>
      <w:bookmarkStart w:id="105" w:name="sexually-transmitted-infections-in-youth"/>
      <w:r>
        <w:t xml:space="preserve">Nationally, the rate of sexually transmitted infections has been on the rise. </w:t>
      </w:r>
      <w:hyperlink r:id="rId67">
        <w:r>
          <w:rPr>
            <w:rStyle w:val="Hyperlink"/>
          </w:rPr>
          <w:t>Adolescents are uniquely at risk for STIs</w:t>
        </w:r>
      </w:hyperlink>
      <w:r>
        <w:t xml:space="preserve"> as they are less likely than adults to access and utilize sexual health services and public policies regularly limit young people’s access to sexual health information.</w:t>
      </w:r>
    </w:p>
    <w:p w14:paraId="51318C6C" w14:textId="77777777" w:rsidR="00DD4DDE" w:rsidRDefault="0096555E" w:rsidP="0096555E">
      <w:pPr>
        <w:numPr>
          <w:ilvl w:val="0"/>
          <w:numId w:val="43"/>
        </w:numPr>
      </w:pPr>
      <w:r>
        <w:rPr>
          <w:b/>
          <w:bCs/>
        </w:rPr>
        <w:t>D</w:t>
      </w:r>
      <w:r>
        <w:rPr>
          <w:b/>
          <w:bCs/>
        </w:rPr>
        <w:t>ata considerations:</w:t>
      </w:r>
      <w:r>
        <w:t xml:space="preserve"> These data are derived from health registration data. Registration data represent an authoritative list of diagnoses known to the Virginia Department of Health. Registration data is closer to census data in that it attempts to capture all relevant events to accurately reflect the population. Error may be introduced if relevant events are not captured.</w:t>
      </w:r>
    </w:p>
    <w:p w14:paraId="51318C6D" w14:textId="77777777" w:rsidR="00DD4DDE" w:rsidRDefault="0096555E" w:rsidP="0096555E">
      <w:pPr>
        <w:numPr>
          <w:ilvl w:val="0"/>
          <w:numId w:val="43"/>
        </w:numPr>
      </w:pPr>
      <w:r>
        <w:rPr>
          <w:b/>
          <w:bCs/>
        </w:rPr>
        <w:lastRenderedPageBreak/>
        <w:t>How is this measured?:</w:t>
      </w:r>
      <w:r>
        <w:t xml:space="preserve"> This measure is the combined incidence of syphilis, gonorrhea, chlamydia, and HIV per 1,000 residents aged 10-19. This incidence rate only counts cases first reported; for HIV, the incidence rate will count a new case in the first year it is diagnosed, but not in the following years, even though a patient still has the condition and is receiving treatment.</w:t>
      </w:r>
    </w:p>
    <w:p w14:paraId="51318C6E" w14:textId="77777777" w:rsidR="00DD4DDE" w:rsidRDefault="0096555E" w:rsidP="00F57CDF">
      <w:pPr>
        <w:pStyle w:val="Heading4"/>
      </w:pPr>
      <w:bookmarkStart w:id="106" w:name="notable-trends-21"/>
      <w:r>
        <w:t>Notable Trends</w:t>
      </w:r>
    </w:p>
    <w:p w14:paraId="51318C6F" w14:textId="77777777" w:rsidR="00DD4DDE" w:rsidRDefault="0096555E" w:rsidP="0096555E">
      <w:pPr>
        <w:numPr>
          <w:ilvl w:val="0"/>
          <w:numId w:val="44"/>
        </w:numPr>
      </w:pPr>
      <w:r>
        <w:t>T</w:t>
      </w:r>
      <w:r>
        <w:t>he incidence rates of STIs among youth in Charlottesville have been consistently higher than the rate in Albemarle, though in recent years the rate in Charlottesville has fallen steeply and become aligned with the rate in the state overall. In 2024, the rate per 1,000 youths ages 10-19 was 11.</w:t>
      </w:r>
    </w:p>
    <w:p w14:paraId="51318C70" w14:textId="77777777" w:rsidR="00DD4DDE" w:rsidRDefault="0096555E" w:rsidP="0096555E">
      <w:pPr>
        <w:numPr>
          <w:ilvl w:val="0"/>
          <w:numId w:val="44"/>
        </w:numPr>
      </w:pPr>
      <w:r>
        <w:t>The incidence rate in Albemarle has grown slightly, at 6 per 1,000 young people in 2024.</w:t>
      </w:r>
    </w:p>
    <w:tbl>
      <w:tblPr>
        <w:tblStyle w:val="Table"/>
        <w:tblW w:w="5000" w:type="pct"/>
        <w:tblLayout w:type="fixed"/>
        <w:tblLook w:val="0000" w:firstRow="0" w:lastRow="0" w:firstColumn="0" w:lastColumn="0" w:noHBand="0" w:noVBand="0"/>
      </w:tblPr>
      <w:tblGrid>
        <w:gridCol w:w="9360"/>
      </w:tblGrid>
      <w:tr w:rsidR="00DD4DDE" w14:paraId="51318C73" w14:textId="77777777">
        <w:tc>
          <w:tcPr>
            <w:tcW w:w="7920" w:type="dxa"/>
          </w:tcPr>
          <w:p w14:paraId="51318C71" w14:textId="77777777" w:rsidR="00DD4DDE" w:rsidRDefault="0096555E">
            <w:pPr>
              <w:pStyle w:val="Compact"/>
              <w:jc w:val="center"/>
            </w:pPr>
            <w:bookmarkStart w:id="107" w:name="fig-youth-sti-img"/>
            <w:r>
              <w:rPr>
                <w:noProof/>
              </w:rPr>
              <w:drawing>
                <wp:inline distT="0" distB="0" distL="0" distR="0" wp14:anchorId="51318D62" wp14:editId="337F51BD">
                  <wp:extent cx="5029200" cy="3352800"/>
                  <wp:effectExtent l="0" t="0" r="0" b="0"/>
                  <wp:docPr id="19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descr="figure_images/fig-25-rate-of-sexually-transmi.png"/>
                          <pic:cNvPicPr>
                            <a:picLocks noChangeAspect="1" noChangeArrowheads="1"/>
                          </pic:cNvPicPr>
                        </pic:nvPicPr>
                        <pic:blipFill>
                          <a:blip r:embed="rId68"/>
                          <a:stretch>
                            <a:fillRect/>
                          </a:stretch>
                        </pic:blipFill>
                        <pic:spPr bwMode="auto">
                          <a:xfrm>
                            <a:off x="0" y="0"/>
                            <a:ext cx="5029200" cy="3352800"/>
                          </a:xfrm>
                          <a:prstGeom prst="rect">
                            <a:avLst/>
                          </a:prstGeom>
                          <a:noFill/>
                          <a:ln w="9525">
                            <a:noFill/>
                            <a:headEnd/>
                            <a:tailEnd/>
                          </a:ln>
                        </pic:spPr>
                      </pic:pic>
                    </a:graphicData>
                  </a:graphic>
                </wp:inline>
              </w:drawing>
            </w:r>
          </w:p>
          <w:p w14:paraId="51318C72" w14:textId="77777777" w:rsidR="00DD4DDE" w:rsidRDefault="0096555E">
            <w:pPr>
              <w:pStyle w:val="ImageCaption"/>
              <w:spacing w:before="200"/>
            </w:pPr>
            <w:r>
              <w:t>Figure 25: Sexually transmitted infections in youth, rate per 1,000 residents aged 10-19, from 2010-2024 for Albemarle County, Charlottesville City, and Virginia. This measure is the combined incidence of syphilis, gonorrhea, chlamydia, and HIV.</w:t>
            </w:r>
          </w:p>
        </w:tc>
        <w:bookmarkEnd w:id="107"/>
      </w:tr>
      <w:bookmarkEnd w:id="104"/>
      <w:bookmarkEnd w:id="105"/>
      <w:bookmarkEnd w:id="106"/>
    </w:tbl>
    <w:p w14:paraId="5A3FFC90" w14:textId="77777777" w:rsidR="00AA6EE0" w:rsidRDefault="00AA6EE0">
      <w:pPr>
        <w:pStyle w:val="Heading2"/>
        <w:sectPr w:rsidR="00AA6EE0" w:rsidSect="00B23FCF">
          <w:pgSz w:w="12240" w:h="15840"/>
          <w:pgMar w:top="1728" w:right="1440" w:bottom="1440" w:left="1440" w:header="720" w:footer="720" w:gutter="0"/>
          <w:cols w:space="720"/>
          <w:docGrid w:linePitch="326"/>
        </w:sectPr>
      </w:pPr>
    </w:p>
    <w:p w14:paraId="51318C74" w14:textId="77777777" w:rsidR="00DD4DDE" w:rsidRDefault="0096555E">
      <w:pPr>
        <w:pStyle w:val="Heading2"/>
      </w:pPr>
      <w:bookmarkStart w:id="108" w:name="_Toc230089710"/>
      <w:r>
        <w:lastRenderedPageBreak/>
        <w:t>School and Community Disciplinary Actions</w:t>
      </w:r>
      <w:bookmarkEnd w:id="108"/>
    </w:p>
    <w:p w14:paraId="51318C75" w14:textId="77777777" w:rsidR="00DD4DDE" w:rsidRDefault="0096555E" w:rsidP="006957ED">
      <w:pPr>
        <w:pStyle w:val="Heading3"/>
      </w:pPr>
      <w:bookmarkStart w:id="109" w:name="_Toc230089711"/>
      <w:r>
        <w:t>Student Behavior and Administrative Response</w:t>
      </w:r>
      <w:bookmarkEnd w:id="109"/>
    </w:p>
    <w:p w14:paraId="51318C76" w14:textId="77777777" w:rsidR="00DD4DDE" w:rsidRDefault="0096555E" w:rsidP="00152B11">
      <w:pPr>
        <w:pStyle w:val="FirstParagraph"/>
      </w:pPr>
      <w:bookmarkStart w:id="110" w:name="X3f3019880121ca56fef20ec202efb12ad1d157c"/>
      <w:r>
        <w:t>These data capture the recorded student behaviors that endanger student safety and health as well as behaviors that require engagement with law enforcement and offer insight into the safety of school environments. For each metric, it is the rate of incidents per 1,000 students; this is not equivalent to the number of students reported for an offense as an individual student could be reported multiple times.</w:t>
      </w:r>
    </w:p>
    <w:p w14:paraId="51318C77" w14:textId="2DA6AB68" w:rsidR="00DD4DDE" w:rsidRDefault="0096555E" w:rsidP="0096555E">
      <w:pPr>
        <w:numPr>
          <w:ilvl w:val="0"/>
          <w:numId w:val="45"/>
        </w:numPr>
      </w:pPr>
      <w:r>
        <w:rPr>
          <w:b/>
          <w:bCs/>
        </w:rPr>
        <w:t>D</w:t>
      </w:r>
      <w:r>
        <w:rPr>
          <w:b/>
          <w:bCs/>
        </w:rPr>
        <w:t>ata considerations:</w:t>
      </w:r>
      <w:r>
        <w:t xml:space="preserve"> These data are derived from school administrative data from the Virginia Department of Education (VDOE). They capture only incidents observed and reported by school authorities. That is, these records do not occur by default but require someone to observe or evaluate an action or behavior and make a judgment about whether the behavior should be referred to the administrative systems. Details on all behavior categories and other policies can be read on the </w:t>
      </w:r>
      <w:hyperlink r:id="rId69">
        <w:r>
          <w:rPr>
            <w:rStyle w:val="Hyperlink"/>
          </w:rPr>
          <w:t>VDOE’s Student Behavior and Administrative Response Collection page</w:t>
        </w:r>
      </w:hyperlink>
      <w:r>
        <w:t>. The SBAR data reporting system replaced the previous Safe Schools Information Resource (SSIR) beginning the 2021-2022 school year.</w:t>
      </w:r>
    </w:p>
    <w:p w14:paraId="51318C78" w14:textId="77777777" w:rsidR="00DD4DDE" w:rsidRDefault="0096555E" w:rsidP="0096555E">
      <w:pPr>
        <w:numPr>
          <w:ilvl w:val="0"/>
          <w:numId w:val="45"/>
        </w:numPr>
      </w:pPr>
      <w:r>
        <w:rPr>
          <w:b/>
          <w:bCs/>
        </w:rPr>
        <w:t>How are these measured?:</w:t>
      </w:r>
      <w:r>
        <w:t xml:space="preserve"> </w:t>
      </w:r>
      <w:r>
        <w:t>For each measure, the number of relevant events from the SBAR Annual Report are summed and the total is divided by the number of students in the school division (and multiplied by 1,000).</w:t>
      </w:r>
    </w:p>
    <w:p w14:paraId="51318C79" w14:textId="77777777" w:rsidR="00DD4DDE" w:rsidRDefault="0096555E" w:rsidP="0096555E">
      <w:pPr>
        <w:numPr>
          <w:ilvl w:val="1"/>
          <w:numId w:val="46"/>
        </w:numPr>
      </w:pPr>
      <w:r>
        <w:t>BESO: Behaviors that Endanger Self or Others (BESO). These behaviors endanger the health, safety, or welfare of either the student or others in the school community. For ACPS and CCS, the most commonly documented BESO events were related to fighting and assault, threatening violence, and drug possession.</w:t>
      </w:r>
    </w:p>
    <w:p w14:paraId="51318C7A" w14:textId="77777777" w:rsidR="00DD4DDE" w:rsidRDefault="0096555E" w:rsidP="0096555E">
      <w:pPr>
        <w:numPr>
          <w:ilvl w:val="1"/>
          <w:numId w:val="46"/>
        </w:numPr>
      </w:pPr>
      <w:r>
        <w:t>Persistently Dangerous (PD): Behaviors described in Virginia’s Unsafe School Choice Option Policy required by the federal Every Student Succeeds Act of 2015. These behaviors require reports to law enforcement. For ACPS and CCS, the number of PD events resulted in a very low rate of 0.2 or less per 1,000 students. These included possession of drugs with intent to sell and possession of a handgun.</w:t>
      </w:r>
    </w:p>
    <w:p w14:paraId="51318C7B" w14:textId="77777777" w:rsidR="00DD4DDE" w:rsidRDefault="0096555E" w:rsidP="00F57CDF">
      <w:pPr>
        <w:pStyle w:val="Heading4"/>
      </w:pPr>
      <w:bookmarkStart w:id="111" w:name="notable-trends-22"/>
      <w:r>
        <w:t>Notable Trends</w:t>
      </w:r>
    </w:p>
    <w:p w14:paraId="51318C7C" w14:textId="77777777" w:rsidR="00DD4DDE" w:rsidRDefault="0096555E" w:rsidP="0096555E">
      <w:pPr>
        <w:pStyle w:val="Compact"/>
        <w:numPr>
          <w:ilvl w:val="0"/>
          <w:numId w:val="47"/>
        </w:numPr>
      </w:pPr>
      <w:r>
        <w:t>D</w:t>
      </w:r>
      <w:r>
        <w:t>ue to the new implementation of Student Behavior and Administrative Response Collection (SBAR), there are likely inconsistencies between schools in Virginia in the adaptation of this new data reporting system.</w:t>
      </w:r>
    </w:p>
    <w:tbl>
      <w:tblPr>
        <w:tblStyle w:val="Table"/>
        <w:tblW w:w="5000" w:type="pct"/>
        <w:tblLayout w:type="fixed"/>
        <w:tblLook w:val="0000" w:firstRow="0" w:lastRow="0" w:firstColumn="0" w:lastColumn="0" w:noHBand="0" w:noVBand="0"/>
      </w:tblPr>
      <w:tblGrid>
        <w:gridCol w:w="9360"/>
      </w:tblGrid>
      <w:tr w:rsidR="00DD4DDE" w14:paraId="51318C7F" w14:textId="77777777">
        <w:tc>
          <w:tcPr>
            <w:tcW w:w="7920" w:type="dxa"/>
          </w:tcPr>
          <w:p w14:paraId="51318C7D" w14:textId="77777777" w:rsidR="00DD4DDE" w:rsidRDefault="0096555E">
            <w:pPr>
              <w:pStyle w:val="Compact"/>
              <w:jc w:val="center"/>
            </w:pPr>
            <w:bookmarkStart w:id="112" w:name="fig-sbar-beso-img"/>
            <w:r>
              <w:rPr>
                <w:noProof/>
              </w:rPr>
              <w:lastRenderedPageBreak/>
              <w:drawing>
                <wp:inline distT="0" distB="0" distL="0" distR="0" wp14:anchorId="51318D64" wp14:editId="0A337802">
                  <wp:extent cx="5029200" cy="3352800"/>
                  <wp:effectExtent l="0" t="0" r="0" b="0"/>
                  <wp:docPr id="20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descr="figure_images/fig-26-rate-of-beso-incidents-b.png"/>
                          <pic:cNvPicPr>
                            <a:picLocks noChangeAspect="1" noChangeArrowheads="1"/>
                          </pic:cNvPicPr>
                        </pic:nvPicPr>
                        <pic:blipFill>
                          <a:blip r:embed="rId70"/>
                          <a:stretch>
                            <a:fillRect/>
                          </a:stretch>
                        </pic:blipFill>
                        <pic:spPr bwMode="auto">
                          <a:xfrm>
                            <a:off x="0" y="0"/>
                            <a:ext cx="5029200" cy="3352800"/>
                          </a:xfrm>
                          <a:prstGeom prst="rect">
                            <a:avLst/>
                          </a:prstGeom>
                          <a:noFill/>
                          <a:ln w="9525">
                            <a:noFill/>
                            <a:headEnd/>
                            <a:tailEnd/>
                          </a:ln>
                        </pic:spPr>
                      </pic:pic>
                    </a:graphicData>
                  </a:graphic>
                </wp:inline>
              </w:drawing>
            </w:r>
          </w:p>
          <w:p w14:paraId="51318C7E" w14:textId="77777777" w:rsidR="00DD4DDE" w:rsidRDefault="0096555E">
            <w:pPr>
              <w:pStyle w:val="ImageCaption"/>
              <w:spacing w:before="200"/>
            </w:pPr>
            <w:r>
              <w:t>Figure 26: School events recorded as Behaviors that Endanger Self or Others (BESO), rate per 1,000 students, for the 2021-22 through 2023-24 school years at ACPS, CCS, and Virginia public schools.</w:t>
            </w:r>
          </w:p>
        </w:tc>
        <w:bookmarkEnd w:id="112"/>
      </w:tr>
      <w:tr w:rsidR="00DD4DDE" w14:paraId="51318C82" w14:textId="77777777">
        <w:tc>
          <w:tcPr>
            <w:tcW w:w="7920" w:type="dxa"/>
          </w:tcPr>
          <w:p w14:paraId="51318C80" w14:textId="77777777" w:rsidR="00DD4DDE" w:rsidRDefault="0096555E">
            <w:pPr>
              <w:pStyle w:val="Compact"/>
              <w:jc w:val="center"/>
            </w:pPr>
            <w:bookmarkStart w:id="113" w:name="fig-sbar-pd-img"/>
            <w:r>
              <w:rPr>
                <w:noProof/>
              </w:rPr>
              <w:drawing>
                <wp:inline distT="0" distB="0" distL="0" distR="0" wp14:anchorId="51318D66" wp14:editId="763F5A64">
                  <wp:extent cx="5029200" cy="3352800"/>
                  <wp:effectExtent l="0" t="0" r="0" b="0"/>
                  <wp:docPr id="20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descr="figure_images/fig-27-rate-of-pd-incidents-per.png"/>
                          <pic:cNvPicPr>
                            <a:picLocks noChangeAspect="1" noChangeArrowheads="1"/>
                          </pic:cNvPicPr>
                        </pic:nvPicPr>
                        <pic:blipFill>
                          <a:blip r:embed="rId71"/>
                          <a:stretch>
                            <a:fillRect/>
                          </a:stretch>
                        </pic:blipFill>
                        <pic:spPr bwMode="auto">
                          <a:xfrm>
                            <a:off x="0" y="0"/>
                            <a:ext cx="5029200" cy="3352800"/>
                          </a:xfrm>
                          <a:prstGeom prst="rect">
                            <a:avLst/>
                          </a:prstGeom>
                          <a:noFill/>
                          <a:ln w="9525">
                            <a:noFill/>
                            <a:headEnd/>
                            <a:tailEnd/>
                          </a:ln>
                        </pic:spPr>
                      </pic:pic>
                    </a:graphicData>
                  </a:graphic>
                </wp:inline>
              </w:drawing>
            </w:r>
          </w:p>
          <w:p w14:paraId="51318C81" w14:textId="77777777" w:rsidR="00DD4DDE" w:rsidRDefault="0096555E">
            <w:pPr>
              <w:pStyle w:val="ImageCaption"/>
              <w:spacing w:before="200"/>
            </w:pPr>
            <w:r>
              <w:t>Figure 27: School events recorded as Persistently Dangerous Behaviors (PD), rate per 1,000 students, for the 2021-22 through 2023-24 school years at ACPS, CCS, and Virginia public schools.</w:t>
            </w:r>
          </w:p>
        </w:tc>
        <w:bookmarkEnd w:id="113"/>
      </w:tr>
    </w:tbl>
    <w:p w14:paraId="51318C83" w14:textId="77777777" w:rsidR="00DD4DDE" w:rsidRDefault="0096555E" w:rsidP="006957ED">
      <w:pPr>
        <w:pStyle w:val="Heading3"/>
      </w:pPr>
      <w:bookmarkStart w:id="114" w:name="_Toc230089712"/>
      <w:bookmarkEnd w:id="110"/>
      <w:bookmarkEnd w:id="111"/>
      <w:r>
        <w:lastRenderedPageBreak/>
        <w:t>In-School Suspensions</w:t>
      </w:r>
      <w:bookmarkEnd w:id="114"/>
    </w:p>
    <w:p w14:paraId="51318C84" w14:textId="77777777" w:rsidR="00DD4DDE" w:rsidRDefault="0096555E" w:rsidP="00152B11">
      <w:pPr>
        <w:pStyle w:val="FirstParagraph"/>
      </w:pPr>
      <w:bookmarkStart w:id="115" w:name="in-school-suspensions"/>
      <w:r>
        <w:t>In-School suspensions (ISS) are a disciplinary exclusionary setting within the school building used for temporary removal of a student from their regularly scheduled classes. In-School suspensions can be a time for learning, catching up on missed work, problem-solving, getting academic support/tutoring, or meeting with counselors. However, any type of suspension, both in-school and out-of-school, that excludes students from their regular classes, have negative outcomes for students including distrust of the</w:t>
      </w:r>
      <w:r>
        <w:t xml:space="preserve"> school environment, chronic absenteeism, lower academic achievement, and risk of dropping out.</w:t>
      </w:r>
    </w:p>
    <w:p w14:paraId="51318C85" w14:textId="23341C49" w:rsidR="00DD4DDE" w:rsidRDefault="0096555E" w:rsidP="0096555E">
      <w:pPr>
        <w:numPr>
          <w:ilvl w:val="0"/>
          <w:numId w:val="48"/>
        </w:numPr>
      </w:pPr>
      <w:r>
        <w:rPr>
          <w:b/>
          <w:bCs/>
        </w:rPr>
        <w:t>D</w:t>
      </w:r>
      <w:r>
        <w:rPr>
          <w:b/>
          <w:bCs/>
        </w:rPr>
        <w:t>ata considerations:</w:t>
      </w:r>
      <w:r>
        <w:t xml:space="preserve"> For Virginia public schools, an in-school suspension can be a half-day or longer. This metric presents a rate per 1,000 students based on the number of students who received an ISS. Some students may have received multiple in-school suspensions. Details on the behavior categories that can lead to an in-school suspension and other policies can be read on the </w:t>
      </w:r>
      <w:hyperlink r:id="rId72">
        <w:r>
          <w:rPr>
            <w:rStyle w:val="Hyperlink"/>
          </w:rPr>
          <w:t>VDOE’s Student Behavior and Administrative Response Collection page</w:t>
        </w:r>
      </w:hyperlink>
      <w:r>
        <w:t>. The SBAR data reporting system replaced the previous Safe Schools Information Resource (SSIR) beginning the 2021-2022 school year.</w:t>
      </w:r>
    </w:p>
    <w:p w14:paraId="51318C86" w14:textId="77777777" w:rsidR="00DD4DDE" w:rsidRDefault="0096555E" w:rsidP="0096555E">
      <w:pPr>
        <w:numPr>
          <w:ilvl w:val="0"/>
          <w:numId w:val="48"/>
        </w:numPr>
      </w:pPr>
      <w:r>
        <w:rPr>
          <w:b/>
          <w:bCs/>
        </w:rPr>
        <w:t>How is this measured?:</w:t>
      </w:r>
      <w:r>
        <w:t xml:space="preserve"> The rate of students suspended is the count of students given an in-school suspension divided by the total students enrolled in a school division, multiplied by 1,000.</w:t>
      </w:r>
    </w:p>
    <w:p w14:paraId="51318C87" w14:textId="77777777" w:rsidR="00DD4DDE" w:rsidRDefault="0096555E" w:rsidP="00F57CDF">
      <w:pPr>
        <w:pStyle w:val="Heading4"/>
      </w:pPr>
      <w:bookmarkStart w:id="116" w:name="notable-trends-23"/>
      <w:r>
        <w:t>Notable Trends</w:t>
      </w:r>
    </w:p>
    <w:p w14:paraId="51318C88" w14:textId="77777777" w:rsidR="00DD4DDE" w:rsidRDefault="0096555E" w:rsidP="0096555E">
      <w:pPr>
        <w:pStyle w:val="Compact"/>
        <w:numPr>
          <w:ilvl w:val="0"/>
          <w:numId w:val="49"/>
        </w:numPr>
      </w:pPr>
      <w:r>
        <w:t>D</w:t>
      </w:r>
      <w:r>
        <w:t>ue to the new implementation of Student Behavior and Administrative Response Collection (SBAR), there are likely inconsistencies between schools in Virginia in the adaptation of this new data reporting system. In the 2023-24 school year, around 27 of every 1,000 students were reported by CCS as receiving an ISS, compared to 50 per 1,000 students reported by ACPS.</w:t>
      </w:r>
    </w:p>
    <w:tbl>
      <w:tblPr>
        <w:tblStyle w:val="Table"/>
        <w:tblW w:w="5000" w:type="pct"/>
        <w:tblLayout w:type="fixed"/>
        <w:tblLook w:val="0000" w:firstRow="0" w:lastRow="0" w:firstColumn="0" w:lastColumn="0" w:noHBand="0" w:noVBand="0"/>
      </w:tblPr>
      <w:tblGrid>
        <w:gridCol w:w="9360"/>
      </w:tblGrid>
      <w:tr w:rsidR="00DD4DDE" w14:paraId="51318C8B" w14:textId="77777777">
        <w:tc>
          <w:tcPr>
            <w:tcW w:w="7920" w:type="dxa"/>
          </w:tcPr>
          <w:p w14:paraId="51318C89" w14:textId="77777777" w:rsidR="00DD4DDE" w:rsidRDefault="0096555E">
            <w:pPr>
              <w:pStyle w:val="Compact"/>
              <w:jc w:val="center"/>
            </w:pPr>
            <w:bookmarkStart w:id="117" w:name="fig-in-school-img"/>
            <w:r>
              <w:rPr>
                <w:noProof/>
              </w:rPr>
              <w:lastRenderedPageBreak/>
              <w:drawing>
                <wp:inline distT="0" distB="0" distL="0" distR="0" wp14:anchorId="51318D68" wp14:editId="0C56A420">
                  <wp:extent cx="5029200" cy="3352800"/>
                  <wp:effectExtent l="0" t="0" r="0" b="0"/>
                  <wp:docPr id="2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descr="figure_images/fig-28-rate-of-in-school-suspen.png"/>
                          <pic:cNvPicPr>
                            <a:picLocks noChangeAspect="1" noChangeArrowheads="1"/>
                          </pic:cNvPicPr>
                        </pic:nvPicPr>
                        <pic:blipFill>
                          <a:blip r:embed="rId73"/>
                          <a:stretch>
                            <a:fillRect/>
                          </a:stretch>
                        </pic:blipFill>
                        <pic:spPr bwMode="auto">
                          <a:xfrm>
                            <a:off x="0" y="0"/>
                            <a:ext cx="5029200" cy="3352800"/>
                          </a:xfrm>
                          <a:prstGeom prst="rect">
                            <a:avLst/>
                          </a:prstGeom>
                          <a:noFill/>
                          <a:ln w="9525">
                            <a:noFill/>
                            <a:headEnd/>
                            <a:tailEnd/>
                          </a:ln>
                        </pic:spPr>
                      </pic:pic>
                    </a:graphicData>
                  </a:graphic>
                </wp:inline>
              </w:drawing>
            </w:r>
          </w:p>
          <w:p w14:paraId="51318C8A" w14:textId="77777777" w:rsidR="00DD4DDE" w:rsidRDefault="0096555E">
            <w:pPr>
              <w:pStyle w:val="ImageCaption"/>
              <w:spacing w:before="200"/>
            </w:pPr>
            <w:r>
              <w:t>Figure 28: In-school suspensions, rate per 1,000 students, for the 2021-22 through 2023-24 school years at ACPS, CCS, and Virginia public schools.</w:t>
            </w:r>
          </w:p>
        </w:tc>
        <w:bookmarkEnd w:id="117"/>
      </w:tr>
    </w:tbl>
    <w:p w14:paraId="51318C8C" w14:textId="77777777" w:rsidR="00DD4DDE" w:rsidRDefault="0096555E" w:rsidP="006957ED">
      <w:pPr>
        <w:pStyle w:val="Heading3"/>
      </w:pPr>
      <w:bookmarkStart w:id="118" w:name="_Toc230089713"/>
      <w:bookmarkEnd w:id="115"/>
      <w:bookmarkEnd w:id="116"/>
      <w:r>
        <w:t>Out-of-School Suspensions</w:t>
      </w:r>
      <w:bookmarkEnd w:id="118"/>
    </w:p>
    <w:p w14:paraId="51318C8D" w14:textId="77777777" w:rsidR="00DD4DDE" w:rsidRDefault="0096555E" w:rsidP="00152B11">
      <w:pPr>
        <w:pStyle w:val="FirstParagraph"/>
      </w:pPr>
      <w:bookmarkStart w:id="119" w:name="out-of-school-suspensions"/>
      <w:r>
        <w:t>Out-of-School suspensions (OSS) are an exclusionary disciplinary tool that temporarily removes students from their schools for a violation of school policies or rules. Being suspended from school is associated with multiple poor outcomes including lower academic achievement, being at risk for dropping out, and involvement in the criminal justice system.</w:t>
      </w:r>
    </w:p>
    <w:p w14:paraId="51318C8E" w14:textId="7723A933" w:rsidR="00DD4DDE" w:rsidRDefault="0096555E" w:rsidP="0096555E">
      <w:pPr>
        <w:numPr>
          <w:ilvl w:val="0"/>
          <w:numId w:val="50"/>
        </w:numPr>
      </w:pPr>
      <w:r>
        <w:rPr>
          <w:b/>
          <w:bCs/>
        </w:rPr>
        <w:t>D</w:t>
      </w:r>
      <w:r>
        <w:rPr>
          <w:b/>
          <w:bCs/>
        </w:rPr>
        <w:t>ata considerations:</w:t>
      </w:r>
      <w:r>
        <w:t xml:space="preserve"> For Virginia public schools, an OSS can range from 1-10 days for a short-term suspension to 11 or more days for a long-term suspension. Depending on the length of the suspension and aggravating circumstances, out-of-school suspensions are assigned by school-based administrators, division-level administrators such as Superintendents, or by the School Board. In ACPS and CCS, the majority of out-of-school suspensions are determined at the school admin level. This metric presents a rate per </w:t>
      </w:r>
      <w:r>
        <w:t xml:space="preserve">1,000 students based on the number of students who received an OSS. Some students may have received multiple out-of-school suspensions. Details on the behavior categories that can lead to an out-of-school suspension and other policies can be read on the </w:t>
      </w:r>
      <w:hyperlink r:id="rId74">
        <w:r>
          <w:rPr>
            <w:rStyle w:val="Hyperlink"/>
          </w:rPr>
          <w:t>VDOE’s Student Behavior and Administrative Response Collection page</w:t>
        </w:r>
      </w:hyperlink>
      <w:r>
        <w:t>. The SBAR data reporting system replaced the previous Safe Schools Information Resource (SSIR) beginning the 2021-2022 school year.</w:t>
      </w:r>
    </w:p>
    <w:p w14:paraId="51318C8F" w14:textId="77777777" w:rsidR="00DD4DDE" w:rsidRDefault="0096555E" w:rsidP="0096555E">
      <w:pPr>
        <w:numPr>
          <w:ilvl w:val="0"/>
          <w:numId w:val="50"/>
        </w:numPr>
      </w:pPr>
      <w:r>
        <w:rPr>
          <w:b/>
          <w:bCs/>
        </w:rPr>
        <w:lastRenderedPageBreak/>
        <w:t>How is this measured?:</w:t>
      </w:r>
      <w:r>
        <w:t xml:space="preserve"> The rate of students suspended is the count of students given an out-of-school suspension divided by the total students enrolled in a school division, multiplied by 1,000.</w:t>
      </w:r>
    </w:p>
    <w:p w14:paraId="51318C90" w14:textId="77777777" w:rsidR="00DD4DDE" w:rsidRDefault="0096555E" w:rsidP="00F57CDF">
      <w:pPr>
        <w:pStyle w:val="Heading4"/>
      </w:pPr>
      <w:bookmarkStart w:id="120" w:name="notable-trends-24"/>
      <w:r>
        <w:t>Notable Trends</w:t>
      </w:r>
    </w:p>
    <w:p w14:paraId="51318C91" w14:textId="77777777" w:rsidR="00DD4DDE" w:rsidRDefault="0096555E" w:rsidP="0096555E">
      <w:pPr>
        <w:pStyle w:val="Compact"/>
        <w:numPr>
          <w:ilvl w:val="0"/>
          <w:numId w:val="51"/>
        </w:numPr>
      </w:pPr>
      <w:r>
        <w:t>D</w:t>
      </w:r>
      <w:r>
        <w:t>ue to the new implementation of Student Behavior and Administrative Response Collection (SBAR), there are likely inconsistencies between schools in Virginia in the adaptation of this new data reporting system. In the 2023-24 school year, around 64 of every 1,000 students were reported by CCS as receiving an OSS, compared to 29 per 1,000 students by ACPS.</w:t>
      </w:r>
    </w:p>
    <w:tbl>
      <w:tblPr>
        <w:tblStyle w:val="Table"/>
        <w:tblW w:w="5000" w:type="pct"/>
        <w:tblLayout w:type="fixed"/>
        <w:tblLook w:val="0000" w:firstRow="0" w:lastRow="0" w:firstColumn="0" w:lastColumn="0" w:noHBand="0" w:noVBand="0"/>
      </w:tblPr>
      <w:tblGrid>
        <w:gridCol w:w="9360"/>
      </w:tblGrid>
      <w:tr w:rsidR="00DD4DDE" w14:paraId="51318C94" w14:textId="77777777">
        <w:tc>
          <w:tcPr>
            <w:tcW w:w="7920" w:type="dxa"/>
          </w:tcPr>
          <w:p w14:paraId="51318C92" w14:textId="77777777" w:rsidR="00DD4DDE" w:rsidRDefault="0096555E">
            <w:pPr>
              <w:pStyle w:val="Compact"/>
              <w:jc w:val="center"/>
            </w:pPr>
            <w:bookmarkStart w:id="121" w:name="fig-out-school-img"/>
            <w:r>
              <w:rPr>
                <w:noProof/>
              </w:rPr>
              <w:drawing>
                <wp:inline distT="0" distB="0" distL="0" distR="0" wp14:anchorId="51318D6A" wp14:editId="2C108814">
                  <wp:extent cx="5029200" cy="3352800"/>
                  <wp:effectExtent l="0" t="0" r="0" b="0"/>
                  <wp:docPr id="2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descr="figure_images/fig-29-rate-of-out-of-school-su.png"/>
                          <pic:cNvPicPr>
                            <a:picLocks noChangeAspect="1" noChangeArrowheads="1"/>
                          </pic:cNvPicPr>
                        </pic:nvPicPr>
                        <pic:blipFill>
                          <a:blip r:embed="rId75"/>
                          <a:stretch>
                            <a:fillRect/>
                          </a:stretch>
                        </pic:blipFill>
                        <pic:spPr bwMode="auto">
                          <a:xfrm>
                            <a:off x="0" y="0"/>
                            <a:ext cx="5029200" cy="3352800"/>
                          </a:xfrm>
                          <a:prstGeom prst="rect">
                            <a:avLst/>
                          </a:prstGeom>
                          <a:noFill/>
                          <a:ln w="9525">
                            <a:noFill/>
                            <a:headEnd/>
                            <a:tailEnd/>
                          </a:ln>
                        </pic:spPr>
                      </pic:pic>
                    </a:graphicData>
                  </a:graphic>
                </wp:inline>
              </w:drawing>
            </w:r>
          </w:p>
          <w:p w14:paraId="51318C93" w14:textId="77777777" w:rsidR="00DD4DDE" w:rsidRDefault="0096555E">
            <w:pPr>
              <w:pStyle w:val="ImageCaption"/>
              <w:spacing w:before="200"/>
            </w:pPr>
            <w:r>
              <w:t>Figure 29: Out-of-school suspensions, rate per 1,000 students, for the 2021-22 through 2023-24 school years at ACPS, CCS, and Virginia public schools.</w:t>
            </w:r>
          </w:p>
        </w:tc>
        <w:bookmarkEnd w:id="121"/>
      </w:tr>
    </w:tbl>
    <w:p w14:paraId="51318C95" w14:textId="77777777" w:rsidR="00DD4DDE" w:rsidRDefault="0096555E" w:rsidP="006957ED">
      <w:pPr>
        <w:pStyle w:val="Heading3"/>
      </w:pPr>
      <w:bookmarkStart w:id="122" w:name="_Toc230089714"/>
      <w:bookmarkEnd w:id="119"/>
      <w:bookmarkEnd w:id="120"/>
      <w:r>
        <w:t>Children in Need of Services or Supervision</w:t>
      </w:r>
      <w:bookmarkEnd w:id="122"/>
    </w:p>
    <w:p w14:paraId="51318C96" w14:textId="5E09C8DF" w:rsidR="00DD4DDE" w:rsidRDefault="0096555E" w:rsidP="00152B11">
      <w:pPr>
        <w:pStyle w:val="FirstParagraph"/>
      </w:pPr>
      <w:bookmarkStart w:id="123" w:name="X95af582a785cd36d412105170f21df495f588d7"/>
      <w:r>
        <w:t>This measure tracks the number of judgments of a child in need of supervision, a young person who is truant or has run away from home, and the number of judgments of a child in need of services, a young person whose behavior, conduct, or condition presents or results in a serious threat to himself or another person. A CHINS petition can be filed by parents, police, and school authorities and is adjudicated in Juvenile Court. According to Virginia Code</w:t>
      </w:r>
      <w:hyperlink r:id="rId76">
        <w:r>
          <w:rPr>
            <w:rStyle w:val="Hyperlink"/>
          </w:rPr>
          <w:t>§ 16.1-278.4</w:t>
        </w:r>
      </w:hyperlink>
      <w:r>
        <w:t xml:space="preserve"> and</w:t>
      </w:r>
      <w:hyperlink r:id="rId77">
        <w:r>
          <w:rPr>
            <w:rStyle w:val="Hyperlink"/>
          </w:rPr>
          <w:t>§ 16.1-278.5</w:t>
        </w:r>
      </w:hyperlink>
      <w:r>
        <w:t>, a child who has been found in need of services or supervision may be subject to probation, transfer of custody, or rehabilitative treatment.</w:t>
      </w:r>
    </w:p>
    <w:p w14:paraId="51318C97" w14:textId="77777777" w:rsidR="00DD4DDE" w:rsidRDefault="0096555E" w:rsidP="0096555E">
      <w:pPr>
        <w:pStyle w:val="Compact"/>
        <w:numPr>
          <w:ilvl w:val="0"/>
          <w:numId w:val="52"/>
        </w:numPr>
      </w:pPr>
      <w:r>
        <w:rPr>
          <w:b/>
          <w:bCs/>
        </w:rPr>
        <w:lastRenderedPageBreak/>
        <w:t>H</w:t>
      </w:r>
      <w:r>
        <w:rPr>
          <w:b/>
          <w:bCs/>
        </w:rPr>
        <w:t>ow is this measured?:</w:t>
      </w:r>
      <w:r>
        <w:t xml:space="preserve"> This metric counts the number of dispositions of children in need of services and truancy issued in a court jurisdiction divided by the number of residents aged 5-17 in the locality (multiplied by 1,000).</w:t>
      </w:r>
    </w:p>
    <w:p w14:paraId="51318C98" w14:textId="77777777" w:rsidR="00DD4DDE" w:rsidRDefault="0096555E" w:rsidP="00F57CDF">
      <w:pPr>
        <w:pStyle w:val="Heading4"/>
      </w:pPr>
      <w:bookmarkStart w:id="124" w:name="notable-trends-25"/>
      <w:r>
        <w:t>Notable Trends</w:t>
      </w:r>
    </w:p>
    <w:p w14:paraId="51318C99" w14:textId="77777777" w:rsidR="00DD4DDE" w:rsidRDefault="0096555E" w:rsidP="0096555E">
      <w:pPr>
        <w:numPr>
          <w:ilvl w:val="0"/>
          <w:numId w:val="53"/>
        </w:numPr>
      </w:pPr>
      <w:r>
        <w:t>T</w:t>
      </w:r>
      <w:r>
        <w:t>he past rate has been higher in Charlottesville than in Albemarle, peaking at 15 per 1,000 youth in 2016, and falling to around 2 per 1,000 youth in 2023 and 2024.</w:t>
      </w:r>
    </w:p>
    <w:p w14:paraId="51318C9A" w14:textId="77777777" w:rsidR="00DD4DDE" w:rsidRDefault="0096555E" w:rsidP="0096555E">
      <w:pPr>
        <w:numPr>
          <w:ilvl w:val="0"/>
          <w:numId w:val="53"/>
        </w:numPr>
      </w:pPr>
      <w:r>
        <w:t>The rate in Albemarle saw a high around 5 in 2014 and has fallen to between 1 and 3 per 1,000 youth in 2024.</w:t>
      </w:r>
    </w:p>
    <w:tbl>
      <w:tblPr>
        <w:tblStyle w:val="Table"/>
        <w:tblW w:w="5000" w:type="pct"/>
        <w:tblLayout w:type="fixed"/>
        <w:tblLook w:val="0000" w:firstRow="0" w:lastRow="0" w:firstColumn="0" w:lastColumn="0" w:noHBand="0" w:noVBand="0"/>
      </w:tblPr>
      <w:tblGrid>
        <w:gridCol w:w="9360"/>
      </w:tblGrid>
      <w:tr w:rsidR="00DD4DDE" w14:paraId="51318C9D" w14:textId="77777777">
        <w:tc>
          <w:tcPr>
            <w:tcW w:w="7920" w:type="dxa"/>
          </w:tcPr>
          <w:p w14:paraId="51318C9B" w14:textId="77777777" w:rsidR="00DD4DDE" w:rsidRDefault="0096555E">
            <w:pPr>
              <w:pStyle w:val="Compact"/>
              <w:jc w:val="center"/>
            </w:pPr>
            <w:bookmarkStart w:id="125" w:name="fig-supervision-img"/>
            <w:r>
              <w:rPr>
                <w:noProof/>
              </w:rPr>
              <w:drawing>
                <wp:inline distT="0" distB="0" distL="0" distR="0" wp14:anchorId="51318D6C" wp14:editId="7F54D45D">
                  <wp:extent cx="5029200" cy="3352800"/>
                  <wp:effectExtent l="0" t="0" r="0" b="0"/>
                  <wp:docPr id="2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descr="figure_images/fig-30-rate-of-youth-in-need-of.png"/>
                          <pic:cNvPicPr>
                            <a:picLocks noChangeAspect="1" noChangeArrowheads="1"/>
                          </pic:cNvPicPr>
                        </pic:nvPicPr>
                        <pic:blipFill>
                          <a:blip r:embed="rId78"/>
                          <a:stretch>
                            <a:fillRect/>
                          </a:stretch>
                        </pic:blipFill>
                        <pic:spPr bwMode="auto">
                          <a:xfrm>
                            <a:off x="0" y="0"/>
                            <a:ext cx="5029200" cy="3352800"/>
                          </a:xfrm>
                          <a:prstGeom prst="rect">
                            <a:avLst/>
                          </a:prstGeom>
                          <a:noFill/>
                          <a:ln w="9525">
                            <a:noFill/>
                            <a:headEnd/>
                            <a:tailEnd/>
                          </a:ln>
                        </pic:spPr>
                      </pic:pic>
                    </a:graphicData>
                  </a:graphic>
                </wp:inline>
              </w:drawing>
            </w:r>
          </w:p>
          <w:p w14:paraId="51318C9C" w14:textId="77777777" w:rsidR="00DD4DDE" w:rsidRDefault="0096555E">
            <w:pPr>
              <w:pStyle w:val="ImageCaption"/>
              <w:spacing w:before="200"/>
            </w:pPr>
            <w:r>
              <w:t>Figure 30: Youth in need of services or supervision, rate per 1,000 youth ages 5-17, for 2010-2024 for Albemarle County, Charlottesville City, and Virginia.</w:t>
            </w:r>
          </w:p>
        </w:tc>
        <w:bookmarkEnd w:id="125"/>
      </w:tr>
    </w:tbl>
    <w:p w14:paraId="51318C9E" w14:textId="77777777" w:rsidR="00DD4DDE" w:rsidRDefault="0096555E" w:rsidP="006957ED">
      <w:pPr>
        <w:pStyle w:val="Heading3"/>
      </w:pPr>
      <w:bookmarkStart w:id="126" w:name="_Toc230089715"/>
      <w:bookmarkEnd w:id="123"/>
      <w:bookmarkEnd w:id="124"/>
      <w:r>
        <w:t>Juvenile Delinquency Judgments</w:t>
      </w:r>
      <w:bookmarkEnd w:id="126"/>
    </w:p>
    <w:p w14:paraId="51318C9F" w14:textId="73775E0D" w:rsidR="00DD4DDE" w:rsidRDefault="0096555E" w:rsidP="00152B11">
      <w:pPr>
        <w:pStyle w:val="FirstParagraph"/>
      </w:pPr>
      <w:bookmarkStart w:id="127" w:name="juvenile-delinquency-judgments"/>
      <w:r>
        <w:t>This measure tracks the number of judgments of delinquency in the Juvenile and Domestic Relations court. A delinquent judgment may be passed when someone under age 18 commits an act which would be a crime if committed by an adult (including felonies and misdemeanors) and a ruling of delinquency entails escalated involvement with the justice system. According to</w:t>
      </w:r>
      <w:r w:rsidR="00202956">
        <w:t xml:space="preserve"> </w:t>
      </w:r>
      <w:hyperlink r:id="rId79">
        <w:r>
          <w:rPr>
            <w:rStyle w:val="Hyperlink"/>
          </w:rPr>
          <w:t>Virginia Code § 16.1-278.8</w:t>
        </w:r>
      </w:hyperlink>
      <w:r>
        <w:t>, juveniles found to be delinquent may be subject to multiple types of sanctions or services: commitment to juvenile justice, probation, substance abuse treatment, fines and restitution, loss of driver’s license, public service project, and others.</w:t>
      </w:r>
    </w:p>
    <w:p w14:paraId="51318CA0" w14:textId="77777777" w:rsidR="00DD4DDE" w:rsidRDefault="0096555E" w:rsidP="0096555E">
      <w:pPr>
        <w:numPr>
          <w:ilvl w:val="0"/>
          <w:numId w:val="54"/>
        </w:numPr>
      </w:pPr>
      <w:r>
        <w:rPr>
          <w:b/>
          <w:bCs/>
        </w:rPr>
        <w:lastRenderedPageBreak/>
        <w:t>D</w:t>
      </w:r>
      <w:r>
        <w:rPr>
          <w:b/>
          <w:bCs/>
        </w:rPr>
        <w:t>ata considerations:</w:t>
      </w:r>
      <w:r>
        <w:t xml:space="preserve"> These data do not include “status offenses”, behaviors that are not crimes but are prohibited because of a youth’s status as a minor.</w:t>
      </w:r>
    </w:p>
    <w:p w14:paraId="51318CA1" w14:textId="77777777" w:rsidR="00DD4DDE" w:rsidRDefault="0096555E" w:rsidP="0096555E">
      <w:pPr>
        <w:numPr>
          <w:ilvl w:val="0"/>
          <w:numId w:val="54"/>
        </w:numPr>
      </w:pPr>
      <w:r>
        <w:rPr>
          <w:b/>
          <w:bCs/>
        </w:rPr>
        <w:t>How is this measured?:</w:t>
      </w:r>
      <w:r>
        <w:t xml:space="preserve"> This metric counts the number of juvenile delinquency felony and misdemeanor dispositions issued in a court jurisdiction divided by the number of residents aged 10-17 in the locality, multiplied by 1,000. The majority of delinquency judgments are misdemeanors, both statewide and in local jurisdictions.</w:t>
      </w:r>
    </w:p>
    <w:p w14:paraId="51318CA2" w14:textId="77777777" w:rsidR="00DD4DDE" w:rsidRDefault="0096555E" w:rsidP="00F57CDF">
      <w:pPr>
        <w:pStyle w:val="Heading4"/>
      </w:pPr>
      <w:bookmarkStart w:id="128" w:name="notable-trends-26"/>
      <w:r>
        <w:t>Notable Trends</w:t>
      </w:r>
    </w:p>
    <w:p w14:paraId="51318CA3" w14:textId="77777777" w:rsidR="00DD4DDE" w:rsidRDefault="0096555E" w:rsidP="0096555E">
      <w:pPr>
        <w:pStyle w:val="Compact"/>
        <w:numPr>
          <w:ilvl w:val="0"/>
          <w:numId w:val="55"/>
        </w:numPr>
      </w:pPr>
      <w:r>
        <w:t>T</w:t>
      </w:r>
      <w:r>
        <w:t>he rate of juvenile delinquency judgments has decreased steadily in both Charlottesville and Albemarle. In 2010, the rate in Charlottesville was 132 per 1,000 youth, but fell to 40 in 2024. In 2010, the rate in Albemarle was 51 per 1,000 youth, but fell to 18 in 2024.</w:t>
      </w:r>
    </w:p>
    <w:tbl>
      <w:tblPr>
        <w:tblStyle w:val="Table"/>
        <w:tblW w:w="5000" w:type="pct"/>
        <w:tblLayout w:type="fixed"/>
        <w:tblLook w:val="0000" w:firstRow="0" w:lastRow="0" w:firstColumn="0" w:lastColumn="0" w:noHBand="0" w:noVBand="0"/>
      </w:tblPr>
      <w:tblGrid>
        <w:gridCol w:w="9360"/>
      </w:tblGrid>
      <w:tr w:rsidR="00DD4DDE" w14:paraId="51318CA6" w14:textId="77777777">
        <w:tc>
          <w:tcPr>
            <w:tcW w:w="7920" w:type="dxa"/>
          </w:tcPr>
          <w:p w14:paraId="51318CA4" w14:textId="77777777" w:rsidR="00DD4DDE" w:rsidRDefault="0096555E">
            <w:pPr>
              <w:pStyle w:val="Compact"/>
              <w:jc w:val="center"/>
            </w:pPr>
            <w:bookmarkStart w:id="129" w:name="fig-delinquent-img"/>
            <w:r>
              <w:rPr>
                <w:noProof/>
              </w:rPr>
              <w:drawing>
                <wp:inline distT="0" distB="0" distL="0" distR="0" wp14:anchorId="51318D6E" wp14:editId="0F81FE1B">
                  <wp:extent cx="5029200" cy="3352800"/>
                  <wp:effectExtent l="0" t="0" r="0" b="0"/>
                  <wp:docPr id="2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descr="figure_images/fig-31-rate-of-juvenile-delinqu.png"/>
                          <pic:cNvPicPr>
                            <a:picLocks noChangeAspect="1" noChangeArrowheads="1"/>
                          </pic:cNvPicPr>
                        </pic:nvPicPr>
                        <pic:blipFill>
                          <a:blip r:embed="rId80"/>
                          <a:stretch>
                            <a:fillRect/>
                          </a:stretch>
                        </pic:blipFill>
                        <pic:spPr bwMode="auto">
                          <a:xfrm>
                            <a:off x="0" y="0"/>
                            <a:ext cx="5029200" cy="3352800"/>
                          </a:xfrm>
                          <a:prstGeom prst="rect">
                            <a:avLst/>
                          </a:prstGeom>
                          <a:noFill/>
                          <a:ln w="9525">
                            <a:noFill/>
                            <a:headEnd/>
                            <a:tailEnd/>
                          </a:ln>
                        </pic:spPr>
                      </pic:pic>
                    </a:graphicData>
                  </a:graphic>
                </wp:inline>
              </w:drawing>
            </w:r>
          </w:p>
          <w:p w14:paraId="51318CA5" w14:textId="77777777" w:rsidR="00DD4DDE" w:rsidRDefault="0096555E">
            <w:pPr>
              <w:pStyle w:val="ImageCaption"/>
              <w:spacing w:before="200"/>
            </w:pPr>
            <w:r>
              <w:t>Figure 31: Juvenile delinquency judgments for youth, rate per 1,000 youth ages 10-17, for 2010-2024 for Albemarle County, Charlottesville City, and Virginia.</w:t>
            </w:r>
          </w:p>
        </w:tc>
        <w:bookmarkEnd w:id="129"/>
      </w:tr>
    </w:tbl>
    <w:p w14:paraId="51318CA7" w14:textId="77777777" w:rsidR="00DD4DDE" w:rsidRDefault="0096555E" w:rsidP="006957ED">
      <w:pPr>
        <w:pStyle w:val="Heading3"/>
      </w:pPr>
      <w:bookmarkStart w:id="130" w:name="_Toc230089716"/>
      <w:bookmarkEnd w:id="127"/>
      <w:bookmarkEnd w:id="128"/>
      <w:r>
        <w:t>Arrests for Violent Crimes</w:t>
      </w:r>
      <w:bookmarkEnd w:id="130"/>
    </w:p>
    <w:p w14:paraId="51318CA8" w14:textId="77777777" w:rsidR="00DD4DDE" w:rsidRDefault="0096555E" w:rsidP="00152B11">
      <w:pPr>
        <w:pStyle w:val="FirstParagraph"/>
      </w:pPr>
      <w:bookmarkStart w:id="131" w:name="arrests-for-violent-crimes"/>
      <w:r>
        <w:t>Youth involvement in violent crimes reflects the exposure of young people to serious harm. Contact with the justice system is linked to future challenges in education, employment, and health for young people. This measure tracks the rate of arrests of youth under 18 for crimes against persons.</w:t>
      </w:r>
    </w:p>
    <w:p w14:paraId="51318CA9" w14:textId="77777777" w:rsidR="00DD4DDE" w:rsidRDefault="0096555E" w:rsidP="0096555E">
      <w:pPr>
        <w:numPr>
          <w:ilvl w:val="0"/>
          <w:numId w:val="56"/>
        </w:numPr>
      </w:pPr>
      <w:r>
        <w:rPr>
          <w:b/>
          <w:bCs/>
        </w:rPr>
        <w:lastRenderedPageBreak/>
        <w:t>D</w:t>
      </w:r>
      <w:r>
        <w:rPr>
          <w:b/>
          <w:bCs/>
        </w:rPr>
        <w:t>ata considerations:</w:t>
      </w:r>
      <w:r>
        <w:t xml:space="preserve"> </w:t>
      </w:r>
      <w:r>
        <w:t>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14:paraId="51318CAA" w14:textId="77777777" w:rsidR="00DD4DDE" w:rsidRDefault="0096555E" w:rsidP="0096555E">
      <w:pPr>
        <w:numPr>
          <w:ilvl w:val="0"/>
          <w:numId w:val="56"/>
        </w:numPr>
      </w:pPr>
      <w:r>
        <w:rPr>
          <w:b/>
          <w:bCs/>
        </w:rPr>
        <w:t>How is this measured?:</w:t>
      </w:r>
      <w:r>
        <w:t xml:space="preserve"> The arrest rate is the sum of arrests among juveniles for crimes against persons including murder, negligent manslaughter, kidnapping, sex offenses, aggravated assault, simple assault, and intimidation among juveniles, divided by the number of residents aged 10-17 (multiplied by 1,000).</w:t>
      </w:r>
    </w:p>
    <w:p w14:paraId="51318CAB" w14:textId="77777777" w:rsidR="00DD4DDE" w:rsidRDefault="0096555E" w:rsidP="00F57CDF">
      <w:pPr>
        <w:pStyle w:val="Heading4"/>
      </w:pPr>
      <w:bookmarkStart w:id="132" w:name="notable-trends-27"/>
      <w:r>
        <w:t>Notable Trends</w:t>
      </w:r>
    </w:p>
    <w:p w14:paraId="51318CAC" w14:textId="77777777" w:rsidR="00DD4DDE" w:rsidRDefault="0096555E" w:rsidP="0096555E">
      <w:pPr>
        <w:numPr>
          <w:ilvl w:val="0"/>
          <w:numId w:val="57"/>
        </w:numPr>
      </w:pPr>
      <w:r>
        <w:t>A</w:t>
      </w:r>
      <w:r>
        <w:t>rrest rates in both Albemarle and Charlottesville have seen a mostly downward trend since 2010. In Charlottesville the arrest rate was 5 per 1,000 youth in 2011 and has gone down to 0 recorded in 2024.</w:t>
      </w:r>
    </w:p>
    <w:p w14:paraId="51318CAD" w14:textId="77777777" w:rsidR="00DD4DDE" w:rsidRDefault="0096555E" w:rsidP="0096555E">
      <w:pPr>
        <w:numPr>
          <w:ilvl w:val="0"/>
          <w:numId w:val="57"/>
        </w:numPr>
      </w:pPr>
      <w:r>
        <w:t>The rate of arrests in both the county and city have remained below statewide trends over the past decade.</w:t>
      </w:r>
    </w:p>
    <w:tbl>
      <w:tblPr>
        <w:tblStyle w:val="Table"/>
        <w:tblW w:w="5000" w:type="pct"/>
        <w:tblLayout w:type="fixed"/>
        <w:tblLook w:val="0000" w:firstRow="0" w:lastRow="0" w:firstColumn="0" w:lastColumn="0" w:noHBand="0" w:noVBand="0"/>
      </w:tblPr>
      <w:tblGrid>
        <w:gridCol w:w="9360"/>
      </w:tblGrid>
      <w:tr w:rsidR="00DD4DDE" w14:paraId="51318CB0" w14:textId="77777777">
        <w:tc>
          <w:tcPr>
            <w:tcW w:w="7920" w:type="dxa"/>
          </w:tcPr>
          <w:p w14:paraId="51318CAE" w14:textId="77777777" w:rsidR="00DD4DDE" w:rsidRDefault="0096555E">
            <w:pPr>
              <w:pStyle w:val="Compact"/>
              <w:jc w:val="center"/>
            </w:pPr>
            <w:bookmarkStart w:id="133" w:name="fig-arrest-img"/>
            <w:r>
              <w:rPr>
                <w:noProof/>
              </w:rPr>
              <w:drawing>
                <wp:inline distT="0" distB="0" distL="0" distR="0" wp14:anchorId="51318D70" wp14:editId="3FF7046C">
                  <wp:extent cx="5029200" cy="3352800"/>
                  <wp:effectExtent l="0" t="0" r="0" b="0"/>
                  <wp:docPr id="2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descr="figure_images/fig-32-rate-of-youth-arrests-fo.png"/>
                          <pic:cNvPicPr>
                            <a:picLocks noChangeAspect="1" noChangeArrowheads="1"/>
                          </pic:cNvPicPr>
                        </pic:nvPicPr>
                        <pic:blipFill>
                          <a:blip r:embed="rId81"/>
                          <a:stretch>
                            <a:fillRect/>
                          </a:stretch>
                        </pic:blipFill>
                        <pic:spPr bwMode="auto">
                          <a:xfrm>
                            <a:off x="0" y="0"/>
                            <a:ext cx="5029200" cy="3352800"/>
                          </a:xfrm>
                          <a:prstGeom prst="rect">
                            <a:avLst/>
                          </a:prstGeom>
                          <a:noFill/>
                          <a:ln w="9525">
                            <a:noFill/>
                            <a:headEnd/>
                            <a:tailEnd/>
                          </a:ln>
                        </pic:spPr>
                      </pic:pic>
                    </a:graphicData>
                  </a:graphic>
                </wp:inline>
              </w:drawing>
            </w:r>
          </w:p>
          <w:p w14:paraId="51318CAF" w14:textId="77777777" w:rsidR="00DD4DDE" w:rsidRDefault="0096555E">
            <w:pPr>
              <w:pStyle w:val="ImageCaption"/>
              <w:spacing w:before="200"/>
            </w:pPr>
            <w:r>
              <w:t>Figure 32: Youth arrests for crimes against persons, rate per 1,000 youth ages 10-17, for 2010-2024 for Albemarle County, Charlottesville City, and Virginia.</w:t>
            </w:r>
          </w:p>
        </w:tc>
        <w:bookmarkEnd w:id="133"/>
      </w:tr>
    </w:tbl>
    <w:p w14:paraId="51318CB1" w14:textId="1C9B84DE" w:rsidR="00DD4DDE" w:rsidRDefault="0096555E" w:rsidP="006957ED">
      <w:pPr>
        <w:pStyle w:val="Heading3"/>
      </w:pPr>
      <w:bookmarkStart w:id="134" w:name="_Toc230089717"/>
      <w:bookmarkEnd w:id="131"/>
      <w:bookmarkEnd w:id="132"/>
      <w:r>
        <w:t>Arrests for Crimes Involving Firearms</w:t>
      </w:r>
      <w:bookmarkEnd w:id="134"/>
    </w:p>
    <w:p w14:paraId="51318CB2" w14:textId="6279DEE6" w:rsidR="00DD4DDE" w:rsidRDefault="0096555E" w:rsidP="00152B11">
      <w:pPr>
        <w:pStyle w:val="FirstParagraph"/>
      </w:pPr>
      <w:bookmarkStart w:id="135" w:name="Xa1a94d5c2698b158b318e5bcb46d0221cdcb59f"/>
      <w:bookmarkStart w:id="136" w:name="arrests-for-crimes-involving-firearms"/>
      <w:r>
        <w:lastRenderedPageBreak/>
        <w:t xml:space="preserve">Gun violence is a leading cause of death and injury among youth in the U.S. Arrests of youth for crimes involving firearms can signal the severity of youth-involved violence as well as youth exposure to environments where guns are present. This measure presents the rate of arrests of youth aged 10 to 17 for any crime – from illegal possession to robbery to serious violent crime – involving a firearm. See </w:t>
      </w:r>
      <w:hyperlink r:id="rId82">
        <w:r>
          <w:rPr>
            <w:rStyle w:val="Hyperlink"/>
          </w:rPr>
          <w:t>The State of Gun Violence in Charlottesville &amp; Albemarle</w:t>
        </w:r>
      </w:hyperlink>
      <w:r>
        <w:t xml:space="preserve"> for additional data on firearm violence in the community.</w:t>
      </w:r>
    </w:p>
    <w:p w14:paraId="51318CB3" w14:textId="77777777" w:rsidR="00DD4DDE" w:rsidRDefault="0096555E" w:rsidP="0096555E">
      <w:pPr>
        <w:numPr>
          <w:ilvl w:val="0"/>
          <w:numId w:val="58"/>
        </w:numPr>
      </w:pPr>
      <w:r>
        <w:rPr>
          <w:b/>
          <w:bCs/>
        </w:rPr>
        <w:t>D</w:t>
      </w:r>
      <w:r>
        <w:rPr>
          <w:b/>
          <w:bCs/>
        </w:rPr>
        <w:t>ata considerations:</w:t>
      </w:r>
      <w:r>
        <w:t xml:space="preserve"> Arrest data capture only instances observed by or reported to police and instances which policing authorities evaluate as being subject to arrest. They arise from policing practices as well as behavior. Thus, it is important not to equate this metric with the occurrence of crime among youth.</w:t>
      </w:r>
    </w:p>
    <w:p w14:paraId="51318CB4" w14:textId="77777777" w:rsidR="00DD4DDE" w:rsidRDefault="0096555E" w:rsidP="0096555E">
      <w:pPr>
        <w:numPr>
          <w:ilvl w:val="0"/>
          <w:numId w:val="58"/>
        </w:numPr>
      </w:pPr>
      <w:r>
        <w:rPr>
          <w:b/>
          <w:bCs/>
        </w:rPr>
        <w:t>How is this measured?:</w:t>
      </w:r>
      <w:r>
        <w:t xml:space="preserve"> The arrest rate is the sum of arrests among juveniles for crimes involving firearms, divided by the number of residents aged 10-17 (multiplied by 1,000). Crimes include crimes against society like weapons law violations, crimes against property like theft and robbery, and crimes against persons like assault or manslaughter.</w:t>
      </w:r>
    </w:p>
    <w:p w14:paraId="51318CB5" w14:textId="77777777" w:rsidR="00DD4DDE" w:rsidRDefault="0096555E" w:rsidP="00F57CDF">
      <w:pPr>
        <w:pStyle w:val="Heading4"/>
      </w:pPr>
      <w:bookmarkStart w:id="137" w:name="notable-trends-28"/>
      <w:r>
        <w:t>Notable Trends</w:t>
      </w:r>
    </w:p>
    <w:p w14:paraId="51318CB6" w14:textId="77777777" w:rsidR="00DD4DDE" w:rsidRDefault="0096555E" w:rsidP="0096555E">
      <w:pPr>
        <w:numPr>
          <w:ilvl w:val="0"/>
          <w:numId w:val="59"/>
        </w:numPr>
      </w:pPr>
      <w:r>
        <w:t>A</w:t>
      </w:r>
      <w:r>
        <w:t>rrest rates for crimes involving firearms have fluctuated in Charlottesville, with modest peaks in 2016 through 2017 and again in 2022 and 2024. Arrest rates in Albemarle have remained consistently low throughout the period shown.</w:t>
      </w:r>
    </w:p>
    <w:p w14:paraId="51318CB7" w14:textId="77777777" w:rsidR="00DD4DDE" w:rsidRDefault="0096555E" w:rsidP="0096555E">
      <w:pPr>
        <w:numPr>
          <w:ilvl w:val="0"/>
          <w:numId w:val="59"/>
        </w:numPr>
      </w:pPr>
      <w:r>
        <w:t>Arrest rates for crimes involving firearms in Albemarle remained below statewide trends since 2010. In Charlottesville, the arrest rates are consistently higher, in some years notably so, than comparable rates across the state.</w:t>
      </w:r>
    </w:p>
    <w:tbl>
      <w:tblPr>
        <w:tblStyle w:val="Table"/>
        <w:tblW w:w="5000" w:type="pct"/>
        <w:tblLayout w:type="fixed"/>
        <w:tblLook w:val="0000" w:firstRow="0" w:lastRow="0" w:firstColumn="0" w:lastColumn="0" w:noHBand="0" w:noVBand="0"/>
      </w:tblPr>
      <w:tblGrid>
        <w:gridCol w:w="9360"/>
      </w:tblGrid>
      <w:tr w:rsidR="00DD4DDE" w14:paraId="51318CBA" w14:textId="77777777">
        <w:tc>
          <w:tcPr>
            <w:tcW w:w="7920" w:type="dxa"/>
          </w:tcPr>
          <w:p w14:paraId="51318CB8" w14:textId="77777777" w:rsidR="00DD4DDE" w:rsidRDefault="0096555E">
            <w:pPr>
              <w:pStyle w:val="Compact"/>
              <w:jc w:val="center"/>
            </w:pPr>
            <w:bookmarkStart w:id="138" w:name="fig-firearm-img"/>
            <w:r>
              <w:rPr>
                <w:noProof/>
              </w:rPr>
              <w:lastRenderedPageBreak/>
              <w:drawing>
                <wp:inline distT="0" distB="0" distL="0" distR="0" wp14:anchorId="51318D72" wp14:editId="3E418FEC">
                  <wp:extent cx="5029200" cy="3352800"/>
                  <wp:effectExtent l="0" t="0" r="0" b="0"/>
                  <wp:docPr id="2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descr="figure_images/fig-33-rate-of-youth-arrests-fo.png"/>
                          <pic:cNvPicPr>
                            <a:picLocks noChangeAspect="1" noChangeArrowheads="1"/>
                          </pic:cNvPicPr>
                        </pic:nvPicPr>
                        <pic:blipFill>
                          <a:blip r:embed="rId83"/>
                          <a:stretch>
                            <a:fillRect/>
                          </a:stretch>
                        </pic:blipFill>
                        <pic:spPr bwMode="auto">
                          <a:xfrm>
                            <a:off x="0" y="0"/>
                            <a:ext cx="5029200" cy="3352800"/>
                          </a:xfrm>
                          <a:prstGeom prst="rect">
                            <a:avLst/>
                          </a:prstGeom>
                          <a:noFill/>
                          <a:ln w="9525">
                            <a:noFill/>
                            <a:headEnd/>
                            <a:tailEnd/>
                          </a:ln>
                        </pic:spPr>
                      </pic:pic>
                    </a:graphicData>
                  </a:graphic>
                </wp:inline>
              </w:drawing>
            </w:r>
          </w:p>
          <w:p w14:paraId="51318CB9" w14:textId="77777777" w:rsidR="00DD4DDE" w:rsidRDefault="0096555E">
            <w:pPr>
              <w:pStyle w:val="ImageCaption"/>
              <w:spacing w:before="200"/>
            </w:pPr>
            <w:r>
              <w:t>Figure 33: Youth arrests for crimes involving firearms, rate per 1,000 youth ages 10-17, for 2010-2024 for Albemarle County, Charlottesville City, and Virginia.</w:t>
            </w:r>
          </w:p>
        </w:tc>
        <w:bookmarkEnd w:id="138"/>
      </w:tr>
      <w:bookmarkEnd w:id="135"/>
      <w:bookmarkEnd w:id="136"/>
      <w:bookmarkEnd w:id="137"/>
    </w:tbl>
    <w:p w14:paraId="4A8287F3" w14:textId="77777777" w:rsidR="00AD233B" w:rsidRDefault="00AD233B">
      <w:pPr>
        <w:pStyle w:val="Heading2"/>
        <w:sectPr w:rsidR="00AD233B" w:rsidSect="00B23FCF">
          <w:pgSz w:w="12240" w:h="15840"/>
          <w:pgMar w:top="1728" w:right="1440" w:bottom="1440" w:left="1440" w:header="720" w:footer="720" w:gutter="0"/>
          <w:cols w:space="720"/>
          <w:docGrid w:linePitch="326"/>
        </w:sectPr>
      </w:pPr>
    </w:p>
    <w:p w14:paraId="51318CBB" w14:textId="77777777" w:rsidR="00DD4DDE" w:rsidRDefault="0096555E">
      <w:pPr>
        <w:pStyle w:val="Heading2"/>
      </w:pPr>
      <w:bookmarkStart w:id="139" w:name="_Toc230089718"/>
      <w:r>
        <w:lastRenderedPageBreak/>
        <w:t>Contributors</w:t>
      </w:r>
      <w:bookmarkEnd w:id="139"/>
    </w:p>
    <w:p w14:paraId="51318CBC" w14:textId="77777777" w:rsidR="00DD4DDE" w:rsidRDefault="0096555E" w:rsidP="00152B11">
      <w:pPr>
        <w:pStyle w:val="FirstParagraph"/>
      </w:pPr>
      <w:r>
        <w:t>This report is a collaboration of many contributors, including:</w:t>
      </w:r>
    </w:p>
    <w:p w14:paraId="51318CBD" w14:textId="77777777" w:rsidR="00DD4DDE" w:rsidRDefault="0096555E" w:rsidP="0096555E">
      <w:pPr>
        <w:pStyle w:val="Compact"/>
        <w:numPr>
          <w:ilvl w:val="0"/>
          <w:numId w:val="60"/>
        </w:numPr>
      </w:pPr>
      <w:r>
        <w:t>E</w:t>
      </w:r>
      <w:r>
        <w:t>lizabeth Mitchell, Senior Research Specialist, Center for Community Partnerships, University of Virginia</w:t>
      </w:r>
    </w:p>
    <w:p w14:paraId="51318CBE" w14:textId="77777777" w:rsidR="00DD4DDE" w:rsidRDefault="0096555E" w:rsidP="0096555E">
      <w:pPr>
        <w:pStyle w:val="Compact"/>
        <w:numPr>
          <w:ilvl w:val="0"/>
          <w:numId w:val="60"/>
        </w:numPr>
      </w:pPr>
      <w:r>
        <w:t>Michele Claibourn, Director of Community-Centered Analysis, Center for Community Partnerships, University of Virginia and Assistant Professor, Batten School of Leadership and Public Policy, University of Virginia</w:t>
      </w:r>
    </w:p>
    <w:p w14:paraId="51318CBF" w14:textId="77777777" w:rsidR="00DD4DDE" w:rsidRDefault="0096555E" w:rsidP="0096555E">
      <w:pPr>
        <w:pStyle w:val="Compact"/>
        <w:numPr>
          <w:ilvl w:val="0"/>
          <w:numId w:val="60"/>
        </w:numPr>
      </w:pPr>
      <w:r>
        <w:t>Misty Graves, Director, City of Charlottesville Department of Human Services</w:t>
      </w:r>
    </w:p>
    <w:p w14:paraId="51318CC0" w14:textId="77777777" w:rsidR="00DD4DDE" w:rsidRDefault="0096555E" w:rsidP="0096555E">
      <w:pPr>
        <w:pStyle w:val="Compact"/>
        <w:numPr>
          <w:ilvl w:val="0"/>
          <w:numId w:val="60"/>
        </w:numPr>
      </w:pPr>
      <w:r>
        <w:t>Kaki Dimock, Chief Human Services Officer, Albemarle County</w:t>
      </w:r>
    </w:p>
    <w:p w14:paraId="51318CC1" w14:textId="77777777" w:rsidR="00DD4DDE" w:rsidRDefault="0096555E" w:rsidP="0096555E">
      <w:pPr>
        <w:pStyle w:val="Compact"/>
        <w:numPr>
          <w:ilvl w:val="0"/>
          <w:numId w:val="60"/>
        </w:numPr>
      </w:pPr>
      <w:r>
        <w:t>Mary Stebbins, Director, Albemarle County Department of Social Services</w:t>
      </w:r>
    </w:p>
    <w:p w14:paraId="51318CC2" w14:textId="77777777" w:rsidR="00DD4DDE" w:rsidRDefault="0096555E" w:rsidP="006957ED">
      <w:pPr>
        <w:pStyle w:val="Heading3"/>
      </w:pPr>
      <w:bookmarkStart w:id="140" w:name="_Toc230089719"/>
      <w:r>
        <w:t>About the Center for Community Partnerships</w:t>
      </w:r>
      <w:bookmarkEnd w:id="140"/>
    </w:p>
    <w:p w14:paraId="51318CC3" w14:textId="77777777" w:rsidR="00DD4DDE" w:rsidRDefault="0096555E" w:rsidP="00152B11">
      <w:pPr>
        <w:pStyle w:val="FirstParagraph"/>
      </w:pPr>
      <w:bookmarkStart w:id="141" w:name="X6959e585b22293f5893b1a884a581bde2fa4d45"/>
      <w:r>
        <w:t>Established in 2019, the mission of the UVA Center for Community Partnerships is to build mutually beneficial partnerships in university communities by advancing a transformative approach to the fundamental research mission, which will, in turn, reform institutional values, pedagogy, and operations. We envision universities that serve local communities by bringing rich research resources to bear and equipping students to lead in building a more just society.</w:t>
      </w:r>
    </w:p>
    <w:p w14:paraId="51318CC4" w14:textId="77777777" w:rsidR="00DD4DDE" w:rsidRDefault="0096555E">
      <w:pPr>
        <w:pStyle w:val="BodyText"/>
      </w:pPr>
      <w:r>
        <w:t>C</w:t>
      </w:r>
      <w:r>
        <w:t>ommunity-Centered Analysis centers on community-driven partnerships to provide advocates, as well as civic and private sector leaders, with data and metrics, contextualized analysis, interactive maps and data visualizations, and narrative storytelling as a resource in pursuit of a more just region.</w:t>
      </w:r>
    </w:p>
    <w:p w14:paraId="51318CC5" w14:textId="77777777" w:rsidR="00DD4DDE" w:rsidRDefault="0096555E" w:rsidP="006957ED">
      <w:pPr>
        <w:pStyle w:val="Heading3"/>
      </w:pPr>
      <w:bookmarkStart w:id="142" w:name="_Toc230089720"/>
      <w:bookmarkEnd w:id="141"/>
      <w:r>
        <w:t>Project Repository</w:t>
      </w:r>
      <w:bookmarkEnd w:id="142"/>
    </w:p>
    <w:p w14:paraId="51318CC6" w14:textId="77777777" w:rsidR="00DD4DDE" w:rsidRDefault="0096555E" w:rsidP="00152B11">
      <w:pPr>
        <w:pStyle w:val="FirstParagraph"/>
      </w:pPr>
      <w:bookmarkStart w:id="143" w:name="project-repository"/>
      <w:r>
        <w:t>The work supporting this Stepping Stones Report, including our data collection documentation and the corresponding data, is publicly available on GitHub at https://github.com/virginiaequitycenter/stepping-stones-2026.</w:t>
      </w:r>
    </w:p>
    <w:p w14:paraId="51318CC7" w14:textId="77777777" w:rsidR="00DD4DDE" w:rsidRDefault="0096555E" w:rsidP="006957ED">
      <w:pPr>
        <w:pStyle w:val="Heading3"/>
      </w:pPr>
      <w:bookmarkStart w:id="144" w:name="_Toc230089721"/>
      <w:bookmarkEnd w:id="143"/>
      <w:r>
        <w:t>Citation</w:t>
      </w:r>
      <w:bookmarkEnd w:id="144"/>
    </w:p>
    <w:p w14:paraId="51318CC8" w14:textId="77777777" w:rsidR="00DD4DDE" w:rsidRDefault="0096555E" w:rsidP="00152B11">
      <w:pPr>
        <w:pStyle w:val="FirstParagraph"/>
      </w:pPr>
      <w:bookmarkStart w:id="145" w:name="contributors"/>
      <w:bookmarkStart w:id="146" w:name="citation"/>
      <w:r>
        <w:t>UVA Center for Community Partnerships. Stepping Stones: A Report on Community Well-Being of Children and Families in Charlottesville and Albemarle. Published May 2026.</w:t>
      </w:r>
    </w:p>
    <w:p w14:paraId="51318CC9" w14:textId="6F603E6B" w:rsidR="00DD4DDE" w:rsidRDefault="0096555E">
      <w:pPr>
        <w:pStyle w:val="BodyText"/>
      </w:pPr>
      <w:r>
        <w:t>T</w:t>
      </w:r>
      <w:r>
        <w:t xml:space="preserve">his work is licensed under a </w:t>
      </w:r>
      <w:hyperlink r:id="rId84">
        <w:r>
          <w:rPr>
            <w:rStyle w:val="Hyperlink"/>
          </w:rPr>
          <w:t>Creative Commons Attribution 4.0 International License</w:t>
        </w:r>
      </w:hyperlink>
      <w:r>
        <w:t>.</w:t>
      </w:r>
    </w:p>
    <w:bookmarkEnd w:id="145"/>
    <w:bookmarkEnd w:id="146"/>
    <w:p w14:paraId="373B9A4E" w14:textId="77777777" w:rsidR="006D3F97" w:rsidRDefault="006D3F97">
      <w:pPr>
        <w:pStyle w:val="Heading2"/>
        <w:sectPr w:rsidR="006D3F97" w:rsidSect="00B23FCF">
          <w:pgSz w:w="12240" w:h="15840"/>
          <w:pgMar w:top="1728" w:right="1440" w:bottom="1440" w:left="1440" w:header="720" w:footer="720" w:gutter="0"/>
          <w:cols w:space="720"/>
          <w:docGrid w:linePitch="326"/>
        </w:sectPr>
      </w:pPr>
    </w:p>
    <w:p w14:paraId="51318CCA" w14:textId="77777777" w:rsidR="00DD4DDE" w:rsidRDefault="0096555E">
      <w:pPr>
        <w:pStyle w:val="Heading2"/>
      </w:pPr>
      <w:bookmarkStart w:id="147" w:name="_Toc230089722"/>
      <w:r>
        <w:lastRenderedPageBreak/>
        <w:t>Appendix</w:t>
      </w:r>
      <w:bookmarkEnd w:id="147"/>
    </w:p>
    <w:p w14:paraId="51318CCB" w14:textId="77777777" w:rsidR="00DD4DDE" w:rsidRDefault="0096555E" w:rsidP="006957ED">
      <w:pPr>
        <w:pStyle w:val="Heading3"/>
      </w:pPr>
      <w:bookmarkStart w:id="148" w:name="_Toc230089723"/>
      <w:r>
        <w:t>Data Sources by Figure</w:t>
      </w:r>
      <w:bookmarkEnd w:id="148"/>
    </w:p>
    <w:tbl>
      <w:tblPr>
        <w:tblpPr w:leftFromText="187" w:rightFromText="187" w:vertAnchor="text" w:tblpXSpec="center" w:tblpY="1"/>
        <w:tblOverlap w:val="never"/>
        <w:tblW w:w="0" w:type="auto"/>
        <w:tblLayout w:type="fixed"/>
        <w:tblCellMar>
          <w:left w:w="60" w:type="dxa"/>
          <w:right w:w="60" w:type="dxa"/>
        </w:tblCellMar>
        <w:tblLook w:val="0000" w:firstRow="0" w:lastRow="0" w:firstColumn="0" w:lastColumn="0" w:noHBand="0" w:noVBand="0"/>
      </w:tblPr>
      <w:tblGrid>
        <w:gridCol w:w="4680"/>
        <w:gridCol w:w="4680"/>
      </w:tblGrid>
      <w:tr w:rsidR="00DD4DDE" w14:paraId="51318CCE" w14:textId="77777777" w:rsidTr="00A93D27">
        <w:trPr>
          <w:cantSplit/>
          <w:tblHeader/>
        </w:trPr>
        <w:tc>
          <w:tcPr>
            <w:tcW w:w="4680" w:type="dxa"/>
            <w:tcBorders>
              <w:top w:val="single" w:sz="16" w:space="0" w:color="D3D3D3"/>
              <w:left w:val="single" w:sz="0" w:space="0" w:color="D3D3D3"/>
              <w:bottom w:val="single" w:sz="16" w:space="0" w:color="D3D3D3"/>
            </w:tcBorders>
          </w:tcPr>
          <w:p w14:paraId="51318CCC" w14:textId="77777777" w:rsidR="00DD4DDE" w:rsidRDefault="0096555E" w:rsidP="00A93D27">
            <w:pPr>
              <w:spacing w:after="60"/>
            </w:pPr>
            <w:bookmarkStart w:id="149" w:name="appendix"/>
            <w:bookmarkStart w:id="150" w:name="data-sources-by-figure"/>
            <w:r>
              <w:rPr>
                <w:rFonts w:ascii="Calibri" w:hAnsi="Calibri"/>
                <w:sz w:val="20"/>
              </w:rPr>
              <w:t>F</w:t>
            </w:r>
            <w:r>
              <w:rPr>
                <w:rFonts w:ascii="Calibri" w:hAnsi="Calibri"/>
                <w:sz w:val="20"/>
              </w:rPr>
              <w:t>igure</w:t>
            </w:r>
          </w:p>
        </w:tc>
        <w:tc>
          <w:tcPr>
            <w:tcW w:w="4680" w:type="dxa"/>
            <w:tcBorders>
              <w:top w:val="single" w:sz="16" w:space="0" w:color="D3D3D3"/>
              <w:bottom w:val="single" w:sz="16" w:space="0" w:color="D3D3D3"/>
              <w:right w:val="single" w:sz="0" w:space="0" w:color="D3D3D3"/>
            </w:tcBorders>
          </w:tcPr>
          <w:p w14:paraId="51318CCD" w14:textId="77777777" w:rsidR="00DD4DDE" w:rsidRDefault="0096555E" w:rsidP="00A93D27">
            <w:pPr>
              <w:spacing w:after="60"/>
            </w:pPr>
            <w:r>
              <w:rPr>
                <w:rFonts w:ascii="Calibri" w:hAnsi="Calibri"/>
                <w:sz w:val="20"/>
              </w:rPr>
              <w:t>Source</w:t>
            </w:r>
          </w:p>
        </w:tc>
      </w:tr>
      <w:tr w:rsidR="00DD4DDE" w14:paraId="51318CD1"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CF" w14:textId="77777777" w:rsidR="00DD4DDE" w:rsidRDefault="0096555E" w:rsidP="00A93D27">
            <w:pPr>
              <w:spacing w:after="60"/>
            </w:pPr>
            <w:r>
              <w:rPr>
                <w:rFonts w:ascii="Calibri" w:hAnsi="Calibri"/>
                <w:sz w:val="20"/>
              </w:rPr>
              <w:t>Figure 1: Percent of kindergartners meeting overall readiness benchmark in the 2024 and 2025 fall assessments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CD0" w14:textId="77777777" w:rsidR="00DD4DDE" w:rsidRDefault="0096555E" w:rsidP="00A93D27">
            <w:pPr>
              <w:spacing w:after="60"/>
            </w:pPr>
            <w:r>
              <w:rPr>
                <w:rFonts w:ascii="Calibri" w:hAnsi="Calibri"/>
                <w:sz w:val="20"/>
              </w:rPr>
              <w:t>"School Readiness," Ready Region ECCE Supply/Demand Dashboard, Virginia Early Childhood Foundation. https://vecf.org/supply-and-demand-data/</w:t>
            </w:r>
          </w:p>
        </w:tc>
      </w:tr>
      <w:tr w:rsidR="00DD4DDE" w14:paraId="51318CD4"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D2" w14:textId="77777777" w:rsidR="00DD4DDE" w:rsidRDefault="0096555E" w:rsidP="00A93D27">
            <w:pPr>
              <w:spacing w:after="60"/>
            </w:pPr>
            <w:r>
              <w:rPr>
                <w:rFonts w:ascii="Calibri" w:hAnsi="Calibri"/>
                <w:sz w:val="20"/>
              </w:rPr>
              <w:t>Figure 2: Percent of students who pass the 3rd grade math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51318CD3" w14:textId="77777777" w:rsidR="00DD4DDE" w:rsidRDefault="0096555E" w:rsidP="00A93D27">
            <w:pPr>
              <w:spacing w:after="60"/>
            </w:pPr>
            <w:r>
              <w:rPr>
                <w:rFonts w:ascii="Calibri" w:hAnsi="Calibri"/>
                <w:sz w:val="20"/>
              </w:rPr>
              <w:t>Virginia Department of Education (VDOE). “Test Results Build-A-Table.” 2009-2025. https://p1pe.doe.virginia.gov/buildatable/testresults</w:t>
            </w:r>
          </w:p>
        </w:tc>
      </w:tr>
      <w:tr w:rsidR="00DD4DDE" w14:paraId="51318CD7"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D5" w14:textId="77777777" w:rsidR="00DD4DDE" w:rsidRDefault="0096555E" w:rsidP="00A93D27">
            <w:pPr>
              <w:spacing w:after="60"/>
            </w:pPr>
            <w:r>
              <w:rPr>
                <w:rFonts w:ascii="Calibri" w:hAnsi="Calibri"/>
                <w:sz w:val="20"/>
              </w:rPr>
              <w:t>Figure 3: Percent of students who pass the 5th grade math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51318CD6" w14:textId="77777777" w:rsidR="00DD4DDE" w:rsidRDefault="0096555E" w:rsidP="00A93D27">
            <w:pPr>
              <w:spacing w:after="60"/>
            </w:pPr>
            <w:r>
              <w:rPr>
                <w:rFonts w:ascii="Calibri" w:hAnsi="Calibri"/>
                <w:sz w:val="20"/>
              </w:rPr>
              <w:t>Virginia Department of Education (VDOE). “Test Results Build-A-Table.” 2009-2025. https://p1pe.doe.virginia.gov/buildatable/testresults</w:t>
            </w:r>
          </w:p>
        </w:tc>
      </w:tr>
      <w:tr w:rsidR="00DD4DDE" w14:paraId="51318CDA"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D8" w14:textId="77777777" w:rsidR="00DD4DDE" w:rsidRDefault="0096555E" w:rsidP="00A93D27">
            <w:pPr>
              <w:spacing w:after="60"/>
            </w:pPr>
            <w:r>
              <w:rPr>
                <w:rFonts w:ascii="Calibri" w:hAnsi="Calibri"/>
                <w:sz w:val="20"/>
              </w:rPr>
              <w:t>Figure 4: Percent of students who pass the 3rd grade reading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51318CD9" w14:textId="77777777" w:rsidR="00DD4DDE" w:rsidRDefault="0096555E" w:rsidP="00A93D27">
            <w:pPr>
              <w:spacing w:after="60"/>
            </w:pPr>
            <w:r>
              <w:rPr>
                <w:rFonts w:ascii="Calibri" w:hAnsi="Calibri"/>
                <w:sz w:val="20"/>
              </w:rPr>
              <w:t>Virginia Department of Education (VDOE). “Test Results Build-A-Table.” 2009-2025. https://p1pe.doe.virginia.gov/buildatable/testresults</w:t>
            </w:r>
          </w:p>
        </w:tc>
      </w:tr>
      <w:tr w:rsidR="00DD4DDE" w14:paraId="51318CDD"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DB" w14:textId="77777777" w:rsidR="00DD4DDE" w:rsidRDefault="0096555E" w:rsidP="00A93D27">
            <w:pPr>
              <w:spacing w:after="60"/>
            </w:pPr>
            <w:r>
              <w:rPr>
                <w:rFonts w:ascii="Calibri" w:hAnsi="Calibri"/>
                <w:sz w:val="20"/>
              </w:rPr>
              <w:t>Figure 5: Percent of students who pass the 5th grade reading SOL test, 2009-10 through 2024-25 school years at ACPS, CCS and Virginia public schools. SOL tests were not conducted for the 2019-20 school year due to the COVID-19 pandemic.</w:t>
            </w:r>
          </w:p>
        </w:tc>
        <w:tc>
          <w:tcPr>
            <w:tcW w:w="4680" w:type="dxa"/>
            <w:tcBorders>
              <w:top w:val="single" w:sz="0" w:space="0" w:color="D3D3D3"/>
              <w:left w:val="single" w:sz="0" w:space="0" w:color="D3D3D3"/>
              <w:bottom w:val="single" w:sz="0" w:space="0" w:color="D3D3D3"/>
              <w:right w:val="single" w:sz="0" w:space="0" w:color="D3D3D3"/>
            </w:tcBorders>
          </w:tcPr>
          <w:p w14:paraId="51318CDC" w14:textId="77777777" w:rsidR="00DD4DDE" w:rsidRDefault="0096555E" w:rsidP="00A93D27">
            <w:pPr>
              <w:spacing w:after="60"/>
            </w:pPr>
            <w:r>
              <w:rPr>
                <w:rFonts w:ascii="Calibri" w:hAnsi="Calibri"/>
                <w:sz w:val="20"/>
              </w:rPr>
              <w:t>Virginia Department of Education (VDOE). “Test Results Build-A-Table.” 2009-2025. https://p1pe.doe.virginia.gov/buildatable/testresults</w:t>
            </w:r>
          </w:p>
        </w:tc>
      </w:tr>
      <w:tr w:rsidR="00DD4DDE" w14:paraId="51318CE0"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DE" w14:textId="77777777" w:rsidR="00DD4DDE" w:rsidRDefault="0096555E" w:rsidP="00A93D27">
            <w:pPr>
              <w:spacing w:after="60"/>
            </w:pPr>
            <w:r>
              <w:rPr>
                <w:rFonts w:ascii="Calibri" w:hAnsi="Calibri"/>
                <w:sz w:val="20"/>
              </w:rPr>
              <w:t>Figure 6: Percent of students identified to receive special education services for the 2010-11 through 2024-25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CDF" w14:textId="77777777" w:rsidR="00DD4DDE" w:rsidRDefault="0096555E" w:rsidP="00A93D27">
            <w:pPr>
              <w:spacing w:after="60"/>
            </w:pPr>
            <w:r>
              <w:rPr>
                <w:rFonts w:ascii="Calibri" w:hAnsi="Calibri"/>
                <w:sz w:val="20"/>
              </w:rPr>
              <w:t>Virginia Department of Education, “December 1 Build-A-Table.” 2010-2025. https://p1pe.doe.virginia.gov/buildatable/dec1</w:t>
            </w:r>
          </w:p>
        </w:tc>
      </w:tr>
      <w:tr w:rsidR="00DD4DDE" w14:paraId="51318CE3"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E1" w14:textId="77777777" w:rsidR="00DD4DDE" w:rsidRDefault="0096555E" w:rsidP="00A93D27">
            <w:pPr>
              <w:spacing w:after="60"/>
            </w:pPr>
            <w:r>
              <w:rPr>
                <w:rFonts w:ascii="Calibri" w:hAnsi="Calibri"/>
                <w:sz w:val="20"/>
              </w:rPr>
              <w:t>Figure 7: Percent of students eligible for English language instruction for the 2009-10 through 2025-26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CE2" w14:textId="77777777" w:rsidR="00DD4DDE" w:rsidRDefault="0096555E" w:rsidP="00A93D27">
            <w:pPr>
              <w:spacing w:after="60"/>
            </w:pPr>
            <w:r>
              <w:rPr>
                <w:rFonts w:ascii="Calibri" w:hAnsi="Calibri"/>
                <w:sz w:val="20"/>
              </w:rPr>
              <w:t>Virginia Department of Education, “Fall Membership Build-A-Table.” 2009-2026. https://p1pe.doe.virginia.gov/buildatable/fallmembership</w:t>
            </w:r>
          </w:p>
        </w:tc>
      </w:tr>
      <w:tr w:rsidR="00DD4DDE" w14:paraId="51318CE6"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E4" w14:textId="77777777" w:rsidR="00DD4DDE" w:rsidRDefault="0096555E" w:rsidP="00A93D27">
            <w:pPr>
              <w:spacing w:after="60"/>
            </w:pPr>
            <w:r>
              <w:rPr>
                <w:rFonts w:ascii="Calibri" w:hAnsi="Calibri"/>
                <w:sz w:val="20"/>
              </w:rPr>
              <w:t>Figure 8: Percent of students identified chronically absent for the 2015-16 through 2024-25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CE5" w14:textId="77777777" w:rsidR="00DD4DDE" w:rsidRDefault="0096555E" w:rsidP="00A93D27">
            <w:pPr>
              <w:spacing w:after="60"/>
            </w:pPr>
            <w:r>
              <w:rPr>
                <w:rFonts w:ascii="Calibri" w:hAnsi="Calibri"/>
                <w:sz w:val="20"/>
              </w:rPr>
              <w:t>Virginia Department of Education, School Climate Reports, https://www.doe.virginia.gov/data-policy-funding/data-reports/data-collection/special-education</w:t>
            </w:r>
          </w:p>
        </w:tc>
      </w:tr>
      <w:tr w:rsidR="00DD4DDE" w14:paraId="51318CE9"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E7" w14:textId="77777777" w:rsidR="00DD4DDE" w:rsidRDefault="0096555E" w:rsidP="00A93D27">
            <w:pPr>
              <w:spacing w:after="60"/>
            </w:pPr>
            <w:r>
              <w:rPr>
                <w:rFonts w:ascii="Calibri" w:hAnsi="Calibri"/>
                <w:sz w:val="20"/>
              </w:rPr>
              <w:t>Figure 9: Percent of student cohort graduating in four years for 2010-2025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CE8" w14:textId="77777777" w:rsidR="00DD4DDE" w:rsidRDefault="0096555E" w:rsidP="00A93D27">
            <w:pPr>
              <w:spacing w:after="60"/>
            </w:pPr>
            <w:r>
              <w:rPr>
                <w:rFonts w:ascii="Calibri" w:hAnsi="Calibri"/>
                <w:sz w:val="20"/>
              </w:rPr>
              <w:t>Virginia Department of Education, “Cohort Graduation Build-A-Table”, Virginia On-Time Graduation Rate, 2010-2025. https://p1pe.doe.virginia.gov/buildatable/cohortgraduation</w:t>
            </w:r>
          </w:p>
        </w:tc>
      </w:tr>
      <w:tr w:rsidR="00DD4DDE" w14:paraId="51318CEC"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EA" w14:textId="77777777" w:rsidR="00DD4DDE" w:rsidRDefault="0096555E" w:rsidP="00A93D27">
            <w:pPr>
              <w:spacing w:after="60"/>
            </w:pPr>
            <w:r>
              <w:rPr>
                <w:rFonts w:ascii="Calibri" w:hAnsi="Calibri"/>
                <w:sz w:val="20"/>
              </w:rPr>
              <w:t xml:space="preserve">Figure 10: Percent of graduating students enrolled in a post-secondary institution for 2010-2025 at ACPS, CCS </w:t>
            </w:r>
            <w:r>
              <w:rPr>
                <w:rFonts w:ascii="Calibri" w:hAnsi="Calibri"/>
                <w:sz w:val="20"/>
              </w:rPr>
              <w:lastRenderedPageBreak/>
              <w:t>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CEB" w14:textId="77777777" w:rsidR="00DD4DDE" w:rsidRDefault="0096555E" w:rsidP="00A93D27">
            <w:pPr>
              <w:spacing w:after="60"/>
            </w:pPr>
            <w:r>
              <w:rPr>
                <w:rFonts w:ascii="Calibri" w:hAnsi="Calibri"/>
                <w:sz w:val="20"/>
              </w:rPr>
              <w:lastRenderedPageBreak/>
              <w:t xml:space="preserve">Virginia Department of Education, State Fiscal Stabilization Fund Indicator (C)(11), “Postsecondary </w:t>
            </w:r>
            <w:r>
              <w:rPr>
                <w:rFonts w:ascii="Calibri" w:hAnsi="Calibri"/>
                <w:sz w:val="20"/>
              </w:rPr>
              <w:lastRenderedPageBreak/>
              <w:t>Enrollment Reports.” 2010-2023. https://p1pe.doe.virginia.gov/postsec_public/</w:t>
            </w:r>
          </w:p>
        </w:tc>
      </w:tr>
      <w:tr w:rsidR="00DD4DDE" w14:paraId="51318CEF"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ED" w14:textId="77777777" w:rsidR="00DD4DDE" w:rsidRDefault="0096555E" w:rsidP="00A93D27">
            <w:pPr>
              <w:spacing w:after="60"/>
            </w:pPr>
            <w:r>
              <w:rPr>
                <w:rFonts w:ascii="Calibri" w:hAnsi="Calibri"/>
                <w:sz w:val="20"/>
              </w:rPr>
              <w:lastRenderedPageBreak/>
              <w:t>Figure 11: Percent of residents age 25 and older with a High School degree or equivalent for 2010-2024 in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CEE" w14:textId="77777777" w:rsidR="00DD4DDE" w:rsidRDefault="0096555E" w:rsidP="00A93D27">
            <w:pPr>
              <w:spacing w:after="60"/>
            </w:pPr>
            <w:r>
              <w:rPr>
                <w:rFonts w:ascii="Calibri" w:hAnsi="Calibri"/>
                <w:sz w:val="20"/>
              </w:rPr>
              <w:t>U.S. Census Bureau, American Community Survey 5-year estimates, “Educational Attainment.” 2010-2024. Table S1501. https://data.census.gov/table?q=s1501&amp;g=050XX00US51003,51540&amp;tid=ACSST5Y2021.S1501</w:t>
            </w:r>
          </w:p>
        </w:tc>
      </w:tr>
      <w:tr w:rsidR="00DD4DDE" w14:paraId="51318CF2"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F0" w14:textId="77777777" w:rsidR="00DD4DDE" w:rsidRDefault="0096555E" w:rsidP="00A93D27">
            <w:pPr>
              <w:spacing w:after="60"/>
            </w:pPr>
            <w:r>
              <w:rPr>
                <w:rFonts w:ascii="Calibri" w:hAnsi="Calibri"/>
                <w:sz w:val="20"/>
              </w:rPr>
              <w:t>Figure 12: Median income for families with children under 18, shown as raw income and adjusted for inflation, 2014-2024,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CF1" w14:textId="77777777" w:rsidR="00DD4DDE" w:rsidRDefault="0096555E" w:rsidP="00A93D27">
            <w:pPr>
              <w:spacing w:after="60"/>
            </w:pPr>
            <w:r>
              <w:rPr>
                <w:rFonts w:ascii="Calibri" w:hAnsi="Calibri"/>
                <w:sz w:val="20"/>
              </w:rPr>
              <w:t>U.S. Census Bureau, American Community Survey 5-year estimates, “Median Family income with children under 18 in household.” 2014-2024. Table B19125; U.S. Bureau of Labor Statistics, "All items in U.S. city average, all urban consumers, not seasonally adjusted", Series Id CUUR0000SA0 (accessed April 15, 2026).</w:t>
            </w:r>
          </w:p>
        </w:tc>
      </w:tr>
      <w:tr w:rsidR="00DD4DDE" w14:paraId="51318CF5"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F3" w14:textId="77777777" w:rsidR="00DD4DDE" w:rsidRDefault="0096555E" w:rsidP="00A93D27">
            <w:pPr>
              <w:spacing w:after="60"/>
            </w:pPr>
            <w:r>
              <w:rPr>
                <w:rFonts w:ascii="Calibri" w:hAnsi="Calibri"/>
                <w:sz w:val="20"/>
              </w:rPr>
              <w:t>Figure 13: Percent of youth (16-19) participating in the labor force,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CF4" w14:textId="77777777" w:rsidR="00DD4DDE" w:rsidRDefault="0096555E" w:rsidP="00A93D27">
            <w:pPr>
              <w:spacing w:after="60"/>
            </w:pPr>
            <w:r>
              <w:rPr>
                <w:rFonts w:ascii="Calibri" w:hAnsi="Calibri"/>
                <w:sz w:val="20"/>
              </w:rPr>
              <w:t>U.S. Census Bureau, American Community Survey 5-year estimates, “Sex by Age by Employment Status.” 2010-2024. Table B23001.</w:t>
            </w:r>
          </w:p>
        </w:tc>
      </w:tr>
      <w:tr w:rsidR="00DD4DDE" w14:paraId="51318CF8"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F6" w14:textId="77777777" w:rsidR="00DD4DDE" w:rsidRDefault="0096555E" w:rsidP="00A93D27">
            <w:pPr>
              <w:spacing w:after="60"/>
            </w:pPr>
            <w:r>
              <w:rPr>
                <w:rFonts w:ascii="Calibri" w:hAnsi="Calibri"/>
                <w:sz w:val="20"/>
              </w:rPr>
              <w:t>Figure 14: Percent of youth (16-19) in the labor force experiencing unemployment,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CF7" w14:textId="77777777" w:rsidR="00DD4DDE" w:rsidRDefault="0096555E" w:rsidP="00A93D27">
            <w:pPr>
              <w:spacing w:after="60"/>
            </w:pPr>
            <w:r>
              <w:rPr>
                <w:rFonts w:ascii="Calibri" w:hAnsi="Calibri"/>
                <w:sz w:val="20"/>
              </w:rPr>
              <w:t>U.S. Census Bureau, American Community Survey 5-year estimates, “Sex by Age by Employment Status.” 2010-2024. Table B23001.</w:t>
            </w:r>
          </w:p>
        </w:tc>
      </w:tr>
      <w:tr w:rsidR="00DD4DDE" w14:paraId="51318CFB"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F9" w14:textId="77777777" w:rsidR="00DD4DDE" w:rsidRDefault="0096555E" w:rsidP="00A93D27">
            <w:pPr>
              <w:spacing w:after="60"/>
            </w:pPr>
            <w:r>
              <w:rPr>
                <w:rFonts w:ascii="Calibri" w:hAnsi="Calibri"/>
                <w:sz w:val="20"/>
              </w:rPr>
              <w:t>Figure 15: Percent of children living below the poverty threshold,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CFA" w14:textId="77777777" w:rsidR="00DD4DDE" w:rsidRDefault="0096555E" w:rsidP="00A93D27">
            <w:pPr>
              <w:spacing w:after="60"/>
            </w:pPr>
            <w:r>
              <w:rPr>
                <w:rFonts w:ascii="Calibri" w:hAnsi="Calibri"/>
                <w:sz w:val="20"/>
              </w:rPr>
              <w:t>U.S. Census Bureau, “Small Area Income and Poverty Estimates (SAIPE), State and County Estimates.” 2010-2024. https://www.census.gov/programs-surveys/saipe/data/datasets.html</w:t>
            </w:r>
          </w:p>
        </w:tc>
      </w:tr>
      <w:tr w:rsidR="00DD4DDE" w14:paraId="51318CFE"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FC" w14:textId="77777777" w:rsidR="00DD4DDE" w:rsidRDefault="0096555E" w:rsidP="00A93D27">
            <w:pPr>
              <w:spacing w:after="60"/>
            </w:pPr>
            <w:r>
              <w:rPr>
                <w:rFonts w:ascii="Calibri" w:hAnsi="Calibri"/>
                <w:sz w:val="20"/>
              </w:rPr>
              <w:t>Figure 16: Percent of students identified as economically disadvantaged for the 2009-10 through 2025-26 school years in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CFD" w14:textId="77777777" w:rsidR="00DD4DDE" w:rsidRDefault="0096555E" w:rsidP="00A93D27">
            <w:pPr>
              <w:spacing w:after="60"/>
            </w:pPr>
            <w:r>
              <w:rPr>
                <w:rFonts w:ascii="Calibri" w:hAnsi="Calibri"/>
                <w:sz w:val="20"/>
              </w:rPr>
              <w:t>Virginia Department of Education, “Fall Membership Build-A-Table.” 2009-2026. https://p1pe.doe.virginia.gov/buildatable/fallmembership</w:t>
            </w:r>
          </w:p>
        </w:tc>
      </w:tr>
      <w:tr w:rsidR="00DD4DDE" w14:paraId="51318D01"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CFF" w14:textId="77777777" w:rsidR="00DD4DDE" w:rsidRDefault="0096555E" w:rsidP="00A93D27">
            <w:pPr>
              <w:spacing w:after="60"/>
            </w:pPr>
            <w:r>
              <w:rPr>
                <w:rFonts w:ascii="Calibri" w:hAnsi="Calibri"/>
                <w:sz w:val="20"/>
              </w:rPr>
              <w:t>Figure 17: Percent of children living in a two-parent household,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00" w14:textId="77777777" w:rsidR="00DD4DDE" w:rsidRDefault="0096555E" w:rsidP="00A93D27">
            <w:pPr>
              <w:spacing w:after="60"/>
            </w:pPr>
            <w:r>
              <w:rPr>
                <w:rFonts w:ascii="Calibri" w:hAnsi="Calibri"/>
                <w:sz w:val="20"/>
              </w:rPr>
              <w:t>U.S. Census Bureau, American Community Survey 5-year estimates, “Age And Nativity Of Own Children Under 18 Years In Families And Subfamilies By Number And Nativity Of Parents.” 2010-2024. Table B05009.</w:t>
            </w:r>
          </w:p>
        </w:tc>
      </w:tr>
      <w:tr w:rsidR="00DD4DDE" w14:paraId="51318D04"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02" w14:textId="77777777" w:rsidR="00DD4DDE" w:rsidRDefault="0096555E" w:rsidP="00A93D27">
            <w:pPr>
              <w:spacing w:after="60"/>
            </w:pPr>
            <w:r>
              <w:rPr>
                <w:rFonts w:ascii="Calibri" w:hAnsi="Calibri"/>
                <w:sz w:val="20"/>
              </w:rPr>
              <w:t>Figure 18: Referrals to child protective services accepted for assessment or investigation for fiscal years, rate per 1,000 children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03" w14:textId="77777777" w:rsidR="00DD4DDE" w:rsidRDefault="0096555E" w:rsidP="00A93D27">
            <w:pPr>
              <w:spacing w:after="60"/>
            </w:pPr>
            <w:r>
              <w:rPr>
                <w:rFonts w:ascii="Calibri" w:hAnsi="Calibri"/>
                <w:sz w:val="20"/>
              </w:rPr>
              <w:t>Virginia Department of Social Services, Virginia Child Protection and Accountability System, Social Services CPA Reports, https://cpsaccountability.dss.virginia.gov/index-social-services.html</w:t>
            </w:r>
          </w:p>
        </w:tc>
      </w:tr>
      <w:tr w:rsidR="00DD4DDE" w14:paraId="51318D07"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05" w14:textId="77777777" w:rsidR="00DD4DDE" w:rsidRDefault="0096555E" w:rsidP="00A93D27">
            <w:pPr>
              <w:spacing w:after="60"/>
            </w:pPr>
            <w:r>
              <w:rPr>
                <w:rFonts w:ascii="Calibri" w:hAnsi="Calibri"/>
                <w:sz w:val="20"/>
              </w:rPr>
              <w:t>Figure 19: Children in foster care, rate per 1,000 children in Albemarle County, Charlottesville City, and Virginia for 2010-2024, measured in October of each year.</w:t>
            </w:r>
          </w:p>
        </w:tc>
        <w:tc>
          <w:tcPr>
            <w:tcW w:w="4680" w:type="dxa"/>
            <w:tcBorders>
              <w:top w:val="single" w:sz="0" w:space="0" w:color="D3D3D3"/>
              <w:left w:val="single" w:sz="0" w:space="0" w:color="D3D3D3"/>
              <w:bottom w:val="single" w:sz="0" w:space="0" w:color="D3D3D3"/>
              <w:right w:val="single" w:sz="0" w:space="0" w:color="D3D3D3"/>
            </w:tcBorders>
          </w:tcPr>
          <w:p w14:paraId="51318D06" w14:textId="77777777" w:rsidR="00DD4DDE" w:rsidRDefault="0096555E" w:rsidP="00A93D27">
            <w:pPr>
              <w:spacing w:after="60"/>
            </w:pPr>
            <w:r>
              <w:rPr>
                <w:rFonts w:ascii="Calibri" w:hAnsi="Calibri"/>
                <w:sz w:val="20"/>
              </w:rPr>
              <w:t>Virginia Department of Social Services, Foster Care Data Reports, “Children Demographics.” 2010-2024. https://www.dss.virginia.gov/research-and-planning/reports-data/fc-data-reports/</w:t>
            </w:r>
          </w:p>
        </w:tc>
      </w:tr>
      <w:tr w:rsidR="00DD4DDE" w14:paraId="51318D0A"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08" w14:textId="77777777" w:rsidR="00DD4DDE" w:rsidRDefault="0096555E" w:rsidP="00A93D27">
            <w:pPr>
              <w:spacing w:after="60"/>
            </w:pPr>
            <w:r>
              <w:rPr>
                <w:rFonts w:ascii="Calibri" w:hAnsi="Calibri"/>
                <w:sz w:val="20"/>
              </w:rPr>
              <w:t>Figure 20: Students experiencing homelessness enrolled in public schools, rate per 1,000 students, reported through the McKinney-Vento Act for the 2010-11 through 2022-23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D09" w14:textId="77777777" w:rsidR="00DD4DDE" w:rsidRDefault="0096555E" w:rsidP="00A93D27">
            <w:pPr>
              <w:spacing w:after="60"/>
            </w:pPr>
            <w:r>
              <w:rPr>
                <w:rFonts w:ascii="Calibri" w:hAnsi="Calibri"/>
                <w:sz w:val="20"/>
              </w:rPr>
              <w:t>"Program: McKinney-Vento Act," Data Express, U.S. Department of Education. eddataexpress.ed.gov/download/data-library?field_year_target_id=All&amp;field_population_value=&amp;field_data_topic_target_id=All&amp;field_reporting_level_target_id=All&amp;field_program_target_id=42&amp;field_file_spec_target_id=All&amp;field_data_group_id_target_id=</w:t>
            </w:r>
            <w:r>
              <w:rPr>
                <w:rFonts w:ascii="Calibri" w:hAnsi="Calibri"/>
                <w:sz w:val="20"/>
              </w:rPr>
              <w:lastRenderedPageBreak/>
              <w:t>All&amp;combine=</w:t>
            </w:r>
          </w:p>
        </w:tc>
      </w:tr>
      <w:tr w:rsidR="00DD4DDE" w14:paraId="51318D0D"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0B" w14:textId="77777777" w:rsidR="00DD4DDE" w:rsidRDefault="0096555E" w:rsidP="00A93D27">
            <w:pPr>
              <w:spacing w:after="60"/>
            </w:pPr>
            <w:r>
              <w:rPr>
                <w:rFonts w:ascii="Calibri" w:hAnsi="Calibri"/>
                <w:sz w:val="20"/>
              </w:rPr>
              <w:lastRenderedPageBreak/>
              <w:t>Figure 21: Percent of pregnant people receiving prenatal care beginning in the first trimester, 2010-2023,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0C" w14:textId="77777777" w:rsidR="00DD4DDE" w:rsidRDefault="0096555E" w:rsidP="00A93D27">
            <w:pPr>
              <w:spacing w:after="60"/>
            </w:pPr>
            <w:r>
              <w:rPr>
                <w:rFonts w:ascii="Calibri" w:hAnsi="Calibri"/>
                <w:sz w:val="20"/>
              </w:rPr>
              <w:t>"Prenatal Care Beginning in the First Trimester in Virginia," Kids Count Data Center, Annie E. Casey Foundation and Voices for Virginia’s Children, https://datacenter.aecf.org/data/tables/3234-prenatal-care-beginning-in-the-first-trimester</w:t>
            </w:r>
          </w:p>
        </w:tc>
      </w:tr>
      <w:tr w:rsidR="00DD4DDE" w14:paraId="51318D10"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0E" w14:textId="77777777" w:rsidR="00DD4DDE" w:rsidRDefault="0096555E" w:rsidP="00A93D27">
            <w:pPr>
              <w:spacing w:after="60"/>
            </w:pPr>
            <w:r>
              <w:rPr>
                <w:rFonts w:ascii="Calibri" w:hAnsi="Calibri"/>
                <w:sz w:val="20"/>
              </w:rPr>
              <w:t>Figure 22: Percent of babies born weighing under 2,500 grams (5.5 lbs), 2010-2023,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0F" w14:textId="77777777" w:rsidR="00DD4DDE" w:rsidRDefault="0096555E" w:rsidP="00A93D27">
            <w:pPr>
              <w:spacing w:after="60"/>
            </w:pPr>
            <w:r>
              <w:rPr>
                <w:rFonts w:ascii="Calibri" w:hAnsi="Calibri"/>
                <w:sz w:val="20"/>
              </w:rPr>
              <w:t>“Low Birthweight Babies in Virginia”, Kids Count Data Center, Annie E. Casey Foundation and Voices for Virginia’s Children, https://datacenter.aecf.org/data/tables/3252-low-birthweight-babies</w:t>
            </w:r>
          </w:p>
        </w:tc>
      </w:tr>
      <w:tr w:rsidR="00DD4DDE" w14:paraId="51318D13"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11" w14:textId="77777777" w:rsidR="00DD4DDE" w:rsidRDefault="0096555E" w:rsidP="00A93D27">
            <w:pPr>
              <w:spacing w:after="60"/>
            </w:pPr>
            <w:r>
              <w:rPr>
                <w:rFonts w:ascii="Calibri" w:hAnsi="Calibri"/>
                <w:sz w:val="20"/>
              </w:rPr>
              <w:t>Figure 23: Rate per 1,000 births of infants who died before their 1st birthday, 2010-2023,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12" w14:textId="77777777" w:rsidR="00DD4DDE" w:rsidRDefault="0096555E" w:rsidP="00A93D27">
            <w:pPr>
              <w:spacing w:after="60"/>
            </w:pPr>
            <w:r>
              <w:rPr>
                <w:rFonts w:ascii="Calibri" w:hAnsi="Calibri"/>
                <w:sz w:val="20"/>
              </w:rPr>
              <w:t>"Infant Mortality in Virginia," Kids Count Data Center, Annie E. Casey Foundation and Voices for Virginia’s Children, https://datacenter.aecf.org/data/tables/3236-infant-mortality</w:t>
            </w:r>
          </w:p>
        </w:tc>
      </w:tr>
      <w:tr w:rsidR="00DD4DDE" w14:paraId="51318D16"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14" w14:textId="77777777" w:rsidR="00DD4DDE" w:rsidRDefault="0096555E" w:rsidP="00A93D27">
            <w:pPr>
              <w:spacing w:after="60"/>
            </w:pPr>
            <w:r>
              <w:rPr>
                <w:rFonts w:ascii="Calibri" w:hAnsi="Calibri"/>
                <w:sz w:val="20"/>
              </w:rPr>
              <w:t>Figure 24: Teen pregnancy rate per 1,000 young women ages 15–19, 2015-2023,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15" w14:textId="77777777" w:rsidR="00DD4DDE" w:rsidRDefault="0096555E" w:rsidP="00A93D27">
            <w:pPr>
              <w:spacing w:after="60"/>
            </w:pPr>
            <w:r>
              <w:rPr>
                <w:rFonts w:ascii="Calibri" w:hAnsi="Calibri"/>
                <w:sz w:val="20"/>
              </w:rPr>
              <w:t>“Teen Pregnancy Rate by Year, 2015 - 2023”, VDH Assessment - Virginia’s Plan for Wellbeing, https://virginiawellbeing.com/virginia-community-health-improvement-data-portal/vdh-assessment/</w:t>
            </w:r>
          </w:p>
        </w:tc>
      </w:tr>
      <w:tr w:rsidR="00DD4DDE" w14:paraId="51318D19"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17" w14:textId="77777777" w:rsidR="00DD4DDE" w:rsidRDefault="0096555E" w:rsidP="00A93D27">
            <w:pPr>
              <w:spacing w:after="60"/>
            </w:pPr>
            <w:r>
              <w:rPr>
                <w:rFonts w:ascii="Calibri" w:hAnsi="Calibri"/>
                <w:sz w:val="20"/>
              </w:rPr>
              <w:t>Figure 25: Sexually transmitted infections in youth, rate per 1,000 residents aged 10-19, from 2010-2024 for Albemarle County, Charlottesville City, and Virginia. This measure is the combined incidence of syphilis, gonorrhea, chlamydia, and HIV.</w:t>
            </w:r>
          </w:p>
        </w:tc>
        <w:tc>
          <w:tcPr>
            <w:tcW w:w="4680" w:type="dxa"/>
            <w:tcBorders>
              <w:top w:val="single" w:sz="0" w:space="0" w:color="D3D3D3"/>
              <w:left w:val="single" w:sz="0" w:space="0" w:color="D3D3D3"/>
              <w:bottom w:val="single" w:sz="0" w:space="0" w:color="D3D3D3"/>
              <w:right w:val="single" w:sz="0" w:space="0" w:color="D3D3D3"/>
            </w:tcBorders>
          </w:tcPr>
          <w:p w14:paraId="51318D18" w14:textId="77777777" w:rsidR="00DD4DDE" w:rsidRDefault="0096555E" w:rsidP="00A93D27">
            <w:pPr>
              <w:spacing w:after="60"/>
            </w:pPr>
            <w:r>
              <w:rPr>
                <w:rFonts w:ascii="Calibri" w:hAnsi="Calibri"/>
                <w:sz w:val="20"/>
              </w:rPr>
              <w:t>Virginia Department of Health, Division of Disease Prevention, “STD, HIV/AIDS Data Reports.” 2010-2024. Data request via https://redcap.vdh.virginia.gov/redcap/surveys/?s=LH9TTYCMA4.</w:t>
            </w:r>
          </w:p>
        </w:tc>
      </w:tr>
      <w:tr w:rsidR="00DD4DDE" w14:paraId="51318D1C"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1A" w14:textId="77777777" w:rsidR="00DD4DDE" w:rsidRDefault="0096555E" w:rsidP="00A93D27">
            <w:pPr>
              <w:spacing w:after="60"/>
            </w:pPr>
            <w:r>
              <w:rPr>
                <w:rFonts w:ascii="Calibri" w:hAnsi="Calibri"/>
                <w:sz w:val="20"/>
              </w:rPr>
              <w:t>Figure 26: School events recorded as Behaviors that Endanger Self or Others (BESO),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D1B" w14:textId="77777777" w:rsidR="00DD4DDE" w:rsidRDefault="0096555E" w:rsidP="00A93D27">
            <w:pPr>
              <w:spacing w:after="60"/>
            </w:pPr>
            <w:r>
              <w:rPr>
                <w:rFonts w:ascii="Calibri" w:hAnsi="Calibri"/>
                <w:sz w:val="20"/>
              </w:rPr>
              <w:t>Virginia Department of Education, “SBAR Build-A-Table.” 2021-2024. https://p1pe.doe.virginia.gov/apex_captcha/home.do?apexTypeId=351</w:t>
            </w:r>
          </w:p>
        </w:tc>
      </w:tr>
      <w:tr w:rsidR="00DD4DDE" w14:paraId="51318D1F"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1D" w14:textId="77777777" w:rsidR="00DD4DDE" w:rsidRDefault="0096555E" w:rsidP="00A93D27">
            <w:pPr>
              <w:spacing w:after="60"/>
            </w:pPr>
            <w:r>
              <w:rPr>
                <w:rFonts w:ascii="Calibri" w:hAnsi="Calibri"/>
                <w:sz w:val="20"/>
              </w:rPr>
              <w:t>Figure 27: School events recorded as Persistently Dangerous Behaviors (PD),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D1E" w14:textId="77777777" w:rsidR="00DD4DDE" w:rsidRDefault="0096555E" w:rsidP="00A93D27">
            <w:pPr>
              <w:spacing w:after="60"/>
            </w:pPr>
            <w:r>
              <w:rPr>
                <w:rFonts w:ascii="Calibri" w:hAnsi="Calibri"/>
                <w:sz w:val="20"/>
              </w:rPr>
              <w:t>Virginia Department of Education, “SBAR Build-A-Table.” 2021-2024. https://p1pe.doe.virginia.gov/apex_captcha/home.do?apexTypeId=351</w:t>
            </w:r>
          </w:p>
        </w:tc>
      </w:tr>
      <w:tr w:rsidR="00DD4DDE" w14:paraId="51318D22"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20" w14:textId="77777777" w:rsidR="00DD4DDE" w:rsidRDefault="0096555E" w:rsidP="00A93D27">
            <w:pPr>
              <w:spacing w:after="60"/>
            </w:pPr>
            <w:r>
              <w:rPr>
                <w:rFonts w:ascii="Calibri" w:hAnsi="Calibri"/>
                <w:sz w:val="20"/>
              </w:rPr>
              <w:t>Figure 28: In-school suspensions,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D21" w14:textId="77777777" w:rsidR="00DD4DDE" w:rsidRDefault="0096555E" w:rsidP="00A93D27">
            <w:pPr>
              <w:spacing w:after="60"/>
            </w:pPr>
            <w:r>
              <w:rPr>
                <w:rFonts w:ascii="Calibri" w:hAnsi="Calibri"/>
                <w:sz w:val="20"/>
              </w:rPr>
              <w:t>Virginia Department of Education, “SBAR Build-A-Table.” 2021-2024. https://p1pe.doe.virginia.gov/apex_captcha/home.do?apexTypeId=351</w:t>
            </w:r>
          </w:p>
        </w:tc>
      </w:tr>
      <w:tr w:rsidR="00DD4DDE" w14:paraId="51318D25"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23" w14:textId="77777777" w:rsidR="00DD4DDE" w:rsidRDefault="0096555E" w:rsidP="00A93D27">
            <w:pPr>
              <w:spacing w:after="60"/>
            </w:pPr>
            <w:r>
              <w:rPr>
                <w:rFonts w:ascii="Calibri" w:hAnsi="Calibri"/>
                <w:sz w:val="20"/>
              </w:rPr>
              <w:t>Figure 29: Out-of-school suspensions, rate per 1,000 students, for the 2021-22 through 2023-24 school years at ACPS, CCS, and Virginia public schools.</w:t>
            </w:r>
          </w:p>
        </w:tc>
        <w:tc>
          <w:tcPr>
            <w:tcW w:w="4680" w:type="dxa"/>
            <w:tcBorders>
              <w:top w:val="single" w:sz="0" w:space="0" w:color="D3D3D3"/>
              <w:left w:val="single" w:sz="0" w:space="0" w:color="D3D3D3"/>
              <w:bottom w:val="single" w:sz="0" w:space="0" w:color="D3D3D3"/>
              <w:right w:val="single" w:sz="0" w:space="0" w:color="D3D3D3"/>
            </w:tcBorders>
          </w:tcPr>
          <w:p w14:paraId="51318D24" w14:textId="77777777" w:rsidR="00DD4DDE" w:rsidRDefault="0096555E" w:rsidP="00A93D27">
            <w:pPr>
              <w:spacing w:after="60"/>
            </w:pPr>
            <w:r>
              <w:rPr>
                <w:rFonts w:ascii="Calibri" w:hAnsi="Calibri"/>
                <w:sz w:val="20"/>
              </w:rPr>
              <w:t>Virginia Department of Education, “SBAR Build-A-Table.” 2021-2024. https://p1pe.doe.virginia.gov/apex_captcha/home.do?apexTypeId=351</w:t>
            </w:r>
          </w:p>
        </w:tc>
      </w:tr>
      <w:tr w:rsidR="00DD4DDE" w14:paraId="51318D28"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26" w14:textId="77777777" w:rsidR="00DD4DDE" w:rsidRDefault="0096555E" w:rsidP="00A93D27">
            <w:pPr>
              <w:spacing w:after="60"/>
            </w:pPr>
            <w:r>
              <w:rPr>
                <w:rFonts w:ascii="Calibri" w:hAnsi="Calibri"/>
                <w:sz w:val="20"/>
              </w:rPr>
              <w:t>Figure 30: Youth in need of services or supervision, rate per 1,000 youth ages 5-17,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27" w14:textId="77777777" w:rsidR="00DD4DDE" w:rsidRDefault="0096555E" w:rsidP="00A93D27">
            <w:pPr>
              <w:spacing w:after="60"/>
            </w:pPr>
            <w:r>
              <w:rPr>
                <w:rFonts w:ascii="Calibri" w:hAnsi="Calibri"/>
                <w:sz w:val="20"/>
              </w:rPr>
              <w:t>Virginia Judicial System, Juvenile and Domestic Relations Court, Case Dispositions, https://www.vacourts.gov/courtadmin/aoc/djs/programs/cpss/csi/jdr/home</w:t>
            </w:r>
          </w:p>
        </w:tc>
      </w:tr>
      <w:tr w:rsidR="00DD4DDE" w14:paraId="51318D2B"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29" w14:textId="77777777" w:rsidR="00DD4DDE" w:rsidRDefault="0096555E" w:rsidP="00A93D27">
            <w:pPr>
              <w:spacing w:after="60"/>
            </w:pPr>
            <w:r>
              <w:rPr>
                <w:rFonts w:ascii="Calibri" w:hAnsi="Calibri"/>
                <w:sz w:val="20"/>
              </w:rPr>
              <w:t xml:space="preserve">Figure 31: Juvenile delinquency judgments for youth, rate per 1,000 youth ages 10-17, for 2010-2024 for </w:t>
            </w:r>
            <w:r>
              <w:rPr>
                <w:rFonts w:ascii="Calibri" w:hAnsi="Calibri"/>
                <w:sz w:val="20"/>
              </w:rPr>
              <w:lastRenderedPageBreak/>
              <w:t>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2A" w14:textId="77777777" w:rsidR="00DD4DDE" w:rsidRDefault="0096555E" w:rsidP="00A93D27">
            <w:pPr>
              <w:spacing w:after="60"/>
            </w:pPr>
            <w:r>
              <w:rPr>
                <w:rFonts w:ascii="Calibri" w:hAnsi="Calibri"/>
                <w:sz w:val="20"/>
              </w:rPr>
              <w:lastRenderedPageBreak/>
              <w:t xml:space="preserve">Virginia Judicial System, Juvenile and Domestic Relations Court, Case Dispositions, </w:t>
            </w:r>
            <w:r>
              <w:rPr>
                <w:rFonts w:ascii="Calibri" w:hAnsi="Calibri"/>
                <w:sz w:val="20"/>
              </w:rPr>
              <w:lastRenderedPageBreak/>
              <w:t>https://www.vacourts.gov/courtadmin/aoc/djs/programs/cpss/csi/jdr/home</w:t>
            </w:r>
          </w:p>
        </w:tc>
      </w:tr>
      <w:tr w:rsidR="00DD4DDE" w14:paraId="51318D2E"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2C" w14:textId="77777777" w:rsidR="00DD4DDE" w:rsidRDefault="0096555E" w:rsidP="00A93D27">
            <w:pPr>
              <w:spacing w:after="60"/>
            </w:pPr>
            <w:r>
              <w:rPr>
                <w:rFonts w:ascii="Calibri" w:hAnsi="Calibri"/>
                <w:sz w:val="20"/>
              </w:rPr>
              <w:lastRenderedPageBreak/>
              <w:t>Figure 32: Youth arrests for crimes against persons, rate per 1,000 youth ages 10-17,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2D" w14:textId="77777777" w:rsidR="00DD4DDE" w:rsidRDefault="0096555E" w:rsidP="00A93D27">
            <w:pPr>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tr w:rsidR="00DD4DDE" w14:paraId="51318D31" w14:textId="77777777" w:rsidTr="00A93D27">
        <w:trPr>
          <w:cantSplit/>
        </w:trPr>
        <w:tc>
          <w:tcPr>
            <w:tcW w:w="4680" w:type="dxa"/>
            <w:tcBorders>
              <w:top w:val="single" w:sz="0" w:space="0" w:color="D3D3D3"/>
              <w:left w:val="single" w:sz="0" w:space="0" w:color="D3D3D3"/>
              <w:bottom w:val="single" w:sz="0" w:space="0" w:color="D3D3D3"/>
              <w:right w:val="single" w:sz="0" w:space="0" w:color="D3D3D3"/>
            </w:tcBorders>
          </w:tcPr>
          <w:p w14:paraId="51318D2F" w14:textId="77777777" w:rsidR="00DD4DDE" w:rsidRDefault="0096555E" w:rsidP="00A93D27">
            <w:pPr>
              <w:spacing w:after="60"/>
            </w:pPr>
            <w:r>
              <w:rPr>
                <w:rFonts w:ascii="Calibri" w:hAnsi="Calibri"/>
                <w:sz w:val="20"/>
              </w:rPr>
              <w:t>Figure 33: Youth arrests for crimes involving firearms, rate per 1,000 youth ages 10-17, for 2010-2024 for Albemarle County, Charlottesville City, and Virginia.</w:t>
            </w:r>
          </w:p>
        </w:tc>
        <w:tc>
          <w:tcPr>
            <w:tcW w:w="4680" w:type="dxa"/>
            <w:tcBorders>
              <w:top w:val="single" w:sz="0" w:space="0" w:color="D3D3D3"/>
              <w:left w:val="single" w:sz="0" w:space="0" w:color="D3D3D3"/>
              <w:bottom w:val="single" w:sz="0" w:space="0" w:color="D3D3D3"/>
              <w:right w:val="single" w:sz="0" w:space="0" w:color="D3D3D3"/>
            </w:tcBorders>
          </w:tcPr>
          <w:p w14:paraId="51318D30" w14:textId="77777777" w:rsidR="00DD4DDE" w:rsidRDefault="0096555E" w:rsidP="00A93D27">
            <w:pPr>
              <w:spacing w:after="60"/>
            </w:pPr>
            <w:r>
              <w:rPr>
                <w:rFonts w:ascii="Calibri" w:hAnsi="Calibri"/>
                <w:sz w:val="20"/>
              </w:rPr>
              <w:t>Virginia State Police, Data Analysis and Reporting Team (DART), Uniform Crime Reporting – Incident Based Reporting, https://vsp.virginia.gov/sections-units-bureaus/bass/criminal-justice-information-services/uniform-crime-reporting/</w:t>
            </w:r>
          </w:p>
        </w:tc>
      </w:tr>
      <w:bookmarkEnd w:id="149"/>
      <w:bookmarkEnd w:id="150"/>
    </w:tbl>
    <w:p w14:paraId="51318D32" w14:textId="77777777" w:rsidR="0096555E" w:rsidRDefault="0096555E"/>
    <w:sectPr w:rsidR="0096555E" w:rsidSect="00B23FCF">
      <w:pgSz w:w="12240" w:h="15840"/>
      <w:pgMar w:top="1728"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1A7E3" w14:textId="77777777" w:rsidR="0096555E" w:rsidRDefault="0096555E">
      <w:pPr>
        <w:spacing w:after="0"/>
      </w:pPr>
      <w:r>
        <w:separator/>
      </w:r>
    </w:p>
  </w:endnote>
  <w:endnote w:type="continuationSeparator" w:id="0">
    <w:p w14:paraId="22EC280C" w14:textId="77777777" w:rsidR="0096555E" w:rsidRDefault="009655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Oswald">
    <w:panose1 w:val="02000503000000000000"/>
    <w:charset w:val="00"/>
    <w:family w:val="auto"/>
    <w:pitch w:val="variable"/>
    <w:sig w:usb0="A000006F" w:usb1="4000004B" w:usb2="00000000" w:usb3="00000000" w:csb0="00000093" w:csb1="00000000"/>
  </w:font>
  <w:font w:name="Roboto Light">
    <w:altName w:val="ROBOTO LIGHT"/>
    <w:panose1 w:val="00000000000000000000"/>
    <w:charset w:val="00"/>
    <w:family w:val="auto"/>
    <w:pitch w:val="variable"/>
    <w:sig w:usb0="E00002FF" w:usb1="5000205B" w:usb2="00000020" w:usb3="00000000" w:csb0="0000019F" w:csb1="00000000"/>
  </w:font>
  <w:font w:name="Roboto Medium">
    <w:altName w:val="ROBOTO MEDIUM"/>
    <w:panose1 w:val="00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4368751"/>
      <w:docPartObj>
        <w:docPartGallery w:val="Page Numbers (Bottom of Page)"/>
        <w:docPartUnique/>
      </w:docPartObj>
    </w:sdtPr>
    <w:sdtContent>
      <w:p w14:paraId="0092C1B5" w14:textId="77777777" w:rsidR="007F6A50" w:rsidRDefault="007F6A50"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191DE571" w14:textId="77777777" w:rsidR="007F6A50" w:rsidRDefault="007F6A50"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3573" w14:textId="77777777" w:rsidR="007F6A50" w:rsidRDefault="007F6A50" w:rsidP="006E4E2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918389"/>
      <w:docPartObj>
        <w:docPartGallery w:val="Page Numbers (Bottom of Page)"/>
        <w:docPartUnique/>
      </w:docPartObj>
    </w:sdtPr>
    <w:sdtEndPr>
      <w:rPr>
        <w:rStyle w:val="PageNumber"/>
      </w:rPr>
    </w:sdtEndPr>
    <w:sdtContent>
      <w:p w14:paraId="51318D76" w14:textId="77777777" w:rsidR="006C1B16" w:rsidRDefault="00A64545" w:rsidP="00FA5A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51318D77" w14:textId="77777777" w:rsidR="006C1B16" w:rsidRDefault="006C1B16" w:rsidP="005355B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8D78" w14:textId="77777777" w:rsidR="006C1B16" w:rsidRDefault="006C1B16" w:rsidP="006E4E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8315" w14:textId="77777777" w:rsidR="0096555E" w:rsidRDefault="0096555E">
      <w:pPr>
        <w:spacing w:after="0"/>
      </w:pPr>
      <w:r>
        <w:separator/>
      </w:r>
    </w:p>
  </w:footnote>
  <w:footnote w:type="continuationSeparator" w:id="0">
    <w:p w14:paraId="31B1CDDA" w14:textId="77777777" w:rsidR="0096555E" w:rsidRDefault="009655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6867909"/>
      <w:docPartObj>
        <w:docPartGallery w:val="Page Numbers (Bottom of Page)"/>
        <w:docPartUnique/>
      </w:docPartObj>
    </w:sdtPr>
    <w:sdtContent>
      <w:p w14:paraId="230098B5" w14:textId="77777777" w:rsidR="007F6A50" w:rsidRDefault="007F6A50"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68EF1831" w14:textId="32C92B0B" w:rsidR="007F6A50" w:rsidRDefault="007F6A50" w:rsidP="00EC77C5">
    <w:pPr>
      <w:pStyle w:val="Footer"/>
      <w:ind w:right="360"/>
      <w:jc w:val="right"/>
    </w:pPr>
    <w:r>
      <w:rPr>
        <w:noProof/>
      </w:rPr>
      <mc:AlternateContent>
        <mc:Choice Requires="wps">
          <w:drawing>
            <wp:anchor distT="0" distB="0" distL="114300" distR="114300" simplePos="0" relativeHeight="251661312" behindDoc="0" locked="0" layoutInCell="1" allowOverlap="1" wp14:anchorId="42697C48" wp14:editId="63D1BED4">
              <wp:simplePos x="0" y="0"/>
              <wp:positionH relativeFrom="column">
                <wp:posOffset>0</wp:posOffset>
              </wp:positionH>
              <wp:positionV relativeFrom="paragraph">
                <wp:posOffset>365760</wp:posOffset>
              </wp:positionV>
              <wp:extent cx="5943600" cy="0"/>
              <wp:effectExtent l="0" t="0" r="12700" b="12700"/>
              <wp:wrapNone/>
              <wp:docPr id="1300848944"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8449A4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8pt" to="468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" strokecolor="gray [1629]" strokeweight="1.25pt"/>
          </w:pict>
        </mc:Fallback>
      </mc:AlternateContent>
    </w:r>
    <w:r>
      <w:t xml:space="preserve"> </w:t>
    </w:r>
    <w:r>
      <w:fldChar w:fldCharType="begin"/>
    </w:r>
    <w:r>
      <w:instrText xml:space="preserve"> TITLE  \* MERGEFORMAT </w:instrText>
    </w:r>
    <w:r>
      <w:fldChar w:fldCharType="separate"/>
    </w:r>
    <w:r w:rsidR="00AA3383">
      <w:t>Stepping Stones Report</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84F3" w14:textId="77777777" w:rsidR="007F6A50" w:rsidRDefault="007F6A50" w:rsidP="00F519AA">
    <w:pPr>
      <w:pStyle w:val="Foot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2246904"/>
      <w:docPartObj>
        <w:docPartGallery w:val="Page Numbers (Bottom of Page)"/>
        <w:docPartUnique/>
      </w:docPartObj>
    </w:sdtPr>
    <w:sdtEndPr>
      <w:rPr>
        <w:rStyle w:val="PageNumber"/>
      </w:rPr>
    </w:sdtEndPr>
    <w:sdtContent>
      <w:p w14:paraId="51318D74" w14:textId="77777777" w:rsidR="00F519AA" w:rsidRDefault="00F519AA" w:rsidP="00F51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1318D75" w14:textId="0FA0CD8E" w:rsidR="006C1B16" w:rsidRDefault="00C547AA" w:rsidP="00EC77C5">
    <w:pPr>
      <w:pStyle w:val="Footer"/>
      <w:ind w:right="360"/>
      <w:jc w:val="right"/>
    </w:pPr>
    <w:r>
      <w:rPr>
        <w:noProof/>
      </w:rPr>
      <mc:AlternateContent>
        <mc:Choice Requires="wps">
          <w:drawing>
            <wp:anchor distT="0" distB="0" distL="114300" distR="114300" simplePos="0" relativeHeight="251659264" behindDoc="0" locked="0" layoutInCell="1" allowOverlap="1" wp14:anchorId="51318D7A" wp14:editId="51318D7B">
              <wp:simplePos x="0" y="0"/>
              <wp:positionH relativeFrom="column">
                <wp:posOffset>0</wp:posOffset>
              </wp:positionH>
              <wp:positionV relativeFrom="paragraph">
                <wp:posOffset>365760</wp:posOffset>
              </wp:positionV>
              <wp:extent cx="5943600" cy="0"/>
              <wp:effectExtent l="0" t="0" r="12700" b="12700"/>
              <wp:wrapNone/>
              <wp:docPr id="1287090465"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EDAFE9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8pt" to="468pt,2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" strokecolor="gray [1629]" strokeweight="1.25pt"/>
          </w:pict>
        </mc:Fallback>
      </mc:AlternateContent>
    </w:r>
    <w:r w:rsidR="000A024E">
      <w:t xml:space="preserve"> </w:t>
    </w:r>
    <w:fldSimple w:instr=" TITLE  \* MERGEFORMAT ">
      <w:r w:rsidR="00AA3383">
        <w:t>Stepping Stones Report</w:t>
      </w:r>
    </w:fldSimple>
    <w:r w:rsidR="000A024E">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8D79" w14:textId="77777777" w:rsidR="00844169" w:rsidRDefault="00844169" w:rsidP="00F519AA">
    <w:pPr>
      <w:pStyle w:val="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19C9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72BF5963"/>
    <w:multiLevelType w:val="multilevel"/>
    <w:tmpl w:val="A14C86B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9355823">
    <w:abstractNumId w:val="1"/>
  </w:num>
  <w:num w:numId="2" w16cid:durableId="747576816">
    <w:abstractNumId w:val="0"/>
  </w:num>
  <w:num w:numId="3" w16cid:durableId="168254431">
    <w:abstractNumId w:val="0"/>
  </w:num>
  <w:num w:numId="4" w16cid:durableId="1945111477">
    <w:abstractNumId w:val="0"/>
  </w:num>
  <w:num w:numId="5" w16cid:durableId="604000411">
    <w:abstractNumId w:val="0"/>
  </w:num>
  <w:num w:numId="6" w16cid:durableId="164633064">
    <w:abstractNumId w:val="0"/>
  </w:num>
  <w:num w:numId="7" w16cid:durableId="1489203230">
    <w:abstractNumId w:val="0"/>
  </w:num>
  <w:num w:numId="8" w16cid:durableId="1050806873">
    <w:abstractNumId w:val="0"/>
  </w:num>
  <w:num w:numId="9" w16cid:durableId="570583877">
    <w:abstractNumId w:val="0"/>
  </w:num>
  <w:num w:numId="10" w16cid:durableId="1131511625">
    <w:abstractNumId w:val="0"/>
  </w:num>
  <w:num w:numId="11" w16cid:durableId="267471830">
    <w:abstractNumId w:val="0"/>
  </w:num>
  <w:num w:numId="12" w16cid:durableId="1103495952">
    <w:abstractNumId w:val="0"/>
  </w:num>
  <w:num w:numId="13" w16cid:durableId="1120490152">
    <w:abstractNumId w:val="0"/>
  </w:num>
  <w:num w:numId="14" w16cid:durableId="1278492300">
    <w:abstractNumId w:val="0"/>
  </w:num>
  <w:num w:numId="15" w16cid:durableId="1244145612">
    <w:abstractNumId w:val="0"/>
  </w:num>
  <w:num w:numId="16" w16cid:durableId="693919939">
    <w:abstractNumId w:val="0"/>
  </w:num>
  <w:num w:numId="17" w16cid:durableId="392588123">
    <w:abstractNumId w:val="0"/>
  </w:num>
  <w:num w:numId="18" w16cid:durableId="360983571">
    <w:abstractNumId w:val="0"/>
  </w:num>
  <w:num w:numId="19" w16cid:durableId="53359152">
    <w:abstractNumId w:val="0"/>
  </w:num>
  <w:num w:numId="20" w16cid:durableId="221449246">
    <w:abstractNumId w:val="0"/>
  </w:num>
  <w:num w:numId="21" w16cid:durableId="1175076954">
    <w:abstractNumId w:val="0"/>
  </w:num>
  <w:num w:numId="22" w16cid:durableId="1245384027">
    <w:abstractNumId w:val="0"/>
  </w:num>
  <w:num w:numId="23" w16cid:durableId="160854775">
    <w:abstractNumId w:val="0"/>
  </w:num>
  <w:num w:numId="24" w16cid:durableId="1185022241">
    <w:abstractNumId w:val="0"/>
  </w:num>
  <w:num w:numId="25" w16cid:durableId="1354958563">
    <w:abstractNumId w:val="0"/>
  </w:num>
  <w:num w:numId="26" w16cid:durableId="1499031211">
    <w:abstractNumId w:val="0"/>
  </w:num>
  <w:num w:numId="27" w16cid:durableId="1966153352">
    <w:abstractNumId w:val="0"/>
  </w:num>
  <w:num w:numId="28" w16cid:durableId="885485547">
    <w:abstractNumId w:val="0"/>
  </w:num>
  <w:num w:numId="29" w16cid:durableId="591595505">
    <w:abstractNumId w:val="0"/>
  </w:num>
  <w:num w:numId="30" w16cid:durableId="1307054989">
    <w:abstractNumId w:val="0"/>
  </w:num>
  <w:num w:numId="31" w16cid:durableId="549343897">
    <w:abstractNumId w:val="0"/>
  </w:num>
  <w:num w:numId="32" w16cid:durableId="1640573888">
    <w:abstractNumId w:val="0"/>
  </w:num>
  <w:num w:numId="33" w16cid:durableId="567615917">
    <w:abstractNumId w:val="0"/>
  </w:num>
  <w:num w:numId="34" w16cid:durableId="889001338">
    <w:abstractNumId w:val="0"/>
  </w:num>
  <w:num w:numId="35" w16cid:durableId="1396003377">
    <w:abstractNumId w:val="0"/>
  </w:num>
  <w:num w:numId="36" w16cid:durableId="1740126964">
    <w:abstractNumId w:val="0"/>
  </w:num>
  <w:num w:numId="37" w16cid:durableId="1974750359">
    <w:abstractNumId w:val="0"/>
  </w:num>
  <w:num w:numId="38" w16cid:durableId="242956375">
    <w:abstractNumId w:val="0"/>
  </w:num>
  <w:num w:numId="39" w16cid:durableId="1534533251">
    <w:abstractNumId w:val="0"/>
  </w:num>
  <w:num w:numId="40" w16cid:durableId="2106344158">
    <w:abstractNumId w:val="0"/>
  </w:num>
  <w:num w:numId="41" w16cid:durableId="1322926311">
    <w:abstractNumId w:val="0"/>
  </w:num>
  <w:num w:numId="42" w16cid:durableId="1512644250">
    <w:abstractNumId w:val="0"/>
  </w:num>
  <w:num w:numId="43" w16cid:durableId="460804379">
    <w:abstractNumId w:val="0"/>
  </w:num>
  <w:num w:numId="44" w16cid:durableId="2126996145">
    <w:abstractNumId w:val="0"/>
  </w:num>
  <w:num w:numId="45" w16cid:durableId="445731869">
    <w:abstractNumId w:val="0"/>
  </w:num>
  <w:num w:numId="46" w16cid:durableId="939802629">
    <w:abstractNumId w:val="0"/>
  </w:num>
  <w:num w:numId="47" w16cid:durableId="1522816456">
    <w:abstractNumId w:val="0"/>
  </w:num>
  <w:num w:numId="48" w16cid:durableId="1171724363">
    <w:abstractNumId w:val="0"/>
  </w:num>
  <w:num w:numId="49" w16cid:durableId="1067606848">
    <w:abstractNumId w:val="0"/>
  </w:num>
  <w:num w:numId="50" w16cid:durableId="878707943">
    <w:abstractNumId w:val="0"/>
  </w:num>
  <w:num w:numId="51" w16cid:durableId="1234975242">
    <w:abstractNumId w:val="0"/>
  </w:num>
  <w:num w:numId="52" w16cid:durableId="1821263082">
    <w:abstractNumId w:val="0"/>
  </w:num>
  <w:num w:numId="53" w16cid:durableId="1401247933">
    <w:abstractNumId w:val="0"/>
  </w:num>
  <w:num w:numId="54" w16cid:durableId="1419131284">
    <w:abstractNumId w:val="0"/>
  </w:num>
  <w:num w:numId="55" w16cid:durableId="294071844">
    <w:abstractNumId w:val="0"/>
  </w:num>
  <w:num w:numId="56" w16cid:durableId="279458795">
    <w:abstractNumId w:val="0"/>
  </w:num>
  <w:num w:numId="57" w16cid:durableId="327369791">
    <w:abstractNumId w:val="0"/>
  </w:num>
  <w:num w:numId="58" w16cid:durableId="2000422005">
    <w:abstractNumId w:val="0"/>
  </w:num>
  <w:num w:numId="59" w16cid:durableId="2035381282">
    <w:abstractNumId w:val="0"/>
  </w:num>
  <w:num w:numId="60" w16cid:durableId="2130390897">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5EF1"/>
    <w:rsid w:val="00007003"/>
    <w:rsid w:val="0001159D"/>
    <w:rsid w:val="0001282A"/>
    <w:rsid w:val="00040379"/>
    <w:rsid w:val="0004463B"/>
    <w:rsid w:val="0004785C"/>
    <w:rsid w:val="00052DA5"/>
    <w:rsid w:val="000554EA"/>
    <w:rsid w:val="000624F9"/>
    <w:rsid w:val="00062A45"/>
    <w:rsid w:val="0006539E"/>
    <w:rsid w:val="00065572"/>
    <w:rsid w:val="000712D8"/>
    <w:rsid w:val="00072063"/>
    <w:rsid w:val="0007269E"/>
    <w:rsid w:val="000822FA"/>
    <w:rsid w:val="00090D8F"/>
    <w:rsid w:val="00095484"/>
    <w:rsid w:val="00096E91"/>
    <w:rsid w:val="000A024E"/>
    <w:rsid w:val="000A3185"/>
    <w:rsid w:val="000A751C"/>
    <w:rsid w:val="000B001B"/>
    <w:rsid w:val="000B1DA9"/>
    <w:rsid w:val="000B5306"/>
    <w:rsid w:val="000B6C53"/>
    <w:rsid w:val="000C0E79"/>
    <w:rsid w:val="000C710B"/>
    <w:rsid w:val="000D1D79"/>
    <w:rsid w:val="000D228D"/>
    <w:rsid w:val="000D37AE"/>
    <w:rsid w:val="000E2F84"/>
    <w:rsid w:val="000E5E6D"/>
    <w:rsid w:val="000E65C7"/>
    <w:rsid w:val="000E6ACA"/>
    <w:rsid w:val="000F061F"/>
    <w:rsid w:val="000F069D"/>
    <w:rsid w:val="00102E7F"/>
    <w:rsid w:val="00111DDB"/>
    <w:rsid w:val="00137E5D"/>
    <w:rsid w:val="00140379"/>
    <w:rsid w:val="001506F5"/>
    <w:rsid w:val="00151AD9"/>
    <w:rsid w:val="00152B11"/>
    <w:rsid w:val="00154313"/>
    <w:rsid w:val="001658B8"/>
    <w:rsid w:val="00166E80"/>
    <w:rsid w:val="00171E4B"/>
    <w:rsid w:val="00172C4A"/>
    <w:rsid w:val="0017571E"/>
    <w:rsid w:val="00177A5F"/>
    <w:rsid w:val="001847B6"/>
    <w:rsid w:val="001868B7"/>
    <w:rsid w:val="00190EDE"/>
    <w:rsid w:val="00196A5E"/>
    <w:rsid w:val="00197A2D"/>
    <w:rsid w:val="001A3745"/>
    <w:rsid w:val="001A63F2"/>
    <w:rsid w:val="001B31B7"/>
    <w:rsid w:val="001B3D2D"/>
    <w:rsid w:val="001B7A6E"/>
    <w:rsid w:val="001C0D2F"/>
    <w:rsid w:val="001D05A3"/>
    <w:rsid w:val="002001D4"/>
    <w:rsid w:val="002014F4"/>
    <w:rsid w:val="00202956"/>
    <w:rsid w:val="00207C79"/>
    <w:rsid w:val="00212A47"/>
    <w:rsid w:val="00212C9C"/>
    <w:rsid w:val="00220AEF"/>
    <w:rsid w:val="00221C7D"/>
    <w:rsid w:val="00232C03"/>
    <w:rsid w:val="00235F4B"/>
    <w:rsid w:val="00240334"/>
    <w:rsid w:val="00240D17"/>
    <w:rsid w:val="0025037C"/>
    <w:rsid w:val="002775F5"/>
    <w:rsid w:val="00286DCA"/>
    <w:rsid w:val="00291D54"/>
    <w:rsid w:val="00293BEA"/>
    <w:rsid w:val="002A1F63"/>
    <w:rsid w:val="002B532C"/>
    <w:rsid w:val="002C3AAC"/>
    <w:rsid w:val="002E50C3"/>
    <w:rsid w:val="002E71EC"/>
    <w:rsid w:val="002F0611"/>
    <w:rsid w:val="002F15D6"/>
    <w:rsid w:val="003119E2"/>
    <w:rsid w:val="00316E4F"/>
    <w:rsid w:val="00323491"/>
    <w:rsid w:val="0033085C"/>
    <w:rsid w:val="003369DD"/>
    <w:rsid w:val="00346914"/>
    <w:rsid w:val="00350BC8"/>
    <w:rsid w:val="003572E0"/>
    <w:rsid w:val="0036777D"/>
    <w:rsid w:val="00372971"/>
    <w:rsid w:val="00373C52"/>
    <w:rsid w:val="003917DE"/>
    <w:rsid w:val="00393602"/>
    <w:rsid w:val="003A230D"/>
    <w:rsid w:val="003B17C4"/>
    <w:rsid w:val="003B4341"/>
    <w:rsid w:val="003C34FF"/>
    <w:rsid w:val="003C5591"/>
    <w:rsid w:val="003C795E"/>
    <w:rsid w:val="003D3499"/>
    <w:rsid w:val="003D654D"/>
    <w:rsid w:val="003E487B"/>
    <w:rsid w:val="003F2CDF"/>
    <w:rsid w:val="003F31A5"/>
    <w:rsid w:val="003F4952"/>
    <w:rsid w:val="004062DF"/>
    <w:rsid w:val="00410E40"/>
    <w:rsid w:val="00411C0C"/>
    <w:rsid w:val="00411D52"/>
    <w:rsid w:val="00412945"/>
    <w:rsid w:val="0041615D"/>
    <w:rsid w:val="00416959"/>
    <w:rsid w:val="004240EF"/>
    <w:rsid w:val="00424ADE"/>
    <w:rsid w:val="00427841"/>
    <w:rsid w:val="00431123"/>
    <w:rsid w:val="004420BA"/>
    <w:rsid w:val="00452B08"/>
    <w:rsid w:val="00453536"/>
    <w:rsid w:val="004554D0"/>
    <w:rsid w:val="00455DDE"/>
    <w:rsid w:val="00456400"/>
    <w:rsid w:val="00462184"/>
    <w:rsid w:val="00470646"/>
    <w:rsid w:val="004739D0"/>
    <w:rsid w:val="00477389"/>
    <w:rsid w:val="00482385"/>
    <w:rsid w:val="00496190"/>
    <w:rsid w:val="004A4EAA"/>
    <w:rsid w:val="004B471B"/>
    <w:rsid w:val="004D6133"/>
    <w:rsid w:val="004E5AAD"/>
    <w:rsid w:val="004F5E2E"/>
    <w:rsid w:val="004F6901"/>
    <w:rsid w:val="00501898"/>
    <w:rsid w:val="00502D11"/>
    <w:rsid w:val="0051155E"/>
    <w:rsid w:val="00523A04"/>
    <w:rsid w:val="00533D8B"/>
    <w:rsid w:val="00534292"/>
    <w:rsid w:val="005430BA"/>
    <w:rsid w:val="00551A81"/>
    <w:rsid w:val="005530AC"/>
    <w:rsid w:val="00560AF8"/>
    <w:rsid w:val="005711A4"/>
    <w:rsid w:val="005731D7"/>
    <w:rsid w:val="005731E5"/>
    <w:rsid w:val="00575372"/>
    <w:rsid w:val="00575CD2"/>
    <w:rsid w:val="00575FB5"/>
    <w:rsid w:val="00580B1E"/>
    <w:rsid w:val="005814B2"/>
    <w:rsid w:val="005908FF"/>
    <w:rsid w:val="005A3036"/>
    <w:rsid w:val="005B0C38"/>
    <w:rsid w:val="005C049A"/>
    <w:rsid w:val="005C449B"/>
    <w:rsid w:val="005D0ED7"/>
    <w:rsid w:val="005D4260"/>
    <w:rsid w:val="005D606B"/>
    <w:rsid w:val="005E40EE"/>
    <w:rsid w:val="005E4752"/>
    <w:rsid w:val="0060088B"/>
    <w:rsid w:val="00607698"/>
    <w:rsid w:val="00611E97"/>
    <w:rsid w:val="00615D70"/>
    <w:rsid w:val="006216E8"/>
    <w:rsid w:val="006418E9"/>
    <w:rsid w:val="006541E1"/>
    <w:rsid w:val="0065770E"/>
    <w:rsid w:val="0066272A"/>
    <w:rsid w:val="0067507D"/>
    <w:rsid w:val="00675B08"/>
    <w:rsid w:val="00677D51"/>
    <w:rsid w:val="00694E16"/>
    <w:rsid w:val="006957ED"/>
    <w:rsid w:val="006A0CE1"/>
    <w:rsid w:val="006A2844"/>
    <w:rsid w:val="006A33FC"/>
    <w:rsid w:val="006B0562"/>
    <w:rsid w:val="006B21A9"/>
    <w:rsid w:val="006C06E0"/>
    <w:rsid w:val="006C1B16"/>
    <w:rsid w:val="006C3C95"/>
    <w:rsid w:val="006C4D17"/>
    <w:rsid w:val="006C52E5"/>
    <w:rsid w:val="006C76FA"/>
    <w:rsid w:val="006D3F97"/>
    <w:rsid w:val="006D6401"/>
    <w:rsid w:val="006E6210"/>
    <w:rsid w:val="006F26BD"/>
    <w:rsid w:val="006F279C"/>
    <w:rsid w:val="006F3E67"/>
    <w:rsid w:val="00701772"/>
    <w:rsid w:val="00702BB0"/>
    <w:rsid w:val="00707C09"/>
    <w:rsid w:val="00712619"/>
    <w:rsid w:val="00720107"/>
    <w:rsid w:val="00724AF1"/>
    <w:rsid w:val="00727E6B"/>
    <w:rsid w:val="007357CF"/>
    <w:rsid w:val="0073754F"/>
    <w:rsid w:val="00737A3D"/>
    <w:rsid w:val="00740E34"/>
    <w:rsid w:val="007519DE"/>
    <w:rsid w:val="00752C8E"/>
    <w:rsid w:val="00756454"/>
    <w:rsid w:val="00756FBA"/>
    <w:rsid w:val="00760CEA"/>
    <w:rsid w:val="00764587"/>
    <w:rsid w:val="00765939"/>
    <w:rsid w:val="00765DE4"/>
    <w:rsid w:val="00770288"/>
    <w:rsid w:val="007863B9"/>
    <w:rsid w:val="007935C3"/>
    <w:rsid w:val="007A2DB7"/>
    <w:rsid w:val="007B0567"/>
    <w:rsid w:val="007C0F14"/>
    <w:rsid w:val="007C459B"/>
    <w:rsid w:val="007C798D"/>
    <w:rsid w:val="007D3B62"/>
    <w:rsid w:val="007E3BC5"/>
    <w:rsid w:val="007E4F8F"/>
    <w:rsid w:val="007F6A50"/>
    <w:rsid w:val="007F74E3"/>
    <w:rsid w:val="00803A7D"/>
    <w:rsid w:val="008042C8"/>
    <w:rsid w:val="008131DD"/>
    <w:rsid w:val="00813763"/>
    <w:rsid w:val="00822A6E"/>
    <w:rsid w:val="008329A6"/>
    <w:rsid w:val="00835428"/>
    <w:rsid w:val="00836901"/>
    <w:rsid w:val="00841514"/>
    <w:rsid w:val="00841950"/>
    <w:rsid w:val="008438D2"/>
    <w:rsid w:val="00844169"/>
    <w:rsid w:val="008566D2"/>
    <w:rsid w:val="0086046D"/>
    <w:rsid w:val="00870A14"/>
    <w:rsid w:val="00880629"/>
    <w:rsid w:val="00883645"/>
    <w:rsid w:val="0088530E"/>
    <w:rsid w:val="00892781"/>
    <w:rsid w:val="008B778A"/>
    <w:rsid w:val="008C07A6"/>
    <w:rsid w:val="008D5142"/>
    <w:rsid w:val="008D5B9F"/>
    <w:rsid w:val="008E0E48"/>
    <w:rsid w:val="008F1ACB"/>
    <w:rsid w:val="008F4675"/>
    <w:rsid w:val="008F46E8"/>
    <w:rsid w:val="008F5BF9"/>
    <w:rsid w:val="0090066E"/>
    <w:rsid w:val="00902C35"/>
    <w:rsid w:val="00903E24"/>
    <w:rsid w:val="00904EBA"/>
    <w:rsid w:val="00905557"/>
    <w:rsid w:val="00905CB1"/>
    <w:rsid w:val="009269B1"/>
    <w:rsid w:val="009274E4"/>
    <w:rsid w:val="00932950"/>
    <w:rsid w:val="00932FE8"/>
    <w:rsid w:val="00934D23"/>
    <w:rsid w:val="009405A5"/>
    <w:rsid w:val="00944B4E"/>
    <w:rsid w:val="00944D26"/>
    <w:rsid w:val="00944DF9"/>
    <w:rsid w:val="00945F45"/>
    <w:rsid w:val="00954BE7"/>
    <w:rsid w:val="00957530"/>
    <w:rsid w:val="00960319"/>
    <w:rsid w:val="00963272"/>
    <w:rsid w:val="0096555E"/>
    <w:rsid w:val="00965CE8"/>
    <w:rsid w:val="00986B11"/>
    <w:rsid w:val="00995B73"/>
    <w:rsid w:val="00996A65"/>
    <w:rsid w:val="009A5BB0"/>
    <w:rsid w:val="009B632C"/>
    <w:rsid w:val="009D307E"/>
    <w:rsid w:val="009D4EF7"/>
    <w:rsid w:val="009E665A"/>
    <w:rsid w:val="009F066C"/>
    <w:rsid w:val="00A053BB"/>
    <w:rsid w:val="00A06356"/>
    <w:rsid w:val="00A16E8B"/>
    <w:rsid w:val="00A23AF8"/>
    <w:rsid w:val="00A347FA"/>
    <w:rsid w:val="00A40414"/>
    <w:rsid w:val="00A50EE2"/>
    <w:rsid w:val="00A57F31"/>
    <w:rsid w:val="00A63AE8"/>
    <w:rsid w:val="00A64545"/>
    <w:rsid w:val="00A67D09"/>
    <w:rsid w:val="00A70A1E"/>
    <w:rsid w:val="00A75261"/>
    <w:rsid w:val="00A777C1"/>
    <w:rsid w:val="00A85D00"/>
    <w:rsid w:val="00A868D4"/>
    <w:rsid w:val="00A93D27"/>
    <w:rsid w:val="00AA3352"/>
    <w:rsid w:val="00AA3383"/>
    <w:rsid w:val="00AA5DFE"/>
    <w:rsid w:val="00AA6EE0"/>
    <w:rsid w:val="00AB4073"/>
    <w:rsid w:val="00AC00AF"/>
    <w:rsid w:val="00AC013B"/>
    <w:rsid w:val="00AC5504"/>
    <w:rsid w:val="00AD233B"/>
    <w:rsid w:val="00AE33D0"/>
    <w:rsid w:val="00AE4243"/>
    <w:rsid w:val="00AE5B93"/>
    <w:rsid w:val="00AE691A"/>
    <w:rsid w:val="00AE774B"/>
    <w:rsid w:val="00AF20CB"/>
    <w:rsid w:val="00AF3C92"/>
    <w:rsid w:val="00AF632A"/>
    <w:rsid w:val="00B03568"/>
    <w:rsid w:val="00B13898"/>
    <w:rsid w:val="00B13B53"/>
    <w:rsid w:val="00B21BA5"/>
    <w:rsid w:val="00B23FCF"/>
    <w:rsid w:val="00B31E71"/>
    <w:rsid w:val="00B320AF"/>
    <w:rsid w:val="00B32124"/>
    <w:rsid w:val="00B41E2D"/>
    <w:rsid w:val="00B53382"/>
    <w:rsid w:val="00B54147"/>
    <w:rsid w:val="00B545D7"/>
    <w:rsid w:val="00B61D6D"/>
    <w:rsid w:val="00B648D9"/>
    <w:rsid w:val="00B67EB3"/>
    <w:rsid w:val="00B81916"/>
    <w:rsid w:val="00B86A92"/>
    <w:rsid w:val="00B927D3"/>
    <w:rsid w:val="00B9541D"/>
    <w:rsid w:val="00BA1202"/>
    <w:rsid w:val="00BA2A90"/>
    <w:rsid w:val="00BB1DCA"/>
    <w:rsid w:val="00BB48F2"/>
    <w:rsid w:val="00BC0C7F"/>
    <w:rsid w:val="00BC1AA4"/>
    <w:rsid w:val="00BC1F5F"/>
    <w:rsid w:val="00BC5EF1"/>
    <w:rsid w:val="00BD3052"/>
    <w:rsid w:val="00BE0CC1"/>
    <w:rsid w:val="00BF0487"/>
    <w:rsid w:val="00BF23C2"/>
    <w:rsid w:val="00BF2942"/>
    <w:rsid w:val="00BF4045"/>
    <w:rsid w:val="00BF67B6"/>
    <w:rsid w:val="00C0130D"/>
    <w:rsid w:val="00C14B20"/>
    <w:rsid w:val="00C17B3C"/>
    <w:rsid w:val="00C20CAA"/>
    <w:rsid w:val="00C218F8"/>
    <w:rsid w:val="00C26DC0"/>
    <w:rsid w:val="00C31A15"/>
    <w:rsid w:val="00C34509"/>
    <w:rsid w:val="00C36ED5"/>
    <w:rsid w:val="00C40AE6"/>
    <w:rsid w:val="00C41B0D"/>
    <w:rsid w:val="00C547AA"/>
    <w:rsid w:val="00C606AF"/>
    <w:rsid w:val="00C71308"/>
    <w:rsid w:val="00C71AFA"/>
    <w:rsid w:val="00C72A7F"/>
    <w:rsid w:val="00C75655"/>
    <w:rsid w:val="00C76849"/>
    <w:rsid w:val="00C84213"/>
    <w:rsid w:val="00C873B2"/>
    <w:rsid w:val="00C87D0F"/>
    <w:rsid w:val="00C9254C"/>
    <w:rsid w:val="00CB0A25"/>
    <w:rsid w:val="00CC3FC1"/>
    <w:rsid w:val="00CD1CD7"/>
    <w:rsid w:val="00CD2DB1"/>
    <w:rsid w:val="00CD4572"/>
    <w:rsid w:val="00CE2AAA"/>
    <w:rsid w:val="00CE425E"/>
    <w:rsid w:val="00CE5629"/>
    <w:rsid w:val="00CF1C2A"/>
    <w:rsid w:val="00CF5FCC"/>
    <w:rsid w:val="00D36CA9"/>
    <w:rsid w:val="00D554DD"/>
    <w:rsid w:val="00D55655"/>
    <w:rsid w:val="00D60A40"/>
    <w:rsid w:val="00D60E3C"/>
    <w:rsid w:val="00D61629"/>
    <w:rsid w:val="00D6227E"/>
    <w:rsid w:val="00D705C5"/>
    <w:rsid w:val="00D71142"/>
    <w:rsid w:val="00D7155A"/>
    <w:rsid w:val="00D73FA6"/>
    <w:rsid w:val="00D829AA"/>
    <w:rsid w:val="00D84A3C"/>
    <w:rsid w:val="00D95473"/>
    <w:rsid w:val="00DA0A7C"/>
    <w:rsid w:val="00DA1DA8"/>
    <w:rsid w:val="00DA4585"/>
    <w:rsid w:val="00DB4138"/>
    <w:rsid w:val="00DD095E"/>
    <w:rsid w:val="00DD17D2"/>
    <w:rsid w:val="00DD4DDE"/>
    <w:rsid w:val="00DD7491"/>
    <w:rsid w:val="00DE0C3B"/>
    <w:rsid w:val="00DE273F"/>
    <w:rsid w:val="00E00438"/>
    <w:rsid w:val="00E01A3D"/>
    <w:rsid w:val="00E15458"/>
    <w:rsid w:val="00E400B5"/>
    <w:rsid w:val="00E45E51"/>
    <w:rsid w:val="00E46C70"/>
    <w:rsid w:val="00E479F0"/>
    <w:rsid w:val="00E677FF"/>
    <w:rsid w:val="00E70DD5"/>
    <w:rsid w:val="00E71C1B"/>
    <w:rsid w:val="00E72518"/>
    <w:rsid w:val="00E824D1"/>
    <w:rsid w:val="00E8363E"/>
    <w:rsid w:val="00E84B80"/>
    <w:rsid w:val="00EA0593"/>
    <w:rsid w:val="00EA07F5"/>
    <w:rsid w:val="00EB1D87"/>
    <w:rsid w:val="00EB3719"/>
    <w:rsid w:val="00EB7A60"/>
    <w:rsid w:val="00EC10D7"/>
    <w:rsid w:val="00EC3F48"/>
    <w:rsid w:val="00EC3FB0"/>
    <w:rsid w:val="00EC77C5"/>
    <w:rsid w:val="00ED394D"/>
    <w:rsid w:val="00EE0CD4"/>
    <w:rsid w:val="00EE1ABB"/>
    <w:rsid w:val="00EE588C"/>
    <w:rsid w:val="00EE6BC7"/>
    <w:rsid w:val="00F05356"/>
    <w:rsid w:val="00F27949"/>
    <w:rsid w:val="00F31398"/>
    <w:rsid w:val="00F40DAE"/>
    <w:rsid w:val="00F519AA"/>
    <w:rsid w:val="00F535D2"/>
    <w:rsid w:val="00F57CDF"/>
    <w:rsid w:val="00F67BC9"/>
    <w:rsid w:val="00F75E7A"/>
    <w:rsid w:val="00F8112E"/>
    <w:rsid w:val="00F86D4E"/>
    <w:rsid w:val="00F91D93"/>
    <w:rsid w:val="00F94BF7"/>
    <w:rsid w:val="00FB2805"/>
    <w:rsid w:val="00FC312D"/>
    <w:rsid w:val="00FC5629"/>
    <w:rsid w:val="00FC5D85"/>
    <w:rsid w:val="00FD2AAD"/>
    <w:rsid w:val="00FE2343"/>
    <w:rsid w:val="00FE3CEA"/>
    <w:rsid w:val="00FF0B69"/>
    <w:rsid w:val="00FF6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18B6D"/>
  <w15:docId w15:val="{F571C935-BD5B-1A42-BCFF-692168CF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2B11"/>
    <w:pPr>
      <w:keepNext/>
      <w:keepLines/>
      <w:widowControl w:val="0"/>
      <w:spacing w:after="80"/>
    </w:pPr>
    <w:rPr>
      <w:rFonts w:ascii="Aptos" w:hAnsi="Aptos" w:cs="Times New Roman (Body CS)"/>
    </w:rPr>
  </w:style>
  <w:style w:type="paragraph" w:styleId="Heading1">
    <w:name w:val="heading 1"/>
    <w:basedOn w:val="Normal"/>
    <w:next w:val="BodyText"/>
    <w:uiPriority w:val="9"/>
    <w:qFormat/>
    <w:rsid w:val="003871FA"/>
    <w:pPr>
      <w:spacing w:before="480" w:after="480"/>
      <w:outlineLvl w:val="0"/>
    </w:pPr>
    <w:rPr>
      <w:rFonts w:eastAsiaTheme="majorEastAsia" w:cstheme="majorBidi"/>
      <w:b/>
      <w:bCs/>
      <w:sz w:val="52"/>
      <w:szCs w:val="52"/>
    </w:rPr>
  </w:style>
  <w:style w:type="paragraph" w:styleId="Heading2">
    <w:name w:val="heading 2"/>
    <w:basedOn w:val="Normal"/>
    <w:next w:val="BodyText"/>
    <w:autoRedefine/>
    <w:uiPriority w:val="9"/>
    <w:unhideWhenUsed/>
    <w:qFormat/>
    <w:rsid w:val="0017571E"/>
    <w:pPr>
      <w:pBdr>
        <w:left w:val="single" w:sz="48" w:space="12" w:color="017BAB"/>
      </w:pBdr>
      <w:snapToGrid w:val="0"/>
      <w:spacing w:after="0"/>
      <w:ind w:left="432"/>
      <w:outlineLvl w:val="1"/>
    </w:pPr>
    <w:rPr>
      <w:rFonts w:eastAsiaTheme="majorEastAsia" w:cs="Times New Roman (Headings CS)"/>
      <w:b/>
      <w:bCs/>
      <w:position w:val="-12"/>
      <w:sz w:val="44"/>
      <w:szCs w:val="26"/>
    </w:rPr>
  </w:style>
  <w:style w:type="paragraph" w:styleId="Heading3">
    <w:name w:val="heading 3"/>
    <w:basedOn w:val="Normal"/>
    <w:next w:val="BodyText"/>
    <w:autoRedefine/>
    <w:uiPriority w:val="9"/>
    <w:unhideWhenUsed/>
    <w:qFormat/>
    <w:rsid w:val="00102E7F"/>
    <w:pPr>
      <w:keepLines w:val="0"/>
      <w:spacing w:before="240" w:after="120"/>
      <w:outlineLvl w:val="2"/>
    </w:pPr>
    <w:rPr>
      <w:rFonts w:eastAsiaTheme="majorEastAsia" w:cs="Times New Roman (Headings CS)"/>
      <w:b/>
      <w:bCs/>
      <w:caps/>
      <w:color w:val="017BAB"/>
      <w:sz w:val="32"/>
    </w:rPr>
  </w:style>
  <w:style w:type="paragraph" w:styleId="Heading4">
    <w:name w:val="heading 4"/>
    <w:basedOn w:val="Normal"/>
    <w:next w:val="BodyText"/>
    <w:autoRedefine/>
    <w:uiPriority w:val="9"/>
    <w:unhideWhenUsed/>
    <w:qFormat/>
    <w:rsid w:val="00F57CDF"/>
    <w:pPr>
      <w:spacing w:before="200" w:after="240"/>
      <w:outlineLvl w:val="3"/>
    </w:pPr>
    <w:rPr>
      <w:rFonts w:ascii="Aptos Narrow" w:eastAsiaTheme="majorEastAsia" w:hAnsi="Aptos Narrow" w:cs="Times New Roman (Headings CS)"/>
      <w:b/>
      <w:bCs/>
      <w:sz w:val="28"/>
    </w:rPr>
  </w:style>
  <w:style w:type="paragraph" w:styleId="Heading5">
    <w:name w:val="heading 5"/>
    <w:basedOn w:val="Normal"/>
    <w:next w:val="BodyText"/>
    <w:uiPriority w:val="9"/>
    <w:unhideWhenUsed/>
    <w:qFormat/>
    <w:p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50B01"/>
    <w:pPr>
      <w:spacing w:before="120" w:after="120"/>
    </w:pPr>
    <w:rPr>
      <w:rFonts w:eastAsia="Times New Roman" w:cs="Calibri"/>
      <w:szCs w:val="19"/>
    </w:rPr>
  </w:style>
  <w:style w:type="paragraph" w:customStyle="1" w:styleId="FirstParagraph">
    <w:name w:val="First Paragraph"/>
    <w:basedOn w:val="BodyText"/>
    <w:next w:val="BodyText"/>
    <w:autoRedefine/>
    <w:qFormat/>
    <w:rsid w:val="00152B11"/>
  </w:style>
  <w:style w:type="paragraph" w:customStyle="1" w:styleId="Compact">
    <w:name w:val="Compact"/>
    <w:basedOn w:val="BodyText"/>
    <w:qFormat/>
    <w:rsid w:val="00DA4585"/>
    <w:pPr>
      <w:spacing w:before="36" w:after="36"/>
    </w:pPr>
  </w:style>
  <w:style w:type="paragraph" w:styleId="Title">
    <w:name w:val="Title"/>
    <w:basedOn w:val="Heading1"/>
    <w:next w:val="BodyText"/>
    <w:autoRedefine/>
    <w:qFormat/>
    <w:rsid w:val="00416959"/>
    <w:pPr>
      <w:outlineLvl w:val="9"/>
    </w:pPr>
  </w:style>
  <w:style w:type="paragraph" w:styleId="Subtitle">
    <w:name w:val="Subtitle"/>
    <w:basedOn w:val="Title"/>
    <w:next w:val="BodyText"/>
    <w:qFormat/>
    <w:rsid w:val="00FB5F85"/>
    <w:pPr>
      <w:spacing w:before="240"/>
    </w:pPr>
    <w:rPr>
      <w:sz w:val="30"/>
      <w:szCs w:val="30"/>
    </w:rPr>
  </w:style>
  <w:style w:type="paragraph" w:customStyle="1" w:styleId="Author">
    <w:name w:val="Author"/>
    <w:next w:val="BodyText"/>
    <w:qFormat/>
    <w:rsid w:val="009B4C50"/>
    <w:pPr>
      <w:keepNext/>
      <w:keepLines/>
      <w:jc w:val="center"/>
    </w:pPr>
    <w:rPr>
      <w:rFonts w:ascii="Aptos" w:hAnsi="Aptos"/>
    </w:rPr>
  </w:style>
  <w:style w:type="paragraph" w:styleId="Date">
    <w:name w:val="Date"/>
    <w:next w:val="BodyText"/>
    <w:qFormat/>
    <w:rsid w:val="009B4C50"/>
    <w:pPr>
      <w:keepNext/>
      <w:keepLines/>
      <w:jc w:val="center"/>
    </w:pPr>
    <w:rPr>
      <w:rFonts w:ascii="Aptos" w:hAnsi="Aptos"/>
    </w:r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8C3B1E"/>
    <w:pPr>
      <w:spacing w:before="240" w:after="240"/>
      <w:ind w:left="475" w:right="475"/>
    </w:pPr>
  </w:style>
  <w:style w:type="paragraph" w:styleId="FootnoteText">
    <w:name w:val="footnote text"/>
    <w:basedOn w:val="Normal"/>
    <w:autoRedefine/>
    <w:uiPriority w:val="9"/>
    <w:unhideWhenUsed/>
    <w:qFormat/>
    <w:rsid w:val="00B23C92"/>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next w:val="Normal"/>
    <w:rsid w:val="00DA4585"/>
    <w:rPr>
      <w:sz w:val="20"/>
    </w:rPr>
  </w:style>
  <w:style w:type="paragraph" w:customStyle="1" w:styleId="Figure">
    <w:name w:val="Figure"/>
    <w:basedOn w:val="Normal"/>
    <w:autoRedefine/>
    <w:qFormat/>
    <w:rsid w:val="006033B3"/>
    <w:pPr>
      <w:framePr w:wrap="around" w:vAnchor="text" w:hAnchor="text" w:xAlign="center" w:y="1"/>
      <w:jc w:val="center"/>
    </w:pPr>
  </w:style>
  <w:style w:type="paragraph" w:customStyle="1" w:styleId="CaptionedFigure">
    <w:name w:val="Captioned Figure"/>
    <w:basedOn w:val="Figure"/>
    <w:rsid w:val="003F4952"/>
    <w:pPr>
      <w:framePr w:wrap="notBeside"/>
      <w:spacing w:after="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6A2844"/>
    <w:rPr>
      <w:rFonts w:ascii="Aptos" w:hAnsi="Aptos"/>
      <w:color w:val="auto"/>
      <w:u w:val="single"/>
    </w:rPr>
  </w:style>
  <w:style w:type="paragraph" w:styleId="TOCHeading">
    <w:name w:val="TOC Heading"/>
    <w:basedOn w:val="Heading2"/>
    <w:next w:val="BodyText"/>
    <w:autoRedefine/>
    <w:uiPriority w:val="39"/>
    <w:unhideWhenUsed/>
    <w:qFormat/>
    <w:rsid w:val="009D4EF7"/>
    <w:pPr>
      <w:pBdr>
        <w:left w:val="none" w:sz="0" w:space="0" w:color="auto"/>
      </w:pBdr>
      <w:ind w:left="0"/>
      <w:outlineLvl w:val="9"/>
    </w:pPr>
    <w:rPr>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2769D"/>
    <w:pPr>
      <w:spacing w:before="120" w:after="0"/>
      <w:ind w:left="240"/>
    </w:pPr>
    <w:rPr>
      <w:rFonts w:asciiTheme="minorHAnsi" w:hAnsiTheme="minorHAnsi"/>
      <w:b/>
      <w:bCs/>
      <w:sz w:val="22"/>
      <w:szCs w:val="22"/>
    </w:rPr>
  </w:style>
  <w:style w:type="paragraph" w:styleId="TOC3">
    <w:name w:val="toc 3"/>
    <w:basedOn w:val="Normal"/>
    <w:next w:val="Normal"/>
    <w:autoRedefine/>
    <w:uiPriority w:val="39"/>
    <w:rsid w:val="0042769D"/>
    <w:pPr>
      <w:spacing w:after="0"/>
      <w:ind w:left="480"/>
    </w:pPr>
    <w:rPr>
      <w:rFonts w:asciiTheme="minorHAnsi" w:hAnsiTheme="minorHAnsi"/>
      <w:sz w:val="20"/>
      <w:szCs w:val="20"/>
    </w:rPr>
  </w:style>
  <w:style w:type="paragraph" w:styleId="Header">
    <w:name w:val="header"/>
    <w:basedOn w:val="Normal"/>
    <w:link w:val="HeaderChar"/>
    <w:uiPriority w:val="99"/>
    <w:rsid w:val="00D5325D"/>
    <w:pPr>
      <w:tabs>
        <w:tab w:val="center" w:pos="4680"/>
        <w:tab w:val="right" w:pos="9360"/>
      </w:tabs>
      <w:spacing w:after="0"/>
    </w:pPr>
  </w:style>
  <w:style w:type="character" w:customStyle="1" w:styleId="HeaderChar">
    <w:name w:val="Header Char"/>
    <w:basedOn w:val="DefaultParagraphFont"/>
    <w:link w:val="Header"/>
    <w:uiPriority w:val="99"/>
    <w:rsid w:val="00D5325D"/>
    <w:rPr>
      <w:rFonts w:ascii="Aptos" w:hAnsi="Aptos"/>
    </w:rPr>
  </w:style>
  <w:style w:type="paragraph" w:styleId="Footer">
    <w:name w:val="footer"/>
    <w:basedOn w:val="Normal"/>
    <w:link w:val="FooterChar"/>
    <w:uiPriority w:val="99"/>
    <w:rsid w:val="00D5325D"/>
    <w:pPr>
      <w:tabs>
        <w:tab w:val="center" w:pos="4680"/>
        <w:tab w:val="right" w:pos="9360"/>
      </w:tabs>
      <w:spacing w:after="0"/>
    </w:pPr>
  </w:style>
  <w:style w:type="character" w:customStyle="1" w:styleId="FooterChar">
    <w:name w:val="Footer Char"/>
    <w:basedOn w:val="DefaultParagraphFont"/>
    <w:link w:val="Footer"/>
    <w:uiPriority w:val="99"/>
    <w:rsid w:val="00D5325D"/>
    <w:rPr>
      <w:rFonts w:ascii="Aptos" w:hAnsi="Aptos"/>
    </w:rPr>
  </w:style>
  <w:style w:type="character" w:styleId="PageNumber">
    <w:name w:val="page number"/>
    <w:basedOn w:val="DefaultParagraphFont"/>
    <w:rsid w:val="00F65BD6"/>
  </w:style>
  <w:style w:type="paragraph" w:styleId="TOC4">
    <w:name w:val="toc 4"/>
    <w:basedOn w:val="Normal"/>
    <w:next w:val="Normal"/>
    <w:autoRedefine/>
    <w:uiPriority w:val="39"/>
    <w:rsid w:val="0005461F"/>
    <w:pPr>
      <w:spacing w:after="0"/>
      <w:ind w:left="720"/>
    </w:pPr>
    <w:rPr>
      <w:rFonts w:asciiTheme="minorHAnsi" w:hAnsiTheme="minorHAnsi"/>
      <w:sz w:val="20"/>
      <w:szCs w:val="20"/>
    </w:rPr>
  </w:style>
  <w:style w:type="numbering" w:customStyle="1" w:styleId="CurrentList1">
    <w:name w:val="Current List1"/>
    <w:uiPriority w:val="99"/>
    <w:rsid w:val="002A37F5"/>
    <w:pPr>
      <w:numPr>
        <w:numId w:val="1"/>
      </w:numPr>
    </w:pPr>
  </w:style>
  <w:style w:type="table" w:styleId="TableGrid">
    <w:name w:val="Table Grid"/>
    <w:basedOn w:val="TableNormal"/>
    <w:rsid w:val="009F6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57C7"/>
    <w:rPr>
      <w:color w:val="605E5C"/>
      <w:shd w:val="clear" w:color="auto" w:fill="E1DFDD"/>
    </w:rPr>
  </w:style>
  <w:style w:type="character" w:styleId="FollowedHyperlink">
    <w:name w:val="FollowedHyperlink"/>
    <w:basedOn w:val="DefaultParagraphFont"/>
    <w:rsid w:val="00B34467"/>
    <w:rPr>
      <w:color w:val="800080" w:themeColor="followedHyperlink"/>
      <w:u w:val="single"/>
    </w:rPr>
  </w:style>
  <w:style w:type="paragraph" w:styleId="TOC1">
    <w:name w:val="toc 1"/>
    <w:basedOn w:val="Normal"/>
    <w:next w:val="Normal"/>
    <w:autoRedefine/>
    <w:uiPriority w:val="39"/>
    <w:rsid w:val="00C87722"/>
    <w:pPr>
      <w:spacing w:before="120" w:after="0"/>
    </w:pPr>
    <w:rPr>
      <w:rFonts w:asciiTheme="minorHAnsi" w:hAnsiTheme="minorHAnsi"/>
      <w:b/>
      <w:bCs/>
      <w:i/>
      <w:iCs/>
    </w:rPr>
  </w:style>
  <w:style w:type="paragraph" w:styleId="TOC5">
    <w:name w:val="toc 5"/>
    <w:basedOn w:val="Normal"/>
    <w:next w:val="Normal"/>
    <w:autoRedefine/>
    <w:rsid w:val="00C87722"/>
    <w:pPr>
      <w:spacing w:after="0"/>
      <w:ind w:left="960"/>
    </w:pPr>
    <w:rPr>
      <w:rFonts w:asciiTheme="minorHAnsi" w:hAnsiTheme="minorHAnsi"/>
      <w:sz w:val="20"/>
      <w:szCs w:val="20"/>
    </w:rPr>
  </w:style>
  <w:style w:type="paragraph" w:styleId="TOC6">
    <w:name w:val="toc 6"/>
    <w:basedOn w:val="Normal"/>
    <w:next w:val="Normal"/>
    <w:autoRedefine/>
    <w:rsid w:val="00C87722"/>
    <w:pPr>
      <w:spacing w:after="0"/>
      <w:ind w:left="1200"/>
    </w:pPr>
    <w:rPr>
      <w:rFonts w:asciiTheme="minorHAnsi" w:hAnsiTheme="minorHAnsi"/>
      <w:sz w:val="20"/>
      <w:szCs w:val="20"/>
    </w:rPr>
  </w:style>
  <w:style w:type="paragraph" w:styleId="TOC7">
    <w:name w:val="toc 7"/>
    <w:basedOn w:val="Normal"/>
    <w:next w:val="Normal"/>
    <w:autoRedefine/>
    <w:rsid w:val="00C87722"/>
    <w:pPr>
      <w:spacing w:after="0"/>
      <w:ind w:left="1440"/>
    </w:pPr>
    <w:rPr>
      <w:rFonts w:asciiTheme="minorHAnsi" w:hAnsiTheme="minorHAnsi"/>
      <w:sz w:val="20"/>
      <w:szCs w:val="20"/>
    </w:rPr>
  </w:style>
  <w:style w:type="paragraph" w:styleId="TOC8">
    <w:name w:val="toc 8"/>
    <w:basedOn w:val="Normal"/>
    <w:next w:val="Normal"/>
    <w:autoRedefine/>
    <w:rsid w:val="00C87722"/>
    <w:pPr>
      <w:spacing w:after="0"/>
      <w:ind w:left="1680"/>
    </w:pPr>
    <w:rPr>
      <w:rFonts w:asciiTheme="minorHAnsi" w:hAnsiTheme="minorHAnsi"/>
      <w:sz w:val="20"/>
      <w:szCs w:val="20"/>
    </w:rPr>
  </w:style>
  <w:style w:type="paragraph" w:styleId="TOC9">
    <w:name w:val="toc 9"/>
    <w:basedOn w:val="Normal"/>
    <w:next w:val="Normal"/>
    <w:autoRedefine/>
    <w:rsid w:val="00C87722"/>
    <w:pPr>
      <w:spacing w:after="0"/>
      <w:ind w:left="1920"/>
    </w:pPr>
    <w:rPr>
      <w:rFonts w:asciiTheme="minorHAnsi" w:hAnsiTheme="minorHAnsi"/>
      <w:sz w:val="20"/>
      <w:szCs w:val="20"/>
    </w:rPr>
  </w:style>
  <w:style w:type="table" w:styleId="PlainTable3">
    <w:name w:val="Plain Table 3"/>
    <w:basedOn w:val="TableNormal"/>
    <w:rsid w:val="00DA1DA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DA1DA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CF1C2A"/>
    <w:pPr>
      <w:ind w:left="720"/>
      <w:contextualSpacing/>
    </w:pPr>
  </w:style>
  <w:style w:type="paragraph" w:customStyle="1" w:styleId="Style1">
    <w:name w:val="Style1"/>
    <w:basedOn w:val="Heading3"/>
    <w:qFormat/>
    <w:rsid w:val="00A777C1"/>
    <w:rPr>
      <w:caps w:val="0"/>
      <w:color w:val="3991D0"/>
    </w:rPr>
  </w:style>
  <w:style w:type="paragraph" w:styleId="TableofFigures">
    <w:name w:val="table of figures"/>
    <w:basedOn w:val="Normal"/>
    <w:next w:val="Normal"/>
    <w:uiPriority w:val="99"/>
    <w:rsid w:val="009405A5"/>
    <w:pPr>
      <w:spacing w:after="0"/>
    </w:pPr>
  </w:style>
  <w:style w:type="paragraph" w:styleId="NoSpacing">
    <w:name w:val="No Spacing"/>
    <w:link w:val="NoSpacingChar"/>
    <w:uiPriority w:val="1"/>
    <w:qFormat/>
    <w:rsid w:val="000E6ACA"/>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E6ACA"/>
    <w:rPr>
      <w:rFonts w:eastAsiaTheme="minorEastAsia"/>
      <w:sz w:val="22"/>
      <w:szCs w:val="22"/>
      <w:lang w:eastAsia="zh-CN"/>
    </w:rPr>
  </w:style>
  <w:style w:type="paragraph" w:customStyle="1" w:styleId="ExecSum">
    <w:name w:val="ExecSum"/>
    <w:basedOn w:val="Heading2"/>
    <w:qFormat/>
    <w:rsid w:val="00096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oe.virginia.gov/programs-services/special-education" TargetMode="External"/><Relationship Id="rId21" Type="http://schemas.openxmlformats.org/officeDocument/2006/relationships/image" Target="media/image5.png"/><Relationship Id="rId42" Type="http://schemas.openxmlformats.org/officeDocument/2006/relationships/image" Target="media/image16.png"/><Relationship Id="rId47" Type="http://schemas.openxmlformats.org/officeDocument/2006/relationships/hyperlink" Target="https://www.doe.virginia.gov/programs-services/school-operations-support-services/school-nutrition/program-statistics-reports" TargetMode="External"/><Relationship Id="rId63" Type="http://schemas.openxmlformats.org/officeDocument/2006/relationships/image" Target="media/image24.png"/><Relationship Id="rId68" Type="http://schemas.openxmlformats.org/officeDocument/2006/relationships/image" Target="media/image28.png"/><Relationship Id="rId84" Type="http://schemas.openxmlformats.org/officeDocument/2006/relationships/hyperlink" Target="https://creativecommons.org/licenses/by/4.0/" TargetMode="Externa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hyperlink" Target="https://www.doe.virginia.gov/programs-services/student-services/attendance-school-engagement" TargetMode="External"/><Relationship Id="rId37" Type="http://schemas.openxmlformats.org/officeDocument/2006/relationships/hyperlink" Target="http://www.studentclearinghouse.org/" TargetMode="External"/><Relationship Id="rId53" Type="http://schemas.openxmlformats.org/officeDocument/2006/relationships/image" Target="media/image21.png"/><Relationship Id="rId58" Type="http://schemas.openxmlformats.org/officeDocument/2006/relationships/hyperlink" Target="https://www.hachettebookgroup.com/titles/dorothy-roberts/torn-apart/9781541675445/" TargetMode="External"/><Relationship Id="rId74" Type="http://schemas.openxmlformats.org/officeDocument/2006/relationships/hyperlink" Target="https://www.doe.virginia.gov/data-policy-funding/data-reports/data-collection/student-behavior-and-administrative-response-collection" TargetMode="External"/><Relationship Id="rId79" Type="http://schemas.openxmlformats.org/officeDocument/2006/relationships/hyperlink" Target="https://law.lis.virginia.gov/vacode/title16.1/chapter11/section16.1-278.8/" TargetMode="External"/><Relationship Id="rId5" Type="http://schemas.openxmlformats.org/officeDocument/2006/relationships/webSettings" Target="webSettings.xml"/><Relationship Id="rId19" Type="http://schemas.openxmlformats.org/officeDocument/2006/relationships/hyperlink" Target="https://vkrponline.org/"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s://nces.ed.gov/programs/coe/indicator/cgg/students-with-disabilities" TargetMode="External"/><Relationship Id="rId30" Type="http://schemas.openxmlformats.org/officeDocument/2006/relationships/image" Target="media/image10.png"/><Relationship Id="rId35" Type="http://schemas.openxmlformats.org/officeDocument/2006/relationships/hyperlink" Target="https://www.doe.virginia.gov/home/showpublisheddocument/19836/638042970406400000" TargetMode="External"/><Relationship Id="rId43" Type="http://schemas.openxmlformats.org/officeDocument/2006/relationships/image" Target="media/image17.png"/><Relationship Id="rId48" Type="http://schemas.openxmlformats.org/officeDocument/2006/relationships/image" Target="media/image19.png"/><Relationship Id="rId56" Type="http://schemas.openxmlformats.org/officeDocument/2006/relationships/hyperlink" Target="https://cssp.org/wp-content/uploads/2018/11/CSSP-Entangled-Roots.pdf" TargetMode="External"/><Relationship Id="rId64" Type="http://schemas.openxmlformats.org/officeDocument/2006/relationships/image" Target="media/image25.png"/><Relationship Id="rId69" Type="http://schemas.openxmlformats.org/officeDocument/2006/relationships/hyperlink" Target="https://www.doe.virginia.gov/data-policy-funding/data-reports/data-collection/student-behavior-and-administrative-response-collection" TargetMode="External"/><Relationship Id="rId77" Type="http://schemas.openxmlformats.org/officeDocument/2006/relationships/hyperlink" Target="https://law.lis.virginia.gov/vacode/title16.1/chapter11/section16.1-278.5/" TargetMode="External"/><Relationship Id="rId8" Type="http://schemas.openxmlformats.org/officeDocument/2006/relationships/header" Target="header1.xml"/><Relationship Id="rId51" Type="http://schemas.openxmlformats.org/officeDocument/2006/relationships/hyperlink" Target="https://www.childwelfare.gov/pubpdfs/long_term_consequences.pdf" TargetMode="External"/><Relationship Id="rId72" Type="http://schemas.openxmlformats.org/officeDocument/2006/relationships/hyperlink" Target="https://www.doe.virginia.gov/data-policy-funding/data-reports/data-collection/student-behavior-and-administrative-response-collection" TargetMode="External"/><Relationship Id="rId80" Type="http://schemas.openxmlformats.org/officeDocument/2006/relationships/image" Target="media/image34.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hyperlink" Target="https://www.doe.virginia.gov/data-policy-funding/data-reports/data-collection/special-education" TargetMode="External"/><Relationship Id="rId38" Type="http://schemas.openxmlformats.org/officeDocument/2006/relationships/image" Target="media/image13.png"/><Relationship Id="rId46" Type="http://schemas.openxmlformats.org/officeDocument/2006/relationships/hyperlink" Target="https://thecommonwealthinstitute.org/research/weighing-support-for-virginias-students/" TargetMode="External"/><Relationship Id="rId59" Type="http://schemas.openxmlformats.org/officeDocument/2006/relationships/image" Target="media/image22.png"/><Relationship Id="rId67" Type="http://schemas.openxmlformats.org/officeDocument/2006/relationships/hyperlink" Target="https://www.guttmacher.org/gpr/2020/04/reducing-sti-cases-young-people-deserve-better-sexual-health-information-and-services" TargetMode="External"/><Relationship Id="rId20" Type="http://schemas.openxmlformats.org/officeDocument/2006/relationships/image" Target="media/image4.png"/><Relationship Id="rId41" Type="http://schemas.openxmlformats.org/officeDocument/2006/relationships/image" Target="media/image15.png"/><Relationship Id="rId54" Type="http://schemas.openxmlformats.org/officeDocument/2006/relationships/hyperlink" Target="https://www.childrensdefense.org/state-of-americas-children/soac-2021-child-welfare/" TargetMode="External"/><Relationship Id="rId62" Type="http://schemas.openxmlformats.org/officeDocument/2006/relationships/hyperlink" Target="https://www.vdh.virginia.gov/blue-ridge/mapp2health/" TargetMode="External"/><Relationship Id="rId70" Type="http://schemas.openxmlformats.org/officeDocument/2006/relationships/image" Target="media/image29.png"/><Relationship Id="rId75" Type="http://schemas.openxmlformats.org/officeDocument/2006/relationships/image" Target="media/image32.png"/><Relationship Id="rId83"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www.aecf.org/resources/early-warning-why-reading-by-the-end-of-third-grade-matters" TargetMode="External"/><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hyperlink" Target="https://onlinelibrary.wiley.com/doi/full/10.1111/j.1741-3737.2011.00825.x" TargetMode="External"/><Relationship Id="rId57" Type="http://schemas.openxmlformats.org/officeDocument/2006/relationships/hyperlink" Target="https://www.childrensrights.org/wp-content/uploads/2023/04/CR-Racism-at-the-Front-End-of-Child-Welfare-2023-Fact-Sheet.pdf" TargetMode="External"/><Relationship Id="rId10" Type="http://schemas.openxmlformats.org/officeDocument/2006/relationships/footer" Target="footer2.xml"/><Relationship Id="rId31" Type="http://schemas.openxmlformats.org/officeDocument/2006/relationships/hyperlink" Target="https://www.nytimes.com/interactive/2024/03/29/us/chronic-absences.html" TargetMode="External"/><Relationship Id="rId44" Type="http://schemas.openxmlformats.org/officeDocument/2006/relationships/hyperlink" Target="https://www.cbpp.org/research/federal-tax/stimulus-payments-child-tax-credit-expansion-were-critical-parts-of-successful" TargetMode="External"/><Relationship Id="rId52" Type="http://schemas.openxmlformats.org/officeDocument/2006/relationships/hyperlink" Target="https://www.childwelfare.gov/pubPDFs/bulletins-povertyneglect.pdf" TargetMode="External"/><Relationship Id="rId60" Type="http://schemas.openxmlformats.org/officeDocument/2006/relationships/image" Target="media/image23.png"/><Relationship Id="rId65" Type="http://schemas.openxmlformats.org/officeDocument/2006/relationships/image" Target="media/image26.png"/><Relationship Id="rId73" Type="http://schemas.openxmlformats.org/officeDocument/2006/relationships/image" Target="media/image31.png"/><Relationship Id="rId78" Type="http://schemas.openxmlformats.org/officeDocument/2006/relationships/image" Target="media/image33.png"/><Relationship Id="rId81" Type="http://schemas.openxmlformats.org/officeDocument/2006/relationships/image" Target="media/image35.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eader" Target="header4.xml"/><Relationship Id="rId39" Type="http://schemas.openxmlformats.org/officeDocument/2006/relationships/image" Target="media/image14.png"/><Relationship Id="rId34" Type="http://schemas.openxmlformats.org/officeDocument/2006/relationships/image" Target="media/image11.png"/><Relationship Id="rId50" Type="http://schemas.openxmlformats.org/officeDocument/2006/relationships/image" Target="media/image20.png"/><Relationship Id="rId55" Type="http://schemas.openxmlformats.org/officeDocument/2006/relationships/hyperlink" Target="https://www.hachettebookgroup.com/titles/dorothy-roberts/shattered-bonds/9780465070596/" TargetMode="External"/><Relationship Id="rId76" Type="http://schemas.openxmlformats.org/officeDocument/2006/relationships/hyperlink" Target="https://law.lis.virginia.gov/vacode/title16.1/chapter11/section16.1-278.4/" TargetMode="External"/><Relationship Id="rId7" Type="http://schemas.openxmlformats.org/officeDocument/2006/relationships/endnotes" Target="endnotes.xml"/><Relationship Id="rId71"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hyperlink" Target="https://www.doe.virginia.gov/teaching-learning-assessment/specialized-instruction/english-learner-education" TargetMode="External"/><Relationship Id="rId24" Type="http://schemas.openxmlformats.org/officeDocument/2006/relationships/image" Target="media/image7.png"/><Relationship Id="rId40" Type="http://schemas.openxmlformats.org/officeDocument/2006/relationships/hyperlink" Target="https://www.unitedforalice.org" TargetMode="External"/><Relationship Id="rId45" Type="http://schemas.openxmlformats.org/officeDocument/2006/relationships/image" Target="media/image18.png"/><Relationship Id="rId66" Type="http://schemas.openxmlformats.org/officeDocument/2006/relationships/image" Target="media/image27.png"/><Relationship Id="rId61" Type="http://schemas.openxmlformats.org/officeDocument/2006/relationships/hyperlink" Target="https://www.acog.org/clinical/clinical-guidance/committee-opinion/articles/2011/01/substance-abuse-reporting-and-pregnancy-the-role-of-the-obstetrician-gynecologist" TargetMode="External"/><Relationship Id="rId82" Type="http://schemas.openxmlformats.org/officeDocument/2006/relationships/hyperlink" Target="https://communitypartnerships.github.io/local-gun-violence/data-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B4028-F837-2446-BB95-6281D0476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55</Pages>
  <Words>12591</Words>
  <Characters>71772</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Draft Albemarle Inclusive Community Profile</vt:lpstr>
    </vt:vector>
  </TitlesOfParts>
  <Manager/>
  <Company/>
  <LinksUpToDate>false</LinksUpToDate>
  <CharactersWithSpaces>84195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Stepping Stones Report</dc:title>
  <dc:creator>Mitchell, Elizabeth Ann (eam5hc)</dc:creator>
  <cp:keywords/>
  <cp:lastModifiedBy>Mitchell, Elizabeth Ann (eam5hc)</cp:lastModifiedBy>
  <cp:revision>88</cp:revision>
  <cp:lastPrinted>2026-05-19T18:20:00Z</cp:lastPrinted>
  <dcterms:created xsi:type="dcterms:W3CDTF">2026-05-19T14:41:00Z</dcterms:created>
  <dcterms:modified xsi:type="dcterms:W3CDTF">2026-05-19T18:44:00Z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subtitle">
    <vt:lpwstr>Community Well-Being of Children and Families in Charlottesville and Albemarle</vt:lpwstr>
  </property>
  <property fmtid="{D5CDD505-2E9C-101B-9397-08002B2CF9AE}" pid="12" name="toc-title">
    <vt:lpwstr>Table of Contents</vt:lpwstr>
  </property>
</Properties>
</file>