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93.png" ContentType="image/png"/>
  <Override PartName="/word/media/rId102.png" ContentType="image/png"/>
  <Override PartName="/word/media/rId97.png" ContentType="image/png"/>
  <Override PartName="/word/media/rId106.png" ContentType="image/png"/>
  <Override PartName="/word/media/rId20.png" ContentType="image/png"/>
  <Override PartName="/word/media/rId64.png" ContentType="image/png"/>
  <Override PartName="/word/media/rId68.png" ContentType="image/png"/>
  <Override PartName="/word/media/rId73.png" ContentType="image/png"/>
  <Override PartName="/word/media/rId77.png" ContentType="image/png"/>
  <Override PartName="/word/media/rId82.png" ContentType="image/png"/>
  <Override PartName="/word/media/rId86.png" ContentType="image/png"/>
  <Override PartName="/word/media/rId112.png" ContentType="image/png"/>
  <Override PartName="/word/media/rId117.png" ContentType="image/png"/>
  <Override PartName="/word/media/rId122.png" ContentType="image/png"/>
  <Override PartName="/word/media/rId128.png" ContentType="image/png"/>
  <Override PartName="/word/media/rId25.png" ContentType="image/png"/>
  <Override PartName="/word/media/rId133.png" ContentType="image/png"/>
  <Override PartName="/word/media/rId138.png" ContentType="image/png"/>
  <Override PartName="/word/media/rId144.png" ContentType="image/png"/>
  <Override PartName="/word/media/rId149.png" ContentType="image/png"/>
  <Override PartName="/word/media/rId154.png" ContentType="image/png"/>
  <Override PartName="/word/media/rId160.png" ContentType="image/png"/>
  <Override PartName="/word/media/rId165.png" ContentType="image/png"/>
  <Override PartName="/word/media/rId170.png" ContentType="image/png"/>
  <Override PartName="/word/media/rId177.png" ContentType="image/png"/>
  <Override PartName="/word/media/rId182.png" ContentType="image/png"/>
  <Override PartName="/word/media/rId30.png" ContentType="image/png"/>
  <Override PartName="/word/media/rId187.png" ContentType="image/png"/>
  <Override PartName="/word/media/rId193.png" ContentType="image/png"/>
  <Override PartName="/word/media/rId198.png" ContentType="image/png"/>
  <Override PartName="/word/media/rId203.png" ContentType="image/png"/>
  <Override PartName="/word/media/rId36.png" ContentType="image/png"/>
  <Override PartName="/word/media/rId40.png" ContentType="image/png"/>
  <Override PartName="/word/media/rId45.png" ContentType="image/png"/>
  <Override PartName="/word/media/rId49.png" ContentType="image/png"/>
  <Override PartName="/word/media/rId54.png" ContentType="image/png"/>
  <Override PartName="/word/media/rId58.png" ContentType="image/png"/>
  <Override PartName="/word/media/image33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1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4.png" ContentType="image/png"/>
  <Override PartName="/word/media/image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Stepping Stones 2026 Supplement Report</w:t>
      </w:r>
    </w:p>
    <w:p>
      <w:pPr>
        <w:pStyle w:val="Subtitle"/>
      </w:pPr>
      <w:r>
        <w:t xml:space="preserve">Disaggregated Measures of Well-Being of Children and Families in in Charlottesville and Albemarle</w:t>
      </w:r>
    </w:p>
    <w:p>
      <w:pPr>
        <w:pStyle w:val="Date"/>
      </w:pPr>
      <w:r>
        <w:t xml:space="preserve">July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2" w:name="education"/>
    <w:p>
      <w:pPr>
        <w:pStyle w:val="Heading2"/>
      </w:pPr>
      <w:r>
        <w:t xml:space="preserve">Education</w:t>
      </w:r>
    </w:p>
    <w:bookmarkStart w:id="35" w:name="Xb5f5e16cbc286432f38698e5eb2840ae14395f7"/>
    <w:p>
      <w:pPr>
        <w:pStyle w:val="Heading3"/>
      </w:pPr>
      <w:r>
        <w:t xml:space="preserve">Students Eligible for Special Education Services</w:t>
      </w:r>
    </w:p>
    <w:bookmarkStart w:id="24" w:name="albemarle-county-public-schools-1"/>
    <w:p>
      <w:pPr>
        <w:pStyle w:val="Heading4"/>
      </w:pPr>
      <w:r>
        <w:t xml:space="preserve">Albemarle County Public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alb-sped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1-percent-of-students-id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Percent of students identified to receive special education services by race and ethnicity for the 2014-15 through 2024-25 school years at ACPS.</w:t>
            </w:r>
          </w:p>
          <w:bookmarkEnd w:id="23"/>
        </w:tc>
      </w:tr>
    </w:tbl>
    <w:bookmarkEnd w:id="24"/>
    <w:bookmarkStart w:id="29" w:name="charlottesville-city-schools-1"/>
    <w:p>
      <w:pPr>
        <w:pStyle w:val="Heading4"/>
      </w:pPr>
      <w:r>
        <w:t xml:space="preserve">Charlottesville City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ville-sped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2-percent-of-students-ide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Percent of students identified to receive special education services by race and ethnicity for the 2014-15 through 2024-25 school years at CCS.</w:t>
            </w:r>
          </w:p>
          <w:bookmarkEnd w:id="28"/>
        </w:tc>
      </w:tr>
    </w:tbl>
    <w:bookmarkEnd w:id="29"/>
    <w:bookmarkStart w:id="34" w:name="virginia-public-schools-1"/>
    <w:p>
      <w:pPr>
        <w:pStyle w:val="Heading4"/>
      </w:pPr>
      <w:r>
        <w:t xml:space="preserve">Virginia Public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va-sped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3-percent-of-students-iden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Percent of students identified to receive special education services by race and ethnicity for the 2014-15 through 2024-25 school years at Virginia public schools.</w:t>
            </w:r>
          </w:p>
          <w:bookmarkEnd w:id="33"/>
        </w:tc>
      </w:tr>
    </w:tbl>
    <w:bookmarkEnd w:id="34"/>
    <w:bookmarkEnd w:id="35"/>
    <w:bookmarkStart w:id="63" w:name="high-school-graduation-rate"/>
    <w:p>
      <w:pPr>
        <w:pStyle w:val="Heading3"/>
      </w:pPr>
      <w:r>
        <w:t xml:space="preserve">High School Graduation Rate</w:t>
      </w:r>
    </w:p>
    <w:bookmarkStart w:id="44" w:name="albemarle-county-public-schools-3"/>
    <w:p>
      <w:pPr>
        <w:pStyle w:val="Heading4"/>
      </w:pPr>
      <w:r>
        <w:t xml:space="preserve">Albemarle County Public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alb-grad-rates-img-1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4-percent-of-student-cohor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Percent of student cohort graduating in four years by race and ethnicity, and economically disadvantaged students for 2014-2025 at ACPS.</w:t>
            </w:r>
          </w:p>
          <w:bookmarkEnd w:id="3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alb-grad-rates-img-2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5-percent-of-student-cohor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Percent of student cohort graduating in four years by race and ethnicity, and economically disadvantaged students for 2014-2025 at ACPS.</w:t>
            </w:r>
          </w:p>
          <w:bookmarkEnd w:id="43"/>
        </w:tc>
      </w:tr>
    </w:tbl>
    <w:bookmarkEnd w:id="44"/>
    <w:bookmarkStart w:id="53" w:name="charlottesville-city-schools-3"/>
    <w:p>
      <w:pPr>
        <w:pStyle w:val="Heading4"/>
      </w:pPr>
      <w:r>
        <w:t xml:space="preserve">Charlottesville City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ville-grad-rates-img-1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6-percent-of-student-cohor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Percent of student cohort graduating in four years by race and ethnicity, and economically disadvantaged students for 2014-2025 at CCS.</w:t>
            </w:r>
          </w:p>
          <w:bookmarkEnd w:id="4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ville-grad-rates-img-2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7-percent-of-student-cohor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Percent of student cohort graduating in four years by race and ethnicity, and economically disadvantaged students for 2014-2025 at CCS.</w:t>
            </w:r>
          </w:p>
          <w:bookmarkEnd w:id="52"/>
        </w:tc>
      </w:tr>
    </w:tbl>
    <w:bookmarkEnd w:id="53"/>
    <w:bookmarkStart w:id="62" w:name="virginia-public-schools-3"/>
    <w:p>
      <w:pPr>
        <w:pStyle w:val="Heading4"/>
      </w:pPr>
      <w:r>
        <w:t xml:space="preserve">Virginia Public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va-grad-rates-img-1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8-percent-of-student-cohor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Percent of student cohort graduating in four years by race and ethnicity, and economically disadvantaged students for 2014-2025 at Virginia public schools.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va-grad-rates-img-2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9-percent-of-student-cohor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Percent of student cohort graduating in four years by race and ethnicity, and economically disadvantaged students for 2014-2025 at Virginia public schools.</w:t>
            </w:r>
          </w:p>
          <w:bookmarkEnd w:id="61"/>
        </w:tc>
      </w:tr>
    </w:tbl>
    <w:bookmarkEnd w:id="62"/>
    <w:bookmarkEnd w:id="63"/>
    <w:bookmarkStart w:id="91" w:name="post-secondary-enrollment"/>
    <w:p>
      <w:pPr>
        <w:pStyle w:val="Heading3"/>
      </w:pPr>
      <w:r>
        <w:t xml:space="preserve">Post-Secondary Enrollment</w:t>
      </w:r>
    </w:p>
    <w:bookmarkStart w:id="72" w:name="albemarle-county-public-schools-5"/>
    <w:p>
      <w:pPr>
        <w:pStyle w:val="Heading4"/>
      </w:pPr>
      <w:r>
        <w:t xml:space="preserve">Albemarle County Public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alb-postsecondary-img-1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10-percent-of-graduating-s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Percent of graduating students enrolled in a post-secondary institution by race and ethnicity, and economically disadvantaged students for 2014-2023 at ACPS.</w:t>
            </w:r>
          </w:p>
          <w:bookmarkEnd w:id="6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alb-postsecondary-img-2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11-percent-of-graduating-s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Percent of graduating students enrolled in a post-secondary institution by race and ethnicity, and economically disadvantaged students for 2014-2023 at ACPS.</w:t>
            </w:r>
          </w:p>
          <w:bookmarkEnd w:id="71"/>
        </w:tc>
      </w:tr>
    </w:tbl>
    <w:bookmarkEnd w:id="72"/>
    <w:bookmarkStart w:id="81" w:name="charlottesville-city-schools-5"/>
    <w:p>
      <w:pPr>
        <w:pStyle w:val="Heading4"/>
      </w:pPr>
      <w:r>
        <w:t xml:space="preserve">Charlottesville City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ville-postsecondary-img-1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12-percent-of-graduating-s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Percent of graduating students enrolled in a post-secondary institution by race and ethnicity, and economically disadvantaged students for 2014-2023 at CCS.</w:t>
            </w:r>
          </w:p>
          <w:bookmarkEnd w:id="7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cville-postsecondary-img-2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13-percent-of-graduating-s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Percent of graduating students enrolled in a post-secondary institution by race and ethnicity, and economically disadvantaged students for 2014-2023 at CCS.</w:t>
            </w:r>
          </w:p>
          <w:bookmarkEnd w:id="80"/>
        </w:tc>
      </w:tr>
    </w:tbl>
    <w:bookmarkEnd w:id="81"/>
    <w:bookmarkStart w:id="90" w:name="virginia-public-schools-5"/>
    <w:p>
      <w:pPr>
        <w:pStyle w:val="Heading4"/>
      </w:pPr>
      <w:r>
        <w:t xml:space="preserve">Virginia Public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va-postsecondary-img-1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14-percent-of-graduating-s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Percent of graduating students enrolled in a post-secondary institution by race and ethnicity, and economically disadvantaged students for 2014-2023 at Virginia public schools.</w:t>
            </w:r>
          </w:p>
          <w:bookmarkEnd w:id="8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va-postsecondary-img-2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15-percent-of-graduating-s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Percent of graduating students enrolled in a post-secondary institution by race and ethnicity, and economically disadvantaged students for 2014-2023 at Virginia public schools.</w:t>
            </w:r>
          </w:p>
          <w:bookmarkEnd w:id="89"/>
        </w:tc>
      </w:tr>
    </w:tbl>
    <w:bookmarkEnd w:id="90"/>
    <w:bookmarkEnd w:id="91"/>
    <w:bookmarkEnd w:id="92"/>
    <w:bookmarkStart w:id="176" w:name="economic-and-family-stability"/>
    <w:p>
      <w:pPr>
        <w:pStyle w:val="Heading2"/>
      </w:pPr>
      <w:r>
        <w:t xml:space="preserve">Economic and Family Stability</w:t>
      </w:r>
    </w:p>
    <w:bookmarkStart w:id="111" w:name="X6b8d79c9d0c37601407ba800ce82c310c4a5726"/>
    <w:p>
      <w:pPr>
        <w:pStyle w:val="Heading3"/>
      </w:pPr>
      <w:r>
        <w:t xml:space="preserve">Youth Labor Force Participation and Unemployment</w:t>
      </w:r>
    </w:p>
    <w:bookmarkStart w:id="101" w:name="albemarle-county-census-tracts"/>
    <w:p>
      <w:pPr>
        <w:pStyle w:val="Heading4"/>
      </w:pPr>
      <w:r>
        <w:t xml:space="preserve">Albemarle County Census Tracts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youth-employ-alb"/>
          <w:p>
            <w:pPr>
              <w:pStyle w:val="Compact"/>
              <w:jc w:val="center"/>
            </w:pPr>
            <w:r>
              <w:drawing>
                <wp:inline>
                  <wp:extent cx="5943600" cy="5076825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stepping-stones-2026-supplement_files/figure-docx/fig-youth-employ-alb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5076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16: Percent of youth (16-19) participating in the labor force by census tract, 2024, for Albemarle County.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youth-unemploy-alb"/>
          <w:p>
            <w:pPr>
              <w:pStyle w:val="Compact"/>
              <w:jc w:val="center"/>
            </w:pPr>
            <w:r>
              <w:drawing>
                <wp:inline>
                  <wp:extent cx="5943600" cy="5076825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stepping-stones-2026-supplement_files/figure-docx/fig-youth-unemploy-alb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5076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17: Percent of youth (16-19) in the labor force experiencing unemployment by census tract, 2024, for Albemarle County.</w:t>
            </w:r>
          </w:p>
          <w:bookmarkEnd w:id="100"/>
        </w:tc>
      </w:tr>
    </w:tbl>
    <w:bookmarkEnd w:id="101"/>
    <w:bookmarkStart w:id="110" w:name="charlottesville-census-tracts"/>
    <w:p>
      <w:pPr>
        <w:pStyle w:val="Heading4"/>
      </w:pPr>
      <w:r>
        <w:t xml:space="preserve">Charlottesville Census Tracts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youth-employ-cville"/>
          <w:p>
            <w:pPr>
              <w:pStyle w:val="Compact"/>
              <w:jc w:val="center"/>
            </w:pPr>
            <w:r>
              <w:drawing>
                <wp:inline>
                  <wp:extent cx="5943600" cy="46228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stepping-stones-2026-supplement_files/figure-docx/fig-youth-employ-cville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4622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18: Percent of youth (16-19) participating in the labor force by census tract, 2024, for Charlottesville City.</w:t>
            </w:r>
          </w:p>
          <w:bookmarkEnd w:id="10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youth-unemploy-cville"/>
          <w:p>
            <w:pPr>
              <w:pStyle w:val="Compact"/>
              <w:jc w:val="center"/>
            </w:pPr>
            <w:r>
              <w:drawing>
                <wp:inline>
                  <wp:extent cx="5943600" cy="46228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stepping-stones-2026-supplement_files/figure-docx/fig-youth-unemploy-cville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4622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19: Percent of youth (16-19) in the labor force experiencing unemployment by census tract, 2024, for Charlottesville City.</w:t>
            </w:r>
          </w:p>
          <w:bookmarkEnd w:id="109"/>
        </w:tc>
      </w:tr>
    </w:tbl>
    <w:bookmarkEnd w:id="110"/>
    <w:bookmarkEnd w:id="111"/>
    <w:bookmarkStart w:id="127" w:name="children-living-below-poverty-threshold"/>
    <w:p>
      <w:pPr>
        <w:pStyle w:val="Heading3"/>
      </w:pPr>
      <w:r>
        <w:t xml:space="preserve">Children Living below Poverty Threshold</w:t>
      </w:r>
    </w:p>
    <w:bookmarkStart w:id="116" w:name="albemarle-county"/>
    <w:p>
      <w:pPr>
        <w:pStyle w:val="Heading4"/>
      </w:pPr>
      <w:r>
        <w:t xml:space="preserve">Albemarle County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alb-child-pov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16-percent-of-children-livi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20: Percent of children living below the poverty threshold by race and ethnicity, 2014-2024, for Albemarle County.</w:t>
            </w:r>
          </w:p>
          <w:bookmarkEnd w:id="115"/>
        </w:tc>
      </w:tr>
    </w:tbl>
    <w:bookmarkEnd w:id="116"/>
    <w:bookmarkStart w:id="121" w:name="charlottesville-city"/>
    <w:p>
      <w:pPr>
        <w:pStyle w:val="Heading4"/>
      </w:pPr>
      <w:r>
        <w:t xml:space="preserve">Charlottesville City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ville-child-pov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17-percent-of-children-livi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21: Percent of children living below the poverty threshold by race and ethnicity, 2014-2024, for Charlottesville City.</w:t>
            </w:r>
          </w:p>
          <w:bookmarkEnd w:id="120"/>
        </w:tc>
      </w:tr>
    </w:tbl>
    <w:bookmarkEnd w:id="121"/>
    <w:bookmarkStart w:id="126" w:name="virginia-1"/>
    <w:p>
      <w:pPr>
        <w:pStyle w:val="Heading4"/>
      </w:pPr>
      <w:r>
        <w:t xml:space="preserve">Virginia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va-child-pov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18-percent-of-children-livi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22: Percent of children living below the poverty threshold by race and ethnicity, 2014-2024, for Virginia.</w:t>
            </w:r>
          </w:p>
          <w:bookmarkEnd w:id="125"/>
        </w:tc>
      </w:tr>
    </w:tbl>
    <w:bookmarkEnd w:id="126"/>
    <w:bookmarkEnd w:id="127"/>
    <w:bookmarkStart w:id="143" w:name="X49744413ab67353a51c84172cde23cbe8ec7425"/>
    <w:p>
      <w:pPr>
        <w:pStyle w:val="Heading3"/>
      </w:pPr>
      <w:r>
        <w:t xml:space="preserve">Students Identified as Economically Disadvantaged</w:t>
      </w:r>
    </w:p>
    <w:bookmarkStart w:id="132" w:name="albemarle-county-public-schools-7"/>
    <w:p>
      <w:pPr>
        <w:pStyle w:val="Heading4"/>
      </w:pPr>
      <w:r>
        <w:t xml:space="preserve">Albemarle County Public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alb-econ-disadv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19-percent-of-students-iden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23: Percent of students identified as economically disadvantaged by race and ethnicity for the 20014-15 through 2025-26 school years in ACPS.</w:t>
            </w:r>
          </w:p>
          <w:bookmarkEnd w:id="131"/>
        </w:tc>
      </w:tr>
    </w:tbl>
    <w:bookmarkEnd w:id="132"/>
    <w:bookmarkStart w:id="137" w:name="charlottesville-city-schools-7"/>
    <w:p>
      <w:pPr>
        <w:pStyle w:val="Heading4"/>
      </w:pPr>
      <w:r>
        <w:t xml:space="preserve">Charlottesville City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ville-econ-disadv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20-percent-of-students-iden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24: Percent of students identified as economically disadvantaged by race and ethnicity for the 20014-15 through 2025-26 school years in CCS.</w:t>
            </w:r>
          </w:p>
          <w:bookmarkEnd w:id="136"/>
        </w:tc>
      </w:tr>
    </w:tbl>
    <w:bookmarkEnd w:id="137"/>
    <w:bookmarkStart w:id="142" w:name="virginia-public-schools-7"/>
    <w:p>
      <w:pPr>
        <w:pStyle w:val="Heading4"/>
      </w:pPr>
      <w:r>
        <w:t xml:space="preserve">Virginia Public Schools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va-econ-disadv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21-percent-of-students-ide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25: Percent of students identified as economically disadvantaged by race and ethnicity for the 20014-15 through 2025-26 school years in Virginia public schools.</w:t>
            </w:r>
          </w:p>
          <w:bookmarkEnd w:id="141"/>
        </w:tc>
      </w:tr>
    </w:tbl>
    <w:bookmarkEnd w:id="142"/>
    <w:bookmarkEnd w:id="143"/>
    <w:bookmarkStart w:id="159" w:name="Xdb087d9f20de13ecc539fed3313e249b066ef76"/>
    <w:p>
      <w:pPr>
        <w:pStyle w:val="Heading3"/>
      </w:pPr>
      <w:r>
        <w:t xml:space="preserve">Assessments and Investigations by Child Protective Services</w:t>
      </w:r>
    </w:p>
    <w:bookmarkStart w:id="148" w:name="albemarle-county-1"/>
    <w:p>
      <w:pPr>
        <w:pStyle w:val="Heading4"/>
      </w:pPr>
      <w:r>
        <w:t xml:space="preserve">Albemarle County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alb-cps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22-referrals-to-child-pr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26: Referrals to child protective services accepted for assessment or investigation by race and ethnicity, rate per 1,000 children, for fiscal years 2016-2024 for Albemarle County.</w:t>
            </w:r>
          </w:p>
          <w:bookmarkEnd w:id="147"/>
        </w:tc>
      </w:tr>
    </w:tbl>
    <w:bookmarkEnd w:id="148"/>
    <w:bookmarkStart w:id="153" w:name="charlottesville-city-1"/>
    <w:p>
      <w:pPr>
        <w:pStyle w:val="Heading4"/>
      </w:pPr>
      <w:r>
        <w:t xml:space="preserve">Charlottesville City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ville-cps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23-referrals-to-child-pr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27: Referrals to child protective services accepted for assessment or investigation by race and ethnicity, rate per 1,000 children, for fiscal years 2016-2024 for Charlottesville City.</w:t>
            </w:r>
          </w:p>
          <w:bookmarkEnd w:id="152"/>
        </w:tc>
      </w:tr>
    </w:tbl>
    <w:bookmarkEnd w:id="153"/>
    <w:bookmarkStart w:id="158" w:name="virginia-3"/>
    <w:p>
      <w:pPr>
        <w:pStyle w:val="Heading4"/>
      </w:pPr>
      <w:r>
        <w:t xml:space="preserve">Virginia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va-cps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24-referrals-to-child-pr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28: Referrals to child protective services accepted for assessment or investigation by race and ethnicity, rate per 1,000 children, for fiscal years 2016-2024 for Virginia.</w:t>
            </w:r>
          </w:p>
          <w:bookmarkEnd w:id="157"/>
        </w:tc>
      </w:tr>
    </w:tbl>
    <w:bookmarkEnd w:id="158"/>
    <w:bookmarkEnd w:id="159"/>
    <w:bookmarkStart w:id="175" w:name="children-in-foster-care"/>
    <w:p>
      <w:pPr>
        <w:pStyle w:val="Heading3"/>
      </w:pPr>
      <w:r>
        <w:t xml:space="preserve">Children in Foster Care</w:t>
      </w:r>
    </w:p>
    <w:bookmarkStart w:id="164" w:name="albemarle-county-2"/>
    <w:p>
      <w:pPr>
        <w:pStyle w:val="Heading4"/>
      </w:pPr>
      <w:r>
        <w:t xml:space="preserve">Albemarle County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alb-foster-care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25-rate-of-children-in-fos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29: Children in foster care by race and ethnicity, rate per 1,000 children in Albemarle County for 2016-2024, measured in October of each year.</w:t>
            </w:r>
          </w:p>
          <w:bookmarkEnd w:id="163"/>
        </w:tc>
      </w:tr>
    </w:tbl>
    <w:bookmarkEnd w:id="164"/>
    <w:bookmarkStart w:id="169" w:name="charlottesville-city-2"/>
    <w:p>
      <w:pPr>
        <w:pStyle w:val="Heading4"/>
      </w:pPr>
      <w:r>
        <w:t xml:space="preserve">Charlottesville City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cville-foster-care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26-rate-of-children-in-fost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30: Children in foster care by race and ethnicity, rate per 1,000 children in Charlottesville City for 2016-2024, measured in October of each year.</w:t>
            </w:r>
          </w:p>
          <w:bookmarkEnd w:id="168"/>
        </w:tc>
      </w:tr>
    </w:tbl>
    <w:bookmarkEnd w:id="169"/>
    <w:bookmarkStart w:id="174" w:name="virginia-5"/>
    <w:p>
      <w:pPr>
        <w:pStyle w:val="Heading4"/>
      </w:pPr>
      <w:r>
        <w:t xml:space="preserve">Virginia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va-foster-care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27-rate-of-children-in-fos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31: Children in foster care by race and ethnicity, rate per 1,000 children in Virginia for 2016-2024, measured in October of each year.</w:t>
            </w:r>
          </w:p>
          <w:bookmarkEnd w:id="173"/>
        </w:tc>
      </w:tr>
    </w:tbl>
    <w:bookmarkEnd w:id="174"/>
    <w:bookmarkEnd w:id="175"/>
    <w:bookmarkEnd w:id="176"/>
    <w:bookmarkStart w:id="209" w:name="health"/>
    <w:p>
      <w:pPr>
        <w:pStyle w:val="Heading2"/>
      </w:pPr>
      <w:r>
        <w:t xml:space="preserve">Health</w:t>
      </w:r>
    </w:p>
    <w:bookmarkStart w:id="192" w:name="low-birth-weight-infants"/>
    <w:p>
      <w:pPr>
        <w:pStyle w:val="Heading3"/>
      </w:pPr>
      <w:r>
        <w:t xml:space="preserve">Low Birth-Weight Infants</w:t>
      </w:r>
    </w:p>
    <w:bookmarkStart w:id="181" w:name="albemarle-county-3"/>
    <w:p>
      <w:pPr>
        <w:pStyle w:val="Heading4"/>
      </w:pPr>
      <w:r>
        <w:t xml:space="preserve">Albemarle County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alb-low-birthweight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28-percent-low-birth-weight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32: Percent of babies born weighing under 2,500 grams (5.5 lbs) by race and ethnicity, 2014-2024, for Albemarle County.</w:t>
            </w:r>
          </w:p>
          <w:bookmarkEnd w:id="180"/>
        </w:tc>
      </w:tr>
    </w:tbl>
    <w:bookmarkEnd w:id="181"/>
    <w:bookmarkStart w:id="186" w:name="charlottesville-city-3"/>
    <w:p>
      <w:pPr>
        <w:pStyle w:val="Heading4"/>
      </w:pPr>
      <w:r>
        <w:t xml:space="preserve">Charlottesville City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ville-low-birthweight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29-percent-low-birth-weight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33: Percent of babies born weighing under 2,500 grams (5.5 lbs) by race and ethnicity, 2014-2024, for Charlottesville City.</w:t>
            </w:r>
          </w:p>
          <w:bookmarkEnd w:id="185"/>
        </w:tc>
      </w:tr>
    </w:tbl>
    <w:bookmarkEnd w:id="186"/>
    <w:bookmarkStart w:id="191" w:name="virginia-7"/>
    <w:p>
      <w:pPr>
        <w:pStyle w:val="Heading4"/>
      </w:pPr>
      <w:r>
        <w:t xml:space="preserve">Virginia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va-low-birthweight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30-percent-low-birth-weigh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34: Percent of babies born weighing under 2,500 grams (5.5 lbs) by race and ethnicity, 2014-2024, for Virginia.</w:t>
            </w:r>
          </w:p>
          <w:bookmarkEnd w:id="190"/>
        </w:tc>
      </w:tr>
    </w:tbl>
    <w:bookmarkEnd w:id="191"/>
    <w:bookmarkEnd w:id="192"/>
    <w:bookmarkStart w:id="208" w:name="infant-mortality"/>
    <w:p>
      <w:pPr>
        <w:pStyle w:val="Heading3"/>
      </w:pPr>
      <w:r>
        <w:t xml:space="preserve">Infant Mortality</w:t>
      </w:r>
    </w:p>
    <w:bookmarkStart w:id="197" w:name="albemarle-county-4"/>
    <w:p>
      <w:pPr>
        <w:pStyle w:val="Heading4"/>
      </w:pPr>
      <w:r>
        <w:t xml:space="preserve">Albemarle County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alb-infant-mortality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31-infant-mortality-rate-in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35: Rate per 1,000 births of infants who died before their 1st birthday by race and ethnicity, 2016-2023, for Albemarle.</w:t>
            </w:r>
          </w:p>
          <w:bookmarkEnd w:id="196"/>
        </w:tc>
      </w:tr>
    </w:tbl>
    <w:bookmarkEnd w:id="197"/>
    <w:bookmarkStart w:id="202" w:name="charlottesville-city-4"/>
    <w:p>
      <w:pPr>
        <w:pStyle w:val="Heading4"/>
      </w:pPr>
      <w:r>
        <w:t xml:space="preserve">Charlottesville City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ville-infant-mortality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32-infant-mortality-rate-in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36: Rate per 1,000 births of infants who died before their 1st birthday by race and ethnicity, 2016-2023, for Charlottesville City.</w:t>
            </w:r>
          </w:p>
          <w:bookmarkEnd w:id="201"/>
        </w:tc>
      </w:tr>
    </w:tbl>
    <w:bookmarkEnd w:id="202"/>
    <w:bookmarkStart w:id="207" w:name="virginia-9"/>
    <w:p>
      <w:pPr>
        <w:pStyle w:val="Heading4"/>
      </w:pPr>
      <w:r>
        <w:t xml:space="preserve">Virginia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va-infant-mortality-img"/>
          <w:p>
            <w:pPr>
              <w:pStyle w:val="Compact"/>
              <w:jc w:val="center"/>
            </w:pPr>
            <w:r>
              <w:drawing>
                <wp:inline>
                  <wp:extent cx="5943600" cy="396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supplement_figures/fig-33-infant-mortality-rate-in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37: Rate per 1,000 births of infants who died before their 1st birthday by race and ethnicity, 2016-2023, for Virginia.</w:t>
            </w:r>
          </w:p>
          <w:bookmarkEnd w:id="206"/>
        </w:tc>
      </w:tr>
    </w:tbl>
    <w:bookmarkEnd w:id="207"/>
    <w:bookmarkEnd w:id="208"/>
    <w:bookmarkEnd w:id="209"/>
    <w:sectPr w:rsidR="00D73FA6" w:rsidSect="00CE5629">
      <w:headerReference r:id="rId9" w:type="default"/>
      <w:footerReference r:id="rId11" w:type="even"/>
      <w:footerReference r:id="rId12" w:type="default"/>
      <w:headerReference r:id="rId10" w:type="first"/>
      <w:pgSz w:h="15840" w:w="12240"/>
      <w:pgMar w:bottom="1440" w:footer="720" w:gutter="0" w:header="720" w:left="1440" w:right="1440" w:top="1728"/>
      <w:pgNumType w:fmt="lowerRoman"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pitch w:val="default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27918389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563B653" w14:textId="77777777" w:rsidR="006C1B16" w:rsidRDefault="00A64545" w:rsidP="00FA5A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41</w:t>
        </w:r>
        <w:r>
          <w:rPr>
            <w:rStyle w:val="PageNumber"/>
          </w:rPr>
          <w:fldChar w:fldCharType="end"/>
        </w:r>
      </w:p>
    </w:sdtContent>
  </w:sdt>
  <w:p w14:paraId="6563B654" w14:textId="77777777" w:rsidR="006C1B16" w:rsidRDefault="006C1B16" w:rsidP="005355B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3B655" w14:textId="77777777" w:rsidR="006C1B16" w:rsidRDefault="006C1B16" w:rsidP="006E4E28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9224690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563B651" w14:textId="77777777" w:rsidR="00F519AA" w:rsidRDefault="00F519AA" w:rsidP="00F519A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6563B652" w14:textId="48360D86" w:rsidR="006C1B16" w:rsidRDefault="00C547AA" w:rsidP="00EC77C5">
    <w:pPr>
      <w:pStyle w:val="Footer"/>
      <w:ind w:right="360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563B657" wp14:editId="6563B658">
              <wp:simplePos x="0" y="0"/>
              <wp:positionH relativeFrom="column">
                <wp:posOffset>0</wp:posOffset>
              </wp:positionH>
              <wp:positionV relativeFrom="paragraph">
                <wp:posOffset>365760</wp:posOffset>
              </wp:positionV>
              <wp:extent cx="5943600" cy="0"/>
              <wp:effectExtent l="0" t="0" r="12700" b="12700"/>
              <wp:wrapNone/>
              <wp:docPr id="1287090465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 w="15875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EDAFE9C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28.8pt" to="468pt,28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" strokecolor="gray [1629]" strokeweight="1.25pt"/>
          </w:pict>
        </mc:Fallback>
      </mc:AlternateContent>
    </w:r>
    <w:r w:rsidR="000A024E">
      <w:t xml:space="preserve"> </w:t>
    </w:r>
    <w:fldSimple w:instr=" TITLE  \* MERGEFORMAT ">
      <w:r w:rsidR="00424ADE">
        <w:t>Stepping Stones Report</w:t>
      </w:r>
    </w:fldSimple>
    <w:r w:rsidR="000A024E">
      <w:t xml:space="preserve">    |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3B656" w14:textId="77777777" w:rsidR="00844169" w:rsidRDefault="00844169" w:rsidP="00F519AA">
    <w:pPr>
      <w:pStyle w:val="Footer"/>
      <w:ind w:right="36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1"/>
    <w:multiLevelType w:val="multilevel"/>
    <w:tmpl w:val="F19C94FC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72BF5963"/>
    <w:multiLevelType w:val="multilevel"/>
    <w:tmpl w:val="A14C86BC"/>
    <w:styleLink w:val="CurrentList1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89355823" w:numId="1">
    <w:abstractNumId w:val="1"/>
  </w:num>
  <w:num w16cid:durableId="331109808" w:numId="2">
    <w:abstractNumId w:val="0"/>
  </w:num>
  <w:num w16cid:durableId="1926301897" w:numId="3">
    <w:abstractNumId w:val="0"/>
  </w:num>
  <w:num w16cid:durableId="1979794982" w:numId="4">
    <w:abstractNumId w:val="0"/>
  </w:num>
  <w:num w16cid:durableId="1030183402" w:numId="5">
    <w:abstractNumId w:val="0"/>
  </w:num>
  <w:num w16cid:durableId="1841508295" w:numId="6">
    <w:abstractNumId w:val="0"/>
  </w:num>
  <w:num w16cid:durableId="1185635120" w:numId="7">
    <w:abstractNumId w:val="0"/>
  </w:num>
  <w:num w16cid:durableId="1702169712" w:numId="8">
    <w:abstractNumId w:val="0"/>
  </w:num>
  <w:num w16cid:durableId="1169754113" w:numId="9">
    <w:abstractNumId w:val="0"/>
  </w:num>
  <w:num w16cid:durableId="2106001894" w:numId="10">
    <w:abstractNumId w:val="0"/>
  </w:num>
  <w:num w16cid:durableId="1454908609" w:numId="11">
    <w:abstractNumId w:val="0"/>
  </w:num>
  <w:num w16cid:durableId="238831040" w:numId="12">
    <w:abstractNumId w:val="0"/>
  </w:num>
  <w:num w16cid:durableId="65537364" w:numId="13">
    <w:abstractNumId w:val="0"/>
  </w:num>
  <w:num w16cid:durableId="987788404" w:numId="14">
    <w:abstractNumId w:val="0"/>
  </w:num>
  <w:num w16cid:durableId="635837487" w:numId="15">
    <w:abstractNumId w:val="0"/>
  </w:num>
  <w:num w16cid:durableId="339353652" w:numId="16">
    <w:abstractNumId w:val="0"/>
  </w:num>
  <w:num w16cid:durableId="1532567031" w:numId="17">
    <w:abstractNumId w:val="0"/>
  </w:num>
  <w:num w16cid:durableId="291248865" w:numId="18">
    <w:abstractNumId w:val="0"/>
  </w:num>
  <w:num w16cid:durableId="977492041" w:numId="19">
    <w:abstractNumId w:val="0"/>
  </w:num>
  <w:num w16cid:durableId="815757363" w:numId="20">
    <w:abstractNumId w:val="0"/>
  </w:num>
  <w:num w16cid:durableId="990018310" w:numId="21">
    <w:abstractNumId w:val="0"/>
  </w:num>
  <w:num w16cid:durableId="1198662556" w:numId="22">
    <w:abstractNumId w:val="0"/>
  </w:num>
  <w:num w16cid:durableId="1603100199" w:numId="23">
    <w:abstractNumId w:val="0"/>
  </w:num>
  <w:num w16cid:durableId="868908931" w:numId="24">
    <w:abstractNumId w:val="0"/>
  </w:num>
  <w:num w16cid:durableId="970405288" w:numId="25">
    <w:abstractNumId w:val="0"/>
  </w:num>
  <w:num w16cid:durableId="1773629217" w:numId="26">
    <w:abstractNumId w:val="0"/>
  </w:num>
  <w:num w16cid:durableId="1188984443" w:numId="27">
    <w:abstractNumId w:val="0"/>
  </w:num>
  <w:num w16cid:durableId="908926926" w:numId="28">
    <w:abstractNumId w:val="0"/>
  </w:num>
  <w:num w16cid:durableId="1197232516" w:numId="29">
    <w:abstractNumId w:val="0"/>
  </w:num>
  <w:num w16cid:durableId="803276515" w:numId="30">
    <w:abstractNumId w:val="0"/>
  </w:num>
  <w:num w16cid:durableId="1596279197" w:numId="31">
    <w:abstractNumId w:val="0"/>
  </w:num>
  <w:num w16cid:durableId="1979871628" w:numId="32">
    <w:abstractNumId w:val="0"/>
  </w:num>
  <w:num w16cid:durableId="1847403941" w:numId="33">
    <w:abstractNumId w:val="0"/>
  </w:num>
  <w:num w16cid:durableId="1680622196" w:numId="34">
    <w:abstractNumId w:val="0"/>
  </w:num>
  <w:num w16cid:durableId="2136755488" w:numId="35">
    <w:abstractNumId w:val="0"/>
  </w:num>
  <w:num w16cid:durableId="540822315" w:numId="36">
    <w:abstractNumId w:val="0"/>
  </w:num>
  <w:num w16cid:durableId="295839151" w:numId="37">
    <w:abstractNumId w:val="0"/>
  </w:num>
  <w:num w16cid:durableId="585965277" w:numId="38">
    <w:abstractNumId w:val="0"/>
  </w:num>
  <w:num w16cid:durableId="437681750" w:numId="39">
    <w:abstractNumId w:val="0"/>
  </w:num>
  <w:num w16cid:durableId="1154251058" w:numId="40">
    <w:abstractNumId w:val="0"/>
  </w:num>
  <w:num w16cid:durableId="350759463" w:numId="41">
    <w:abstractNumId w:val="0"/>
  </w:num>
  <w:num w16cid:durableId="1499923184" w:numId="42">
    <w:abstractNumId w:val="0"/>
  </w:num>
  <w:num w16cid:durableId="959185512" w:numId="43">
    <w:abstractNumId w:val="0"/>
  </w:num>
  <w:num w16cid:durableId="332729882" w:numId="44">
    <w:abstractNumId w:val="0"/>
  </w:num>
  <w:num w16cid:durableId="112674154" w:numId="45">
    <w:abstractNumId w:val="0"/>
  </w:num>
  <w:num w16cid:durableId="1668632340" w:numId="46">
    <w:abstractNumId w:val="0"/>
  </w:num>
  <w:num w16cid:durableId="1272325641" w:numId="47">
    <w:abstractNumId w:val="0"/>
  </w:num>
  <w:num w16cid:durableId="709963954" w:numId="48">
    <w:abstractNumId w:val="0"/>
  </w:num>
  <w:num w16cid:durableId="845172806" w:numId="49">
    <w:abstractNumId w:val="0"/>
  </w:num>
  <w:num w16cid:durableId="1128935651" w:numId="50">
    <w:abstractNumId w:val="0"/>
  </w:num>
  <w:num w16cid:durableId="706833359" w:numId="51">
    <w:abstractNumId w:val="0"/>
  </w:num>
  <w:num w16cid:durableId="1210536590" w:numId="52">
    <w:abstractNumId w:val="0"/>
  </w:num>
  <w:num w16cid:durableId="651562732" w:numId="53">
    <w:abstractNumId w:val="0"/>
  </w:num>
  <w:num w16cid:durableId="515074318" w:numId="54">
    <w:abstractNumId w:val="0"/>
  </w:num>
  <w:num w16cid:durableId="1029113225" w:numId="55">
    <w:abstractNumId w:val="0"/>
  </w:num>
  <w:num w16cid:durableId="747069515" w:numId="56">
    <w:abstractNumId w:val="0"/>
  </w:num>
  <w:num w16cid:durableId="2095736167" w:numId="57">
    <w:abstractNumId w:val="0"/>
  </w:num>
  <w:num w16cid:durableId="1961375735" w:numId="58">
    <w:abstractNumId w:val="0"/>
  </w:num>
  <w:num w16cid:durableId="1261135481" w:numId="59">
    <w:abstractNumId w:val="0"/>
  </w:num>
  <w:num w16cid:durableId="1600480221" w:numId="60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FB5"/>
    <w:rsid w:val="00007003"/>
    <w:rsid w:val="0001159D"/>
    <w:rsid w:val="0001282A"/>
    <w:rsid w:val="00040379"/>
    <w:rsid w:val="00052DA5"/>
    <w:rsid w:val="000554EA"/>
    <w:rsid w:val="000624F9"/>
    <w:rsid w:val="00062A45"/>
    <w:rsid w:val="00065572"/>
    <w:rsid w:val="000712D8"/>
    <w:rsid w:val="00072063"/>
    <w:rsid w:val="0007269E"/>
    <w:rsid w:val="000822FA"/>
    <w:rsid w:val="00090D8F"/>
    <w:rsid w:val="00095484"/>
    <w:rsid w:val="000A024E"/>
    <w:rsid w:val="000A3185"/>
    <w:rsid w:val="000A751C"/>
    <w:rsid w:val="000B001B"/>
    <w:rsid w:val="000B1DA9"/>
    <w:rsid w:val="000B5306"/>
    <w:rsid w:val="000C0E79"/>
    <w:rsid w:val="000D1D79"/>
    <w:rsid w:val="000D228D"/>
    <w:rsid w:val="000E2F84"/>
    <w:rsid w:val="000E5E6D"/>
    <w:rsid w:val="000E6ACA"/>
    <w:rsid w:val="000F061F"/>
    <w:rsid w:val="000F069D"/>
    <w:rsid w:val="00111DDB"/>
    <w:rsid w:val="00137E5D"/>
    <w:rsid w:val="00140379"/>
    <w:rsid w:val="001506F5"/>
    <w:rsid w:val="00151AD9"/>
    <w:rsid w:val="001658B8"/>
    <w:rsid w:val="00166E80"/>
    <w:rsid w:val="00172C4A"/>
    <w:rsid w:val="0017571E"/>
    <w:rsid w:val="00177A5F"/>
    <w:rsid w:val="001847B6"/>
    <w:rsid w:val="001868B7"/>
    <w:rsid w:val="00190EDE"/>
    <w:rsid w:val="00196A5E"/>
    <w:rsid w:val="00197A2D"/>
    <w:rsid w:val="001A63F2"/>
    <w:rsid w:val="001B3D2D"/>
    <w:rsid w:val="001B7A6E"/>
    <w:rsid w:val="001C0D2F"/>
    <w:rsid w:val="001D05A3"/>
    <w:rsid w:val="002001D4"/>
    <w:rsid w:val="002014F4"/>
    <w:rsid w:val="00207C79"/>
    <w:rsid w:val="00212A47"/>
    <w:rsid w:val="00212C9C"/>
    <w:rsid w:val="00220AEF"/>
    <w:rsid w:val="00232C03"/>
    <w:rsid w:val="00235F4B"/>
    <w:rsid w:val="00240334"/>
    <w:rsid w:val="00240D17"/>
    <w:rsid w:val="0025037C"/>
    <w:rsid w:val="002775F5"/>
    <w:rsid w:val="00293BEA"/>
    <w:rsid w:val="002A1F63"/>
    <w:rsid w:val="002B532C"/>
    <w:rsid w:val="002E50C3"/>
    <w:rsid w:val="002E71EC"/>
    <w:rsid w:val="002F0611"/>
    <w:rsid w:val="002F15D6"/>
    <w:rsid w:val="003119E2"/>
    <w:rsid w:val="00316E4F"/>
    <w:rsid w:val="0033085C"/>
    <w:rsid w:val="003369DD"/>
    <w:rsid w:val="00346914"/>
    <w:rsid w:val="00350BC8"/>
    <w:rsid w:val="003572E0"/>
    <w:rsid w:val="0036777D"/>
    <w:rsid w:val="00372971"/>
    <w:rsid w:val="00373C52"/>
    <w:rsid w:val="003917DE"/>
    <w:rsid w:val="00393602"/>
    <w:rsid w:val="003A230D"/>
    <w:rsid w:val="003B17C4"/>
    <w:rsid w:val="003B4341"/>
    <w:rsid w:val="003C34FF"/>
    <w:rsid w:val="003C5591"/>
    <w:rsid w:val="003C795E"/>
    <w:rsid w:val="003D3499"/>
    <w:rsid w:val="003D654D"/>
    <w:rsid w:val="003F2CDF"/>
    <w:rsid w:val="003F31A5"/>
    <w:rsid w:val="003F4952"/>
    <w:rsid w:val="004062DF"/>
    <w:rsid w:val="00411C0C"/>
    <w:rsid w:val="00412945"/>
    <w:rsid w:val="0041615D"/>
    <w:rsid w:val="00416959"/>
    <w:rsid w:val="00424ADE"/>
    <w:rsid w:val="00427841"/>
    <w:rsid w:val="00431123"/>
    <w:rsid w:val="00452B08"/>
    <w:rsid w:val="00453536"/>
    <w:rsid w:val="004554D0"/>
    <w:rsid w:val="00455DDE"/>
    <w:rsid w:val="00456400"/>
    <w:rsid w:val="00462184"/>
    <w:rsid w:val="00470646"/>
    <w:rsid w:val="004739D0"/>
    <w:rsid w:val="00477389"/>
    <w:rsid w:val="004A4EAA"/>
    <w:rsid w:val="004B471B"/>
    <w:rsid w:val="004D6133"/>
    <w:rsid w:val="004E5AAD"/>
    <w:rsid w:val="004F5E2E"/>
    <w:rsid w:val="004F6901"/>
    <w:rsid w:val="00501898"/>
    <w:rsid w:val="0051155E"/>
    <w:rsid w:val="00534292"/>
    <w:rsid w:val="00551A81"/>
    <w:rsid w:val="005530AC"/>
    <w:rsid w:val="00560AF8"/>
    <w:rsid w:val="005711A4"/>
    <w:rsid w:val="005731D7"/>
    <w:rsid w:val="005731E5"/>
    <w:rsid w:val="00575372"/>
    <w:rsid w:val="00575CD2"/>
    <w:rsid w:val="00575FB5"/>
    <w:rsid w:val="00580B1E"/>
    <w:rsid w:val="005814B2"/>
    <w:rsid w:val="005908FF"/>
    <w:rsid w:val="005A3036"/>
    <w:rsid w:val="005B0C38"/>
    <w:rsid w:val="005C049A"/>
    <w:rsid w:val="005D0ED7"/>
    <w:rsid w:val="005D4260"/>
    <w:rsid w:val="005D606B"/>
    <w:rsid w:val="005E40EE"/>
    <w:rsid w:val="005E4752"/>
    <w:rsid w:val="0060088B"/>
    <w:rsid w:val="00607698"/>
    <w:rsid w:val="00611E97"/>
    <w:rsid w:val="00615D70"/>
    <w:rsid w:val="006418E9"/>
    <w:rsid w:val="006541E1"/>
    <w:rsid w:val="0065770E"/>
    <w:rsid w:val="0066272A"/>
    <w:rsid w:val="0067507D"/>
    <w:rsid w:val="00677D51"/>
    <w:rsid w:val="00694E16"/>
    <w:rsid w:val="006A0CE1"/>
    <w:rsid w:val="006A2844"/>
    <w:rsid w:val="006A33FC"/>
    <w:rsid w:val="006B0562"/>
    <w:rsid w:val="006B21A9"/>
    <w:rsid w:val="006C06E0"/>
    <w:rsid w:val="006C1B16"/>
    <w:rsid w:val="006C3C95"/>
    <w:rsid w:val="006C4D17"/>
    <w:rsid w:val="006C52E5"/>
    <w:rsid w:val="006C76FA"/>
    <w:rsid w:val="006D6401"/>
    <w:rsid w:val="006F26BD"/>
    <w:rsid w:val="006F279C"/>
    <w:rsid w:val="006F3E67"/>
    <w:rsid w:val="00701772"/>
    <w:rsid w:val="00702BB0"/>
    <w:rsid w:val="00707C09"/>
    <w:rsid w:val="00712619"/>
    <w:rsid w:val="00720107"/>
    <w:rsid w:val="00724AF1"/>
    <w:rsid w:val="00727E6B"/>
    <w:rsid w:val="0073754F"/>
    <w:rsid w:val="00737A3D"/>
    <w:rsid w:val="007519DE"/>
    <w:rsid w:val="00752C8E"/>
    <w:rsid w:val="00756454"/>
    <w:rsid w:val="00756FBA"/>
    <w:rsid w:val="00760CEA"/>
    <w:rsid w:val="00764587"/>
    <w:rsid w:val="00765939"/>
    <w:rsid w:val="00765DE4"/>
    <w:rsid w:val="007863B9"/>
    <w:rsid w:val="007935C3"/>
    <w:rsid w:val="007A2DB7"/>
    <w:rsid w:val="007C0F14"/>
    <w:rsid w:val="007C798D"/>
    <w:rsid w:val="007D3B62"/>
    <w:rsid w:val="007E3BC5"/>
    <w:rsid w:val="007E4F8F"/>
    <w:rsid w:val="007F74E3"/>
    <w:rsid w:val="00803A7D"/>
    <w:rsid w:val="008042C8"/>
    <w:rsid w:val="008131DD"/>
    <w:rsid w:val="00813763"/>
    <w:rsid w:val="00822A6E"/>
    <w:rsid w:val="008329A6"/>
    <w:rsid w:val="00836901"/>
    <w:rsid w:val="00841514"/>
    <w:rsid w:val="00841950"/>
    <w:rsid w:val="008438D2"/>
    <w:rsid w:val="00844169"/>
    <w:rsid w:val="00870A14"/>
    <w:rsid w:val="00880629"/>
    <w:rsid w:val="0088530E"/>
    <w:rsid w:val="00892781"/>
    <w:rsid w:val="008B778A"/>
    <w:rsid w:val="008C07A6"/>
    <w:rsid w:val="008D5142"/>
    <w:rsid w:val="008D5B9F"/>
    <w:rsid w:val="008F1ACB"/>
    <w:rsid w:val="008F4675"/>
    <w:rsid w:val="008F5BF9"/>
    <w:rsid w:val="0090066E"/>
    <w:rsid w:val="00903E24"/>
    <w:rsid w:val="00904EBA"/>
    <w:rsid w:val="00905CB1"/>
    <w:rsid w:val="009269B1"/>
    <w:rsid w:val="009274E4"/>
    <w:rsid w:val="009405A5"/>
    <w:rsid w:val="00944B4E"/>
    <w:rsid w:val="00944DF9"/>
    <w:rsid w:val="00945F45"/>
    <w:rsid w:val="00954BE7"/>
    <w:rsid w:val="00957530"/>
    <w:rsid w:val="00960319"/>
    <w:rsid w:val="00963272"/>
    <w:rsid w:val="00965CE8"/>
    <w:rsid w:val="00986B11"/>
    <w:rsid w:val="00995B73"/>
    <w:rsid w:val="00996A65"/>
    <w:rsid w:val="009B632C"/>
    <w:rsid w:val="009D307E"/>
    <w:rsid w:val="009D4EF7"/>
    <w:rsid w:val="009E665A"/>
    <w:rsid w:val="009F066C"/>
    <w:rsid w:val="00A053BB"/>
    <w:rsid w:val="00A06356"/>
    <w:rsid w:val="00A16E8B"/>
    <w:rsid w:val="00A23AF8"/>
    <w:rsid w:val="00A347FA"/>
    <w:rsid w:val="00A40414"/>
    <w:rsid w:val="00A50EE2"/>
    <w:rsid w:val="00A57F31"/>
    <w:rsid w:val="00A63AE8"/>
    <w:rsid w:val="00A64545"/>
    <w:rsid w:val="00A67D09"/>
    <w:rsid w:val="00A70A1E"/>
    <w:rsid w:val="00A75261"/>
    <w:rsid w:val="00A777C1"/>
    <w:rsid w:val="00A85D00"/>
    <w:rsid w:val="00A868D4"/>
    <w:rsid w:val="00AA3352"/>
    <w:rsid w:val="00AB4073"/>
    <w:rsid w:val="00AC00AF"/>
    <w:rsid w:val="00AC013B"/>
    <w:rsid w:val="00AC5504"/>
    <w:rsid w:val="00AE33D0"/>
    <w:rsid w:val="00AE691A"/>
    <w:rsid w:val="00AE774B"/>
    <w:rsid w:val="00AF20CB"/>
    <w:rsid w:val="00AF3C92"/>
    <w:rsid w:val="00B03568"/>
    <w:rsid w:val="00B13B53"/>
    <w:rsid w:val="00B31E71"/>
    <w:rsid w:val="00B320AF"/>
    <w:rsid w:val="00B53382"/>
    <w:rsid w:val="00B54147"/>
    <w:rsid w:val="00B545D7"/>
    <w:rsid w:val="00B61D6D"/>
    <w:rsid w:val="00B648D9"/>
    <w:rsid w:val="00B67EB3"/>
    <w:rsid w:val="00B81916"/>
    <w:rsid w:val="00B86A92"/>
    <w:rsid w:val="00B927D3"/>
    <w:rsid w:val="00B9541D"/>
    <w:rsid w:val="00BA1202"/>
    <w:rsid w:val="00BA2A90"/>
    <w:rsid w:val="00BB1DCA"/>
    <w:rsid w:val="00BB48F2"/>
    <w:rsid w:val="00BC0C7F"/>
    <w:rsid w:val="00BC1AA4"/>
    <w:rsid w:val="00BC1F5F"/>
    <w:rsid w:val="00BC5EF1"/>
    <w:rsid w:val="00BD3052"/>
    <w:rsid w:val="00BE0CC1"/>
    <w:rsid w:val="00BF0487"/>
    <w:rsid w:val="00BF23C2"/>
    <w:rsid w:val="00BF2942"/>
    <w:rsid w:val="00BF4045"/>
    <w:rsid w:val="00BF67B6"/>
    <w:rsid w:val="00C0130D"/>
    <w:rsid w:val="00C14B20"/>
    <w:rsid w:val="00C17B3C"/>
    <w:rsid w:val="00C218F8"/>
    <w:rsid w:val="00C26DC0"/>
    <w:rsid w:val="00C34509"/>
    <w:rsid w:val="00C40AE6"/>
    <w:rsid w:val="00C41B0D"/>
    <w:rsid w:val="00C547AA"/>
    <w:rsid w:val="00C606AF"/>
    <w:rsid w:val="00C71308"/>
    <w:rsid w:val="00C71AFA"/>
    <w:rsid w:val="00C72A7F"/>
    <w:rsid w:val="00C75655"/>
    <w:rsid w:val="00C84213"/>
    <w:rsid w:val="00C873B2"/>
    <w:rsid w:val="00C87D0F"/>
    <w:rsid w:val="00C9254C"/>
    <w:rsid w:val="00CC3FC1"/>
    <w:rsid w:val="00CD1CD7"/>
    <w:rsid w:val="00CD2DB1"/>
    <w:rsid w:val="00CE2AAA"/>
    <w:rsid w:val="00CE5629"/>
    <w:rsid w:val="00CF1C2A"/>
    <w:rsid w:val="00CF5FCC"/>
    <w:rsid w:val="00D36CA9"/>
    <w:rsid w:val="00D554DD"/>
    <w:rsid w:val="00D55655"/>
    <w:rsid w:val="00D60A40"/>
    <w:rsid w:val="00D705C5"/>
    <w:rsid w:val="00D71142"/>
    <w:rsid w:val="00D7155A"/>
    <w:rsid w:val="00D73FA6"/>
    <w:rsid w:val="00D829AA"/>
    <w:rsid w:val="00D84A3C"/>
    <w:rsid w:val="00DA0A7C"/>
    <w:rsid w:val="00DA1DA8"/>
    <w:rsid w:val="00DB4138"/>
    <w:rsid w:val="00DD17D2"/>
    <w:rsid w:val="00DD7491"/>
    <w:rsid w:val="00DE0C3B"/>
    <w:rsid w:val="00DE273F"/>
    <w:rsid w:val="00E01A3D"/>
    <w:rsid w:val="00E15458"/>
    <w:rsid w:val="00E45E51"/>
    <w:rsid w:val="00E46C70"/>
    <w:rsid w:val="00E479F0"/>
    <w:rsid w:val="00E677FF"/>
    <w:rsid w:val="00E70DD5"/>
    <w:rsid w:val="00E71C1B"/>
    <w:rsid w:val="00E824D1"/>
    <w:rsid w:val="00EA0593"/>
    <w:rsid w:val="00EA07F5"/>
    <w:rsid w:val="00EB1D87"/>
    <w:rsid w:val="00EB3719"/>
    <w:rsid w:val="00EB7A60"/>
    <w:rsid w:val="00EC10D7"/>
    <w:rsid w:val="00EC3FB0"/>
    <w:rsid w:val="00EC77C5"/>
    <w:rsid w:val="00ED394D"/>
    <w:rsid w:val="00EE0CD4"/>
    <w:rsid w:val="00EE588C"/>
    <w:rsid w:val="00EE6BC7"/>
    <w:rsid w:val="00F05356"/>
    <w:rsid w:val="00F27949"/>
    <w:rsid w:val="00F31398"/>
    <w:rsid w:val="00F40DAE"/>
    <w:rsid w:val="00F519AA"/>
    <w:rsid w:val="00F535D2"/>
    <w:rsid w:val="00F67BC9"/>
    <w:rsid w:val="00F75E7A"/>
    <w:rsid w:val="00F8112E"/>
    <w:rsid w:val="00F91D93"/>
    <w:rsid w:val="00FB2805"/>
    <w:rsid w:val="00FC312D"/>
    <w:rsid w:val="00FC5629"/>
    <w:rsid w:val="00FD2AAD"/>
    <w:rsid w:val="00FE2343"/>
    <w:rsid w:val="00FE3CEA"/>
    <w:rsid w:val="00FF0B6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toc 4" w:uiPriority="39"/>
    <w:lsdException w:name="header" w:uiPriority="99"/>
    <w:lsdException w:name="footer" w:uiPriority="99"/>
    <w:lsdException w:name="table of figures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D55655"/>
    <w:pPr>
      <w:widowControl w:val="0"/>
      <w:spacing w:after="80"/>
    </w:pPr>
    <w:rPr>
      <w:rFonts w:ascii="Aptos" w:cs="Times New Roman (Body CS)" w:hAnsi="Aptos"/>
    </w:rPr>
  </w:style>
  <w:style w:styleId="Heading1" w:type="paragraph">
    <w:name w:val="heading 1"/>
    <w:basedOn w:val="Normal"/>
    <w:next w:val="BodyText"/>
    <w:uiPriority w:val="9"/>
    <w:qFormat/>
    <w:rsid w:val="003871FA"/>
    <w:pPr>
      <w:spacing w:after="480" w:before="480"/>
      <w:outlineLvl w:val="0"/>
    </w:pPr>
    <w:rPr>
      <w:rFonts w:cstheme="majorBidi" w:eastAsiaTheme="majorEastAsia"/>
      <w:b/>
      <w:bCs/>
      <w:sz w:val="52"/>
      <w:szCs w:val="52"/>
    </w:rPr>
  </w:style>
  <w:style w:styleId="Heading2" w:type="paragraph">
    <w:name w:val="heading 2"/>
    <w:basedOn w:val="Normal"/>
    <w:next w:val="BodyText"/>
    <w:autoRedefine/>
    <w:uiPriority w:val="9"/>
    <w:unhideWhenUsed/>
    <w:qFormat/>
    <w:rsid w:val="0017571E"/>
    <w:pPr>
      <w:keepNext/>
      <w:keepLines/>
      <w:pBdr>
        <w:left w:color="017BAB" w:space="12" w:sz="48" w:val="single"/>
      </w:pBdr>
      <w:snapToGrid w:val="0"/>
      <w:spacing w:after="0"/>
      <w:ind w:left="432"/>
      <w:outlineLvl w:val="1"/>
    </w:pPr>
    <w:rPr>
      <w:rFonts w:cs="Times New Roman (Headings CS)" w:eastAsiaTheme="majorEastAsia"/>
      <w:b/>
      <w:bCs/>
      <w:position w:val="-12"/>
      <w:sz w:val="44"/>
      <w:szCs w:val="26"/>
    </w:rPr>
  </w:style>
  <w:style w:styleId="Heading3" w:type="paragraph">
    <w:name w:val="heading 3"/>
    <w:basedOn w:val="Normal"/>
    <w:next w:val="BodyText"/>
    <w:autoRedefine/>
    <w:uiPriority w:val="9"/>
    <w:unhideWhenUsed/>
    <w:qFormat/>
    <w:rsid w:val="0017571E"/>
    <w:pPr>
      <w:keepNext/>
      <w:spacing w:after="120" w:before="240"/>
      <w:outlineLvl w:val="2"/>
    </w:pPr>
    <w:rPr>
      <w:rFonts w:cs="Times New Roman (Headings CS)" w:eastAsiaTheme="majorEastAsia"/>
      <w:b/>
      <w:bCs/>
      <w:caps/>
      <w:color w:val="017BAB"/>
      <w:sz w:val="32"/>
    </w:rPr>
  </w:style>
  <w:style w:styleId="Heading4" w:type="paragraph">
    <w:name w:val="heading 4"/>
    <w:basedOn w:val="Normal"/>
    <w:next w:val="BodyText"/>
    <w:autoRedefine/>
    <w:uiPriority w:val="9"/>
    <w:unhideWhenUsed/>
    <w:qFormat/>
    <w:rsid w:val="002001D4"/>
    <w:pPr>
      <w:spacing w:after="240" w:before="200"/>
      <w:outlineLvl w:val="3"/>
    </w:pPr>
    <w:rPr>
      <w:rFonts w:ascii="Aptos Narrow" w:cs="Times New Roman (Headings CS)" w:eastAsiaTheme="majorEastAsia" w:hAnsi="Aptos Narrow"/>
      <w:b/>
      <w:bCs/>
      <w:sz w:val="28"/>
    </w:rPr>
  </w:style>
  <w:style w:styleId="Heading5" w:type="paragraph">
    <w:name w:val="heading 5"/>
    <w:basedOn w:val="Normal"/>
    <w:next w:val="BodyText"/>
    <w:uiPriority w:val="9"/>
    <w:unhideWhenUsed/>
    <w:qFormat/>
    <w:pPr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autoRedefine/>
    <w:qFormat/>
    <w:rsid w:val="00050B01"/>
    <w:pPr>
      <w:spacing w:after="120" w:before="120"/>
    </w:pPr>
    <w:rPr>
      <w:rFonts w:cs="Calibri" w:eastAsia="Times New Roman"/>
      <w:szCs w:val="19"/>
    </w:rPr>
  </w:style>
  <w:style w:customStyle="1" w:styleId="FirstParagraph" w:type="paragraph">
    <w:name w:val="First Paragraph"/>
    <w:basedOn w:val="BodyText"/>
    <w:next w:val="BodyText"/>
    <w:autoRedefine/>
    <w:qFormat/>
    <w:rsid w:val="000E2F84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Heading1"/>
    <w:next w:val="BodyText"/>
    <w:autoRedefine/>
    <w:qFormat/>
    <w:rsid w:val="00416959"/>
    <w:pPr>
      <w:outlineLvl w:val="9"/>
    </w:pPr>
  </w:style>
  <w:style w:styleId="Subtitle" w:type="paragraph">
    <w:name w:val="Subtitle"/>
    <w:basedOn w:val="Title"/>
    <w:next w:val="BodyText"/>
    <w:qFormat/>
    <w:rsid w:val="00FB5F85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B4C50"/>
    <w:pPr>
      <w:keepNext/>
      <w:keepLines/>
      <w:jc w:val="center"/>
    </w:pPr>
    <w:rPr>
      <w:rFonts w:ascii="Aptos" w:hAnsi="Aptos"/>
    </w:rPr>
  </w:style>
  <w:style w:styleId="Date" w:type="paragraph">
    <w:name w:val="Date"/>
    <w:next w:val="BodyText"/>
    <w:qFormat/>
    <w:rsid w:val="009B4C50"/>
    <w:pPr>
      <w:keepNext/>
      <w:keepLines/>
      <w:jc w:val="center"/>
    </w:pPr>
    <w:rPr>
      <w:rFonts w:ascii="Aptos" w:hAnsi="Aptos"/>
    </w:rPr>
  </w:style>
  <w:style w:customStyle="1" w:styleId="Abstract" w:type="paragraph">
    <w:name w:val="Abstract"/>
    <w:basedOn w:val="Normal"/>
    <w:next w:val="BodyText"/>
    <w:qFormat/>
    <w:pPr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rsid w:val="008C3B1E"/>
    <w:pPr>
      <w:spacing w:after="240" w:before="240"/>
      <w:ind w:left="475" w:right="475"/>
    </w:pPr>
  </w:style>
  <w:style w:styleId="FootnoteText" w:type="paragraph">
    <w:name w:val="footnote text"/>
    <w:basedOn w:val="Normal"/>
    <w:autoRedefine/>
    <w:uiPriority w:val="9"/>
    <w:unhideWhenUsed/>
    <w:qFormat/>
    <w:rsid w:val="00B23C92"/>
    <w:pPr>
      <w:spacing w:after="0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  <w:next w:val="Normal"/>
    <w:rsid w:val="00151AD9"/>
    <w:rPr>
      <w:sz w:val="20"/>
    </w:rPr>
  </w:style>
  <w:style w:customStyle="1" w:styleId="Figure" w:type="paragraph">
    <w:name w:val="Figure"/>
    <w:basedOn w:val="Normal"/>
    <w:autoRedefine/>
    <w:qFormat/>
    <w:rsid w:val="006033B3"/>
    <w:pPr>
      <w:framePr w:hAnchor="text" w:vAnchor="text" w:wrap="around" w:xAlign="center" w:y="1"/>
      <w:jc w:val="center"/>
    </w:pPr>
  </w:style>
  <w:style w:customStyle="1" w:styleId="CaptionedFigure" w:type="paragraph">
    <w:name w:val="Captioned Figure"/>
    <w:basedOn w:val="Figure"/>
    <w:rsid w:val="003F4952"/>
    <w:pPr>
      <w:keepNext/>
      <w:framePr w:wrap="notBeside"/>
      <w:spacing w:after="40"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6A2844"/>
    <w:rPr>
      <w:rFonts w:ascii="Aptos" w:hAnsi="Aptos"/>
      <w:color w:val="auto"/>
      <w:u w:val="single"/>
    </w:rPr>
  </w:style>
  <w:style w:styleId="TOCHeading" w:type="paragraph">
    <w:name w:val="TOC Heading"/>
    <w:basedOn w:val="Heading2"/>
    <w:next w:val="BodyText"/>
    <w:autoRedefine/>
    <w:uiPriority w:val="39"/>
    <w:unhideWhenUsed/>
    <w:qFormat/>
    <w:rsid w:val="009D4EF7"/>
    <w:pPr>
      <w:pBdr>
        <w:left w:color="auto" w:space="0" w:sz="0" w:val="none"/>
      </w:pBdr>
      <w:ind w:left="0"/>
      <w:outlineLvl w:val="9"/>
    </w:pPr>
    <w:rPr>
      <w:sz w:val="32"/>
      <w:szCs w:val="32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42769D"/>
    <w:pPr>
      <w:spacing w:after="0" w:before="120"/>
      <w:ind w:left="240"/>
    </w:pPr>
    <w:rPr>
      <w:rFonts w:asciiTheme="minorHAnsi" w:hAnsiTheme="minorHAnsi"/>
      <w:b/>
      <w:bCs/>
      <w:sz w:val="22"/>
      <w:szCs w:val="22"/>
    </w:rPr>
  </w:style>
  <w:style w:styleId="TOC3" w:type="paragraph">
    <w:name w:val="toc 3"/>
    <w:basedOn w:val="Normal"/>
    <w:next w:val="Normal"/>
    <w:autoRedefine/>
    <w:uiPriority w:val="39"/>
    <w:rsid w:val="0042769D"/>
    <w:pPr>
      <w:spacing w:after="0"/>
      <w:ind w:left="480"/>
    </w:pPr>
    <w:rPr>
      <w:rFonts w:ascii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D5325D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5325D"/>
    <w:rPr>
      <w:rFonts w:ascii="Aptos" w:hAnsi="Aptos"/>
    </w:rPr>
  </w:style>
  <w:style w:styleId="Footer" w:type="paragraph">
    <w:name w:val="footer"/>
    <w:basedOn w:val="Normal"/>
    <w:link w:val="FooterChar"/>
    <w:uiPriority w:val="99"/>
    <w:rsid w:val="00D5325D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D5325D"/>
    <w:rPr>
      <w:rFonts w:ascii="Aptos" w:hAnsi="Aptos"/>
    </w:rPr>
  </w:style>
  <w:style w:styleId="PageNumber" w:type="character">
    <w:name w:val="page number"/>
    <w:basedOn w:val="DefaultParagraphFont"/>
    <w:rsid w:val="00F65BD6"/>
  </w:style>
  <w:style w:styleId="TOC4" w:type="paragraph">
    <w:name w:val="toc 4"/>
    <w:basedOn w:val="Normal"/>
    <w:next w:val="Normal"/>
    <w:autoRedefine/>
    <w:uiPriority w:val="39"/>
    <w:rsid w:val="0005461F"/>
    <w:pPr>
      <w:spacing w:after="0"/>
      <w:ind w:left="720"/>
    </w:pPr>
    <w:rPr>
      <w:rFonts w:asciiTheme="minorHAnsi" w:hAnsiTheme="minorHAnsi"/>
      <w:sz w:val="20"/>
      <w:szCs w:val="20"/>
    </w:rPr>
  </w:style>
  <w:style w:customStyle="1" w:styleId="CurrentList1" w:type="numbering">
    <w:name w:val="Current List1"/>
    <w:uiPriority w:val="99"/>
    <w:rsid w:val="002A37F5"/>
    <w:pPr>
      <w:numPr>
        <w:numId w:val="1"/>
      </w:numPr>
    </w:pPr>
  </w:style>
  <w:style w:styleId="TableGrid" w:type="table">
    <w:name w:val="Table Grid"/>
    <w:basedOn w:val="TableNormal"/>
    <w:rsid w:val="009F653E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rsid w:val="00C757C7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rsid w:val="00B34467"/>
    <w:rPr>
      <w:color w:themeColor="followedHyperlink" w:val="800080"/>
      <w:u w:val="single"/>
    </w:rPr>
  </w:style>
  <w:style w:styleId="TOC1" w:type="paragraph">
    <w:name w:val="toc 1"/>
    <w:basedOn w:val="Normal"/>
    <w:next w:val="Normal"/>
    <w:autoRedefine/>
    <w:uiPriority w:val="39"/>
    <w:rsid w:val="00C87722"/>
    <w:pPr>
      <w:spacing w:after="0" w:before="120"/>
    </w:pPr>
    <w:rPr>
      <w:rFonts w:asciiTheme="minorHAnsi" w:hAnsiTheme="minorHAnsi"/>
      <w:b/>
      <w:bCs/>
      <w:i/>
      <w:iCs/>
    </w:rPr>
  </w:style>
  <w:style w:styleId="TOC5" w:type="paragraph">
    <w:name w:val="toc 5"/>
    <w:basedOn w:val="Normal"/>
    <w:next w:val="Normal"/>
    <w:autoRedefine/>
    <w:rsid w:val="00C87722"/>
    <w:pPr>
      <w:spacing w:after="0"/>
      <w:ind w:left="960"/>
    </w:pPr>
    <w:rPr>
      <w:rFonts w:ascii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rsid w:val="00C87722"/>
    <w:pPr>
      <w:spacing w:after="0"/>
      <w:ind w:left="1200"/>
    </w:pPr>
    <w:rPr>
      <w:rFonts w:asciiTheme="minorHAnsi" w:hAnsiTheme="minorHAnsi"/>
      <w:sz w:val="20"/>
      <w:szCs w:val="20"/>
    </w:rPr>
  </w:style>
  <w:style w:styleId="TOC7" w:type="paragraph">
    <w:name w:val="toc 7"/>
    <w:basedOn w:val="Normal"/>
    <w:next w:val="Normal"/>
    <w:autoRedefine/>
    <w:rsid w:val="00C87722"/>
    <w:pPr>
      <w:spacing w:after="0"/>
      <w:ind w:left="1440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rsid w:val="00C87722"/>
    <w:pPr>
      <w:spacing w:after="0"/>
      <w:ind w:left="1680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rsid w:val="00C87722"/>
    <w:pPr>
      <w:spacing w:after="0"/>
      <w:ind w:left="1920"/>
    </w:pPr>
    <w:rPr>
      <w:rFonts w:asciiTheme="minorHAnsi" w:hAnsiTheme="minorHAnsi"/>
      <w:sz w:val="20"/>
      <w:szCs w:val="20"/>
    </w:rPr>
  </w:style>
  <w:style w:styleId="PlainTable3" w:type="table">
    <w:name w:val="Plain Table 3"/>
    <w:basedOn w:val="TableNormal"/>
    <w:rsid w:val="00DA1DA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PlainTable1" w:type="table">
    <w:name w:val="Plain Table 1"/>
    <w:basedOn w:val="TableNormal"/>
    <w:rsid w:val="00DA1DA8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ListParagraph" w:type="paragraph">
    <w:name w:val="List Paragraph"/>
    <w:basedOn w:val="Normal"/>
    <w:rsid w:val="00CF1C2A"/>
    <w:pPr>
      <w:ind w:left="720"/>
      <w:contextualSpacing/>
    </w:pPr>
  </w:style>
  <w:style w:customStyle="1" w:styleId="Style1" w:type="paragraph">
    <w:name w:val="Style1"/>
    <w:basedOn w:val="Heading3"/>
    <w:qFormat/>
    <w:rsid w:val="00A777C1"/>
    <w:rPr>
      <w:caps w:val="0"/>
      <w:color w:val="3991D0"/>
    </w:rPr>
  </w:style>
  <w:style w:styleId="TableofFigures" w:type="paragraph">
    <w:name w:val="table of figures"/>
    <w:basedOn w:val="Normal"/>
    <w:next w:val="Normal"/>
    <w:uiPriority w:val="99"/>
    <w:rsid w:val="009405A5"/>
    <w:pPr>
      <w:spacing w:after="0"/>
    </w:pPr>
  </w:style>
  <w:style w:styleId="NoSpacing" w:type="paragraph">
    <w:name w:val="No Spacing"/>
    <w:link w:val="NoSpacingChar"/>
    <w:uiPriority w:val="1"/>
    <w:qFormat/>
    <w:rsid w:val="000E6ACA"/>
    <w:pPr>
      <w:spacing w:after="0"/>
    </w:pPr>
    <w:rPr>
      <w:rFonts w:eastAsiaTheme="minorEastAsia"/>
      <w:sz w:val="22"/>
      <w:szCs w:val="22"/>
      <w:lang w:eastAsia="zh-CN"/>
    </w:rPr>
  </w:style>
  <w:style w:customStyle="1" w:styleId="NoSpacingChar" w:type="character">
    <w:name w:val="No Spacing Char"/>
    <w:basedOn w:val="DefaultParagraphFont"/>
    <w:link w:val="NoSpacing"/>
    <w:uiPriority w:val="1"/>
    <w:rsid w:val="000E6ACA"/>
    <w:rPr>
      <w:rFonts w:eastAsiaTheme="minorEastAsia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5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Id="rId12" Target="footer2.xml" Type="http://schemas.openxmlformats.org/officeDocument/2006/relationships/footer" /><Relationship Type="http://schemas.openxmlformats.org/officeDocument/2006/relationships/image" Id="rId93" Target="media/rId93.png" /><Relationship Type="http://schemas.openxmlformats.org/officeDocument/2006/relationships/image" Id="rId102" Target="media/rId102.png" /><Relationship Type="http://schemas.openxmlformats.org/officeDocument/2006/relationships/image" Id="rId97" Target="media/rId97.png" /><Relationship Type="http://schemas.openxmlformats.org/officeDocument/2006/relationships/image" Id="rId106" Target="media/rId106.png" /><Relationship Type="http://schemas.openxmlformats.org/officeDocument/2006/relationships/image" Id="rId20" Target="media/rId2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122" Target="media/rId122.png" /><Relationship Type="http://schemas.openxmlformats.org/officeDocument/2006/relationships/image" Id="rId128" Target="media/rId128.png" /><Relationship Type="http://schemas.openxmlformats.org/officeDocument/2006/relationships/image" Id="rId25" Target="media/rId25.png" /><Relationship Type="http://schemas.openxmlformats.org/officeDocument/2006/relationships/image" Id="rId133" Target="media/rId133.png" /><Relationship Type="http://schemas.openxmlformats.org/officeDocument/2006/relationships/image" Id="rId138" Target="media/rId138.png" /><Relationship Type="http://schemas.openxmlformats.org/officeDocument/2006/relationships/image" Id="rId144" Target="media/rId144.png" /><Relationship Type="http://schemas.openxmlformats.org/officeDocument/2006/relationships/image" Id="rId149" Target="media/rId149.png" /><Relationship Type="http://schemas.openxmlformats.org/officeDocument/2006/relationships/image" Id="rId154" Target="media/rId154.png" /><Relationship Type="http://schemas.openxmlformats.org/officeDocument/2006/relationships/image" Id="rId160" Target="media/rId160.png" /><Relationship Type="http://schemas.openxmlformats.org/officeDocument/2006/relationships/image" Id="rId165" Target="media/rId165.png" /><Relationship Type="http://schemas.openxmlformats.org/officeDocument/2006/relationships/image" Id="rId170" Target="media/rId170.png" /><Relationship Type="http://schemas.openxmlformats.org/officeDocument/2006/relationships/image" Id="rId177" Target="media/rId177.png" /><Relationship Type="http://schemas.openxmlformats.org/officeDocument/2006/relationships/image" Id="rId182" Target="media/rId182.png" /><Relationship Type="http://schemas.openxmlformats.org/officeDocument/2006/relationships/image" Id="rId30" Target="media/rId30.png" /><Relationship Type="http://schemas.openxmlformats.org/officeDocument/2006/relationships/image" Id="rId187" Target="media/rId187.png" /><Relationship Type="http://schemas.openxmlformats.org/officeDocument/2006/relationships/image" Id="rId193" Target="media/rId193.png" /><Relationship Type="http://schemas.openxmlformats.org/officeDocument/2006/relationships/image" Id="rId198" Target="media/rId198.png" /><Relationship Type="http://schemas.openxmlformats.org/officeDocument/2006/relationships/image" Id="rId203" Target="media/rId203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78</Pages>
  <Words>11416</Words>
  <Characters>65075</Characters>
  <Application>Microsoft Office Word</Application>
  <DocSecurity>0</DocSecurity>
  <Lines>542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Draft Albemarle Inclusive Community Profile</vt:lpstr>
    </vt:vector>
  </TitlesOfParts>
  <Manager/>
  <Company/>
  <LinksUpToDate>false</LinksUpToDate>
  <CharactersWithSpaces>76339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Stepping Stones 2026 Supplement Report</dc:title>
  <dc:creator/>
  <cp:keywords/>
  <dcterms:created xsi:type="dcterms:W3CDTF">2026-07-10T20:44:42Z</dcterms:created>
  <dcterms:modified xsi:type="dcterms:W3CDTF">2026-07-10T20:44:42Z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July 2026</vt:lpwstr>
  </property>
  <property fmtid="{D5CDD505-2E9C-101B-9397-08002B2CF9AE}" pid="4" name="date-format">
    <vt:lpwstr>MMMM YYYY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subtitle">
    <vt:lpwstr>Disaggregated Measures of Well-Being of Children and Families in in Charlottesville and Albemarle</vt:lpwstr>
  </property>
  <property fmtid="{D5CDD505-2E9C-101B-9397-08002B2CF9AE}" pid="12" name="toc-title">
    <vt:lpwstr>Table of Contents</vt:lpwstr>
  </property>
</Properties>
</file>