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429C" w14:textId="45ED5EEF" w:rsidR="0095595B" w:rsidRPr="0095595B" w:rsidRDefault="0095595B" w:rsidP="0095595B">
      <w:r>
        <w:t>H</w:t>
      </w:r>
      <w:r w:rsidRPr="0095595B">
        <w:t xml:space="preserve">elp me know how to run a security company and know how a </w:t>
      </w:r>
      <w:proofErr w:type="gramStart"/>
      <w:r w:rsidRPr="0095595B">
        <w:t>legal roles</w:t>
      </w:r>
      <w:proofErr w:type="gramEnd"/>
      <w:r>
        <w:t>????</w:t>
      </w:r>
    </w:p>
    <w:p w14:paraId="2D62266D" w14:textId="77777777" w:rsidR="0095595B" w:rsidRPr="0095595B" w:rsidRDefault="0095595B" w:rsidP="0095595B">
      <w:r w:rsidRPr="0095595B">
        <w:t>Running a security company in 2026 involves navigating a highly regulated environment that increasingly emphasizes individual accountability for senior leaders and advanced technological compliance</w:t>
      </w:r>
    </w:p>
    <w:p w14:paraId="2968EF94" w14:textId="77777777" w:rsidR="0095595B" w:rsidRPr="00DF52DD" w:rsidRDefault="0095595B" w:rsidP="0095595B">
      <w:pPr>
        <w:rPr>
          <w:color w:val="00B050"/>
        </w:rPr>
      </w:pPr>
      <w:r w:rsidRPr="00DF52DD">
        <w:rPr>
          <w:color w:val="00B050"/>
        </w:rPr>
        <w:t>. </w:t>
      </w:r>
    </w:p>
    <w:p w14:paraId="39BBBB49" w14:textId="77777777" w:rsidR="0095595B" w:rsidRPr="00DF52DD" w:rsidRDefault="0095595B" w:rsidP="0095595B">
      <w:pPr>
        <w:rPr>
          <w:b/>
          <w:bCs/>
          <w:color w:val="00B050"/>
          <w:sz w:val="36"/>
          <w:szCs w:val="36"/>
        </w:rPr>
      </w:pPr>
      <w:r w:rsidRPr="00DF52DD">
        <w:rPr>
          <w:b/>
          <w:bCs/>
          <w:color w:val="00B050"/>
          <w:sz w:val="36"/>
          <w:szCs w:val="36"/>
          <w:highlight w:val="yellow"/>
        </w:rPr>
        <w:t>Operational Framework for a Security Company</w:t>
      </w:r>
    </w:p>
    <w:p w14:paraId="720CB409" w14:textId="77777777" w:rsidR="0095595B" w:rsidRPr="0095595B" w:rsidRDefault="0095595B" w:rsidP="0095595B">
      <w:r w:rsidRPr="0095595B">
        <w:t>To successfully run your company, you must integrate business operations with strict regulatory oversight: </w:t>
      </w:r>
    </w:p>
    <w:p w14:paraId="6C63B946" w14:textId="77777777" w:rsidR="0095595B" w:rsidRPr="0095595B" w:rsidRDefault="0095595B" w:rsidP="0095595B">
      <w:pPr>
        <w:numPr>
          <w:ilvl w:val="0"/>
          <w:numId w:val="3"/>
        </w:numPr>
      </w:pPr>
      <w:r w:rsidRPr="0095595B">
        <w:rPr>
          <w:b/>
          <w:bCs/>
        </w:rPr>
        <w:t>Licensing and Registration:</w:t>
      </w:r>
      <w:r w:rsidRPr="0095595B">
        <w:t> You must incorporate your business and obtain specific industry licenses (e.g., Class A, B, or C depending on the region). In many jurisdictions, such as Singapore, new applicants must pass core competency assessments like </w:t>
      </w:r>
      <w:r w:rsidRPr="0095595B">
        <w:rPr>
          <w:b/>
          <w:bCs/>
        </w:rPr>
        <w:t>SACE</w:t>
      </w:r>
      <w:r w:rsidRPr="0095595B">
        <w:t> to be granted a license.</w:t>
      </w:r>
    </w:p>
    <w:p w14:paraId="48C7A3F2" w14:textId="77777777" w:rsidR="0095595B" w:rsidRPr="0095595B" w:rsidRDefault="0095595B" w:rsidP="0095595B">
      <w:pPr>
        <w:numPr>
          <w:ilvl w:val="0"/>
          <w:numId w:val="3"/>
        </w:numPr>
      </w:pPr>
      <w:r w:rsidRPr="0095595B">
        <w:rPr>
          <w:b/>
          <w:bCs/>
        </w:rPr>
        <w:t>Personnel Management:</w:t>
      </w:r>
      <w:r w:rsidRPr="0095595B">
        <w:t> Guards must undergo background checks and continuous training. As of 2026, training must include traditional patrol skills and technical proficiency with </w:t>
      </w:r>
      <w:r w:rsidRPr="0095595B">
        <w:rPr>
          <w:b/>
          <w:bCs/>
        </w:rPr>
        <w:t>AI-driven surveillance</w:t>
      </w:r>
      <w:r w:rsidRPr="0095595B">
        <w:t> systems.</w:t>
      </w:r>
    </w:p>
    <w:p w14:paraId="2DE95BF3" w14:textId="77777777" w:rsidR="0095595B" w:rsidRPr="0095595B" w:rsidRDefault="0095595B" w:rsidP="0095595B">
      <w:pPr>
        <w:numPr>
          <w:ilvl w:val="0"/>
          <w:numId w:val="3"/>
        </w:numPr>
      </w:pPr>
      <w:r w:rsidRPr="0095595B">
        <w:rPr>
          <w:b/>
          <w:bCs/>
        </w:rPr>
        <w:t>Technology Integration:</w:t>
      </w:r>
      <w:r w:rsidRPr="0095595B">
        <w:t> Use all-in-one management software to automate repetitive tasks like invoicing, incident reporting, and real-time GPS tracking for guards. </w:t>
      </w:r>
    </w:p>
    <w:p w14:paraId="6C79355E" w14:textId="77777777" w:rsidR="0095595B" w:rsidRPr="00DF52DD" w:rsidRDefault="0095595B" w:rsidP="0095595B">
      <w:pPr>
        <w:rPr>
          <w:b/>
          <w:bCs/>
          <w:color w:val="00B050"/>
          <w:sz w:val="36"/>
          <w:szCs w:val="36"/>
          <w:u w:val="single"/>
        </w:rPr>
      </w:pPr>
      <w:r w:rsidRPr="00DF52DD">
        <w:rPr>
          <w:b/>
          <w:bCs/>
          <w:color w:val="00B050"/>
          <w:sz w:val="36"/>
          <w:szCs w:val="36"/>
          <w:highlight w:val="yellow"/>
          <w:u w:val="single"/>
        </w:rPr>
        <w:t>The Legal Roles in a Security Business</w:t>
      </w:r>
    </w:p>
    <w:p w14:paraId="01014AEB" w14:textId="77777777" w:rsidR="0095595B" w:rsidRPr="0095595B" w:rsidRDefault="0095595B" w:rsidP="0095595B">
      <w:r w:rsidRPr="0095595B">
        <w:t>Legal roles have shifted from reactive advisors to strategic leaders who embed resilience into the business model. </w:t>
      </w:r>
    </w:p>
    <w:tbl>
      <w:tblPr>
        <w:tblW w:w="9922" w:type="dxa"/>
        <w:tblInd w:w="-142" w:type="dxa"/>
        <w:tblCellMar>
          <w:top w:w="15" w:type="dxa"/>
          <w:left w:w="15" w:type="dxa"/>
          <w:bottom w:w="15" w:type="dxa"/>
          <w:right w:w="15" w:type="dxa"/>
        </w:tblCellMar>
        <w:tblLook w:val="04A0" w:firstRow="1" w:lastRow="0" w:firstColumn="1" w:lastColumn="0" w:noHBand="0" w:noVBand="1"/>
      </w:tblPr>
      <w:tblGrid>
        <w:gridCol w:w="2077"/>
        <w:gridCol w:w="7845"/>
      </w:tblGrid>
      <w:tr w:rsidR="0095595B" w:rsidRPr="0095595B" w14:paraId="696AB417" w14:textId="77777777" w:rsidTr="00DF52DD">
        <w:tc>
          <w:tcPr>
            <w:tcW w:w="2077" w:type="dxa"/>
            <w:tcBorders>
              <w:bottom w:val="single" w:sz="6" w:space="0" w:color="2D2F35"/>
            </w:tcBorders>
            <w:tcMar>
              <w:top w:w="120" w:type="dxa"/>
              <w:left w:w="0" w:type="dxa"/>
              <w:bottom w:w="120" w:type="dxa"/>
              <w:right w:w="240" w:type="dxa"/>
            </w:tcMar>
            <w:hideMark/>
          </w:tcPr>
          <w:p w14:paraId="29A3BEE9" w14:textId="77777777" w:rsidR="0095595B" w:rsidRPr="00DF52DD" w:rsidRDefault="0095595B" w:rsidP="0095595B">
            <w:pPr>
              <w:rPr>
                <w:b/>
                <w:bCs/>
                <w:color w:val="00B050"/>
                <w:highlight w:val="yellow"/>
              </w:rPr>
            </w:pPr>
            <w:r w:rsidRPr="00DF52DD">
              <w:rPr>
                <w:b/>
                <w:bCs/>
                <w:color w:val="00B050"/>
                <w:highlight w:val="yellow"/>
              </w:rPr>
              <w:t>Legal Role </w:t>
            </w:r>
          </w:p>
        </w:tc>
        <w:tc>
          <w:tcPr>
            <w:tcW w:w="0" w:type="auto"/>
            <w:tcBorders>
              <w:bottom w:val="single" w:sz="6" w:space="0" w:color="2D2F35"/>
            </w:tcBorders>
            <w:tcMar>
              <w:top w:w="120" w:type="dxa"/>
              <w:left w:w="0" w:type="dxa"/>
              <w:bottom w:w="120" w:type="dxa"/>
              <w:right w:w="0" w:type="dxa"/>
            </w:tcMar>
            <w:hideMark/>
          </w:tcPr>
          <w:p w14:paraId="09DFCA90" w14:textId="77777777" w:rsidR="0095595B" w:rsidRPr="00DF52DD" w:rsidRDefault="0095595B" w:rsidP="0095595B">
            <w:pPr>
              <w:rPr>
                <w:b/>
                <w:bCs/>
                <w:color w:val="00B050"/>
                <w:highlight w:val="yellow"/>
              </w:rPr>
            </w:pPr>
            <w:r w:rsidRPr="00DF52DD">
              <w:rPr>
                <w:b/>
                <w:bCs/>
                <w:color w:val="00B050"/>
                <w:highlight w:val="yellow"/>
              </w:rPr>
              <w:t>Key Responsibilities in 2026</w:t>
            </w:r>
          </w:p>
        </w:tc>
      </w:tr>
      <w:tr w:rsidR="0095595B" w:rsidRPr="0095595B" w14:paraId="28E2007E" w14:textId="77777777" w:rsidTr="00DF52DD">
        <w:tc>
          <w:tcPr>
            <w:tcW w:w="2077" w:type="dxa"/>
            <w:tcBorders>
              <w:bottom w:val="single" w:sz="6" w:space="0" w:color="2D2F35"/>
            </w:tcBorders>
            <w:tcMar>
              <w:top w:w="180" w:type="dxa"/>
              <w:left w:w="0" w:type="dxa"/>
              <w:bottom w:w="180" w:type="dxa"/>
              <w:right w:w="240" w:type="dxa"/>
            </w:tcMar>
            <w:hideMark/>
          </w:tcPr>
          <w:p w14:paraId="3D8BBA46" w14:textId="77777777" w:rsidR="0095595B" w:rsidRPr="0095595B" w:rsidRDefault="0095595B" w:rsidP="0095595B">
            <w:r w:rsidRPr="0095595B">
              <w:rPr>
                <w:b/>
                <w:bCs/>
              </w:rPr>
              <w:t>Chief Legal Officer (CLO)</w:t>
            </w:r>
          </w:p>
        </w:tc>
        <w:tc>
          <w:tcPr>
            <w:tcW w:w="0" w:type="auto"/>
            <w:tcBorders>
              <w:bottom w:val="single" w:sz="6" w:space="0" w:color="2D2F35"/>
            </w:tcBorders>
            <w:tcMar>
              <w:top w:w="180" w:type="dxa"/>
              <w:left w:w="0" w:type="dxa"/>
              <w:bottom w:w="180" w:type="dxa"/>
              <w:right w:w="0" w:type="dxa"/>
            </w:tcMar>
            <w:hideMark/>
          </w:tcPr>
          <w:p w14:paraId="3475DE68" w14:textId="77777777" w:rsidR="0095595B" w:rsidRPr="0095595B" w:rsidRDefault="0095595B" w:rsidP="0095595B">
            <w:r w:rsidRPr="0095595B">
              <w:t>Oversees the entire legal and compliance strategy; sits in the C-suite to manage high-level risks like data governance and corporate mergers.</w:t>
            </w:r>
          </w:p>
        </w:tc>
      </w:tr>
      <w:tr w:rsidR="0095595B" w:rsidRPr="0095595B" w14:paraId="67788686" w14:textId="77777777" w:rsidTr="00DF52DD">
        <w:tc>
          <w:tcPr>
            <w:tcW w:w="2077" w:type="dxa"/>
            <w:tcBorders>
              <w:bottom w:val="single" w:sz="6" w:space="0" w:color="2D2F35"/>
            </w:tcBorders>
            <w:tcMar>
              <w:top w:w="180" w:type="dxa"/>
              <w:left w:w="0" w:type="dxa"/>
              <w:bottom w:w="180" w:type="dxa"/>
              <w:right w:w="240" w:type="dxa"/>
            </w:tcMar>
            <w:hideMark/>
          </w:tcPr>
          <w:p w14:paraId="0139AAE8" w14:textId="77777777" w:rsidR="0095595B" w:rsidRPr="0095595B" w:rsidRDefault="0095595B" w:rsidP="0095595B">
            <w:r w:rsidRPr="0095595B">
              <w:rPr>
                <w:b/>
                <w:bCs/>
              </w:rPr>
              <w:t>General Counsel</w:t>
            </w:r>
          </w:p>
        </w:tc>
        <w:tc>
          <w:tcPr>
            <w:tcW w:w="0" w:type="auto"/>
            <w:tcBorders>
              <w:bottom w:val="single" w:sz="6" w:space="0" w:color="2D2F35"/>
            </w:tcBorders>
            <w:tcMar>
              <w:top w:w="180" w:type="dxa"/>
              <w:left w:w="0" w:type="dxa"/>
              <w:bottom w:w="180" w:type="dxa"/>
              <w:right w:w="0" w:type="dxa"/>
            </w:tcMar>
            <w:hideMark/>
          </w:tcPr>
          <w:p w14:paraId="1C5E448D" w14:textId="77777777" w:rsidR="0095595B" w:rsidRPr="0095595B" w:rsidRDefault="0095595B" w:rsidP="0095595B">
            <w:r w:rsidRPr="0095595B">
              <w:t>Manages day-to-day legal issues, including contract reviews, liability protection, and ensuring board actions align with company bylaws.</w:t>
            </w:r>
          </w:p>
        </w:tc>
      </w:tr>
      <w:tr w:rsidR="0095595B" w:rsidRPr="0095595B" w14:paraId="5571975E" w14:textId="77777777" w:rsidTr="00DF52DD">
        <w:tc>
          <w:tcPr>
            <w:tcW w:w="2077" w:type="dxa"/>
            <w:tcBorders>
              <w:bottom w:val="single" w:sz="6" w:space="0" w:color="2D2F35"/>
            </w:tcBorders>
            <w:tcMar>
              <w:top w:w="180" w:type="dxa"/>
              <w:left w:w="0" w:type="dxa"/>
              <w:bottom w:w="180" w:type="dxa"/>
              <w:right w:w="240" w:type="dxa"/>
            </w:tcMar>
            <w:hideMark/>
          </w:tcPr>
          <w:p w14:paraId="15CDBBF4" w14:textId="77777777" w:rsidR="0095595B" w:rsidRPr="0095595B" w:rsidRDefault="0095595B" w:rsidP="0095595B">
            <w:r w:rsidRPr="0095595B">
              <w:rPr>
                <w:b/>
                <w:bCs/>
              </w:rPr>
              <w:t>Compliance Officer</w:t>
            </w:r>
          </w:p>
        </w:tc>
        <w:tc>
          <w:tcPr>
            <w:tcW w:w="0" w:type="auto"/>
            <w:tcBorders>
              <w:bottom w:val="single" w:sz="6" w:space="0" w:color="2D2F35"/>
            </w:tcBorders>
            <w:tcMar>
              <w:top w:w="180" w:type="dxa"/>
              <w:left w:w="0" w:type="dxa"/>
              <w:bottom w:w="180" w:type="dxa"/>
              <w:right w:w="0" w:type="dxa"/>
            </w:tcMar>
            <w:hideMark/>
          </w:tcPr>
          <w:p w14:paraId="10B045C7" w14:textId="77777777" w:rsidR="0095595B" w:rsidRPr="0095595B" w:rsidRDefault="0095595B" w:rsidP="0095595B">
            <w:r w:rsidRPr="0095595B">
              <w:t>Ensures the firm follows industry-specific mandates, such as </w:t>
            </w:r>
            <w:r w:rsidRPr="0095595B">
              <w:rPr>
                <w:b/>
                <w:bCs/>
              </w:rPr>
              <w:t>non-financial misconduct</w:t>
            </w:r>
            <w:r w:rsidRPr="0095595B">
              <w:t> rules (e.g., anti-harassment) and cybersecurity regulations.</w:t>
            </w:r>
          </w:p>
        </w:tc>
      </w:tr>
      <w:tr w:rsidR="0095595B" w:rsidRPr="0095595B" w14:paraId="59F09712" w14:textId="77777777" w:rsidTr="00DF52DD">
        <w:tc>
          <w:tcPr>
            <w:tcW w:w="2077" w:type="dxa"/>
            <w:tcBorders>
              <w:bottom w:val="nil"/>
            </w:tcBorders>
            <w:tcMar>
              <w:top w:w="180" w:type="dxa"/>
              <w:left w:w="0" w:type="dxa"/>
              <w:bottom w:w="180" w:type="dxa"/>
              <w:right w:w="240" w:type="dxa"/>
            </w:tcMar>
            <w:hideMark/>
          </w:tcPr>
          <w:p w14:paraId="01C8D435" w14:textId="77777777" w:rsidR="0095595B" w:rsidRPr="0095595B" w:rsidRDefault="0095595B" w:rsidP="0095595B">
            <w:r w:rsidRPr="0095595B">
              <w:rPr>
                <w:b/>
                <w:bCs/>
              </w:rPr>
              <w:t>Data Privacy Counsel</w:t>
            </w:r>
          </w:p>
        </w:tc>
        <w:tc>
          <w:tcPr>
            <w:tcW w:w="0" w:type="auto"/>
            <w:tcBorders>
              <w:bottom w:val="nil"/>
            </w:tcBorders>
            <w:tcMar>
              <w:top w:w="180" w:type="dxa"/>
              <w:left w:w="0" w:type="dxa"/>
              <w:bottom w:w="180" w:type="dxa"/>
              <w:right w:w="0" w:type="dxa"/>
            </w:tcMar>
            <w:hideMark/>
          </w:tcPr>
          <w:p w14:paraId="1081ADAE" w14:textId="77777777" w:rsidR="0095595B" w:rsidRPr="0095595B" w:rsidRDefault="0095595B" w:rsidP="0095595B">
            <w:r w:rsidRPr="0095595B">
              <w:t>Specifically manages "digital gold"—client and employee data—to ensure compliance with laws like the </w:t>
            </w:r>
            <w:r w:rsidRPr="0095595B">
              <w:rPr>
                <w:b/>
                <w:bCs/>
              </w:rPr>
              <w:t>GDPR</w:t>
            </w:r>
            <w:r w:rsidRPr="0095595B">
              <w:t> or new 2026 Cybersecurity laws.</w:t>
            </w:r>
          </w:p>
        </w:tc>
      </w:tr>
    </w:tbl>
    <w:p w14:paraId="2936121C" w14:textId="77777777" w:rsidR="00DF52DD" w:rsidRDefault="00DF52DD" w:rsidP="0095595B">
      <w:pPr>
        <w:rPr>
          <w:b/>
          <w:bCs/>
        </w:rPr>
      </w:pPr>
    </w:p>
    <w:p w14:paraId="292CEC26" w14:textId="77777777" w:rsidR="00DF52DD" w:rsidRDefault="00DF52DD" w:rsidP="0095595B">
      <w:pPr>
        <w:rPr>
          <w:b/>
          <w:bCs/>
        </w:rPr>
      </w:pPr>
    </w:p>
    <w:p w14:paraId="7DE07A7B" w14:textId="1A617E09" w:rsidR="0095595B" w:rsidRPr="0095595B" w:rsidRDefault="0095595B" w:rsidP="0095595B">
      <w:pPr>
        <w:rPr>
          <w:b/>
          <w:bCs/>
        </w:rPr>
      </w:pPr>
      <w:r w:rsidRPr="0095595B">
        <w:rPr>
          <w:b/>
          <w:bCs/>
        </w:rPr>
        <w:lastRenderedPageBreak/>
        <w:t>Critical Legal Obligations for 2026</w:t>
      </w:r>
    </w:p>
    <w:p w14:paraId="27C7C4EF" w14:textId="77777777" w:rsidR="0095595B" w:rsidRPr="0095595B" w:rsidRDefault="0095595B" w:rsidP="0095595B">
      <w:pPr>
        <w:numPr>
          <w:ilvl w:val="0"/>
          <w:numId w:val="4"/>
        </w:numPr>
      </w:pPr>
      <w:r w:rsidRPr="0095595B">
        <w:rPr>
          <w:b/>
          <w:bCs/>
        </w:rPr>
        <w:t>Senior Accountability:</w:t>
      </w:r>
      <w:r w:rsidRPr="0095595B">
        <w:t> Under new 2026 frameworks, senior executives can be held </w:t>
      </w:r>
      <w:r w:rsidRPr="0095595B">
        <w:rPr>
          <w:b/>
          <w:bCs/>
        </w:rPr>
        <w:t>criminally liable</w:t>
      </w:r>
      <w:r w:rsidRPr="0095595B">
        <w:t> if they negligently allow organizational offenses (such as health and safety fatalities or fraud) to occur.</w:t>
      </w:r>
    </w:p>
    <w:p w14:paraId="35DACF3B" w14:textId="77777777" w:rsidR="0095595B" w:rsidRPr="0095595B" w:rsidRDefault="0095595B" w:rsidP="0095595B">
      <w:pPr>
        <w:numPr>
          <w:ilvl w:val="0"/>
          <w:numId w:val="4"/>
        </w:numPr>
      </w:pPr>
      <w:r w:rsidRPr="0095595B">
        <w:rPr>
          <w:b/>
          <w:bCs/>
        </w:rPr>
        <w:t>Cybersecurity Compliance:</w:t>
      </w:r>
      <w:r w:rsidRPr="0095595B">
        <w:t> Security firms are now often classified as "critical entities." This requires mandatory incident reporting within 72 hours and strict adherence to data protection standards for any IoT devices used in operations.</w:t>
      </w:r>
    </w:p>
    <w:p w14:paraId="264CCC13" w14:textId="77777777" w:rsidR="0095595B" w:rsidRPr="0095595B" w:rsidRDefault="0095595B" w:rsidP="0095595B">
      <w:pPr>
        <w:numPr>
          <w:ilvl w:val="0"/>
          <w:numId w:val="4"/>
        </w:numPr>
      </w:pPr>
      <w:r w:rsidRPr="0095595B">
        <w:rPr>
          <w:b/>
          <w:bCs/>
        </w:rPr>
        <w:t>Insurance Requirements:</w:t>
      </w:r>
      <w:r w:rsidRPr="0095595B">
        <w:t> While optional in some startup phases, broad </w:t>
      </w:r>
      <w:r w:rsidRPr="0095595B">
        <w:rPr>
          <w:b/>
          <w:bCs/>
        </w:rPr>
        <w:t>Public Liability</w:t>
      </w:r>
      <w:r w:rsidRPr="0095595B">
        <w:t> and </w:t>
      </w:r>
      <w:r w:rsidRPr="0095595B">
        <w:rPr>
          <w:b/>
          <w:bCs/>
        </w:rPr>
        <w:t>Workers' Compensation</w:t>
      </w:r>
      <w:r w:rsidRPr="0095595B">
        <w:t> insurance are mandatory for license renewals and essential for protecting against operational misconduct claims.</w:t>
      </w:r>
    </w:p>
    <w:p w14:paraId="6B3DACDF" w14:textId="77777777" w:rsidR="0095595B" w:rsidRPr="0095595B" w:rsidRDefault="0095595B" w:rsidP="0095595B">
      <w:pPr>
        <w:numPr>
          <w:ilvl w:val="0"/>
          <w:numId w:val="4"/>
        </w:numPr>
      </w:pPr>
      <w:r w:rsidRPr="0095595B">
        <w:rPr>
          <w:b/>
          <w:bCs/>
        </w:rPr>
        <w:t>Contractual Integrity:</w:t>
      </w:r>
      <w:r w:rsidRPr="0095595B">
        <w:t> Legal teams must use </w:t>
      </w:r>
      <w:r w:rsidRPr="0095595B">
        <w:rPr>
          <w:b/>
          <w:bCs/>
        </w:rPr>
        <w:t>Contract Lifecycle Management (CLM)</w:t>
      </w:r>
      <w:r w:rsidRPr="0095595B">
        <w:t> to ensure all client agreements include modern clauses for AI transparency and data breach protocols. </w:t>
      </w:r>
    </w:p>
    <w:p w14:paraId="381DDB27" w14:textId="77777777" w:rsidR="0095595B" w:rsidRPr="0095595B" w:rsidRDefault="0095595B" w:rsidP="0095595B">
      <w:r w:rsidRPr="0095595B">
        <w:t>These guides explain the legal and operational requirements for running a security company, including licensing, personnel management, and compliance with 2026 cybersecurity laws:</w:t>
      </w:r>
    </w:p>
    <w:p w14:paraId="25D774AE" w14:textId="77777777" w:rsidR="00A60C49" w:rsidRPr="0095595B" w:rsidRDefault="00A60C49" w:rsidP="0095595B"/>
    <w:sectPr w:rsidR="00A60C49" w:rsidRPr="00955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2DAE"/>
    <w:multiLevelType w:val="multilevel"/>
    <w:tmpl w:val="537E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F6BAC"/>
    <w:multiLevelType w:val="multilevel"/>
    <w:tmpl w:val="D294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47C49"/>
    <w:multiLevelType w:val="multilevel"/>
    <w:tmpl w:val="B262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852CE"/>
    <w:multiLevelType w:val="multilevel"/>
    <w:tmpl w:val="FA5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340996">
    <w:abstractNumId w:val="0"/>
  </w:num>
  <w:num w:numId="2" w16cid:durableId="534123121">
    <w:abstractNumId w:val="3"/>
  </w:num>
  <w:num w:numId="3" w16cid:durableId="553927079">
    <w:abstractNumId w:val="1"/>
  </w:num>
  <w:num w:numId="4" w16cid:durableId="1129083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95B"/>
    <w:rsid w:val="002A3FD7"/>
    <w:rsid w:val="003040EB"/>
    <w:rsid w:val="0095595B"/>
    <w:rsid w:val="00A60C49"/>
    <w:rsid w:val="00BE5CCC"/>
    <w:rsid w:val="00DF52DD"/>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04FC"/>
  <w15:chartTrackingRefBased/>
  <w15:docId w15:val="{D8FF604E-D55B-4E2F-81B2-561D0FB36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9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9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9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9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9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9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9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9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95B"/>
    <w:rPr>
      <w:rFonts w:eastAsiaTheme="majorEastAsia" w:cstheme="majorBidi"/>
      <w:color w:val="272727" w:themeColor="text1" w:themeTint="D8"/>
    </w:rPr>
  </w:style>
  <w:style w:type="paragraph" w:styleId="Title">
    <w:name w:val="Title"/>
    <w:basedOn w:val="Normal"/>
    <w:next w:val="Normal"/>
    <w:link w:val="TitleChar"/>
    <w:uiPriority w:val="10"/>
    <w:qFormat/>
    <w:rsid w:val="00955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95B"/>
    <w:pPr>
      <w:spacing w:before="160"/>
      <w:jc w:val="center"/>
    </w:pPr>
    <w:rPr>
      <w:i/>
      <w:iCs/>
      <w:color w:val="404040" w:themeColor="text1" w:themeTint="BF"/>
    </w:rPr>
  </w:style>
  <w:style w:type="character" w:customStyle="1" w:styleId="QuoteChar">
    <w:name w:val="Quote Char"/>
    <w:basedOn w:val="DefaultParagraphFont"/>
    <w:link w:val="Quote"/>
    <w:uiPriority w:val="29"/>
    <w:rsid w:val="0095595B"/>
    <w:rPr>
      <w:i/>
      <w:iCs/>
      <w:color w:val="404040" w:themeColor="text1" w:themeTint="BF"/>
    </w:rPr>
  </w:style>
  <w:style w:type="paragraph" w:styleId="ListParagraph">
    <w:name w:val="List Paragraph"/>
    <w:basedOn w:val="Normal"/>
    <w:uiPriority w:val="34"/>
    <w:qFormat/>
    <w:rsid w:val="0095595B"/>
    <w:pPr>
      <w:ind w:left="720"/>
      <w:contextualSpacing/>
    </w:pPr>
  </w:style>
  <w:style w:type="character" w:styleId="IntenseEmphasis">
    <w:name w:val="Intense Emphasis"/>
    <w:basedOn w:val="DefaultParagraphFont"/>
    <w:uiPriority w:val="21"/>
    <w:qFormat/>
    <w:rsid w:val="0095595B"/>
    <w:rPr>
      <w:i/>
      <w:iCs/>
      <w:color w:val="2F5496" w:themeColor="accent1" w:themeShade="BF"/>
    </w:rPr>
  </w:style>
  <w:style w:type="paragraph" w:styleId="IntenseQuote">
    <w:name w:val="Intense Quote"/>
    <w:basedOn w:val="Normal"/>
    <w:next w:val="Normal"/>
    <w:link w:val="IntenseQuoteChar"/>
    <w:uiPriority w:val="30"/>
    <w:qFormat/>
    <w:rsid w:val="00955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95B"/>
    <w:rPr>
      <w:i/>
      <w:iCs/>
      <w:color w:val="2F5496" w:themeColor="accent1" w:themeShade="BF"/>
    </w:rPr>
  </w:style>
  <w:style w:type="character" w:styleId="IntenseReference">
    <w:name w:val="Intense Reference"/>
    <w:basedOn w:val="DefaultParagraphFont"/>
    <w:uiPriority w:val="32"/>
    <w:qFormat/>
    <w:rsid w:val="009559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kuminroger7@gmail.com</dc:creator>
  <cp:keywords/>
  <dc:description/>
  <cp:lastModifiedBy>kuminroger7@gmail.com</cp:lastModifiedBy>
  <cp:revision>2</cp:revision>
  <dcterms:created xsi:type="dcterms:W3CDTF">2026-01-27T06:34:00Z</dcterms:created>
  <dcterms:modified xsi:type="dcterms:W3CDTF">2026-01-27T14:49:00Z</dcterms:modified>
</cp:coreProperties>
</file>