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ORCHESTRA INTELLIGENCE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88FF"/>
          <w:sz w:val="20"/>
          <w:szCs w:val="20"/>
        </w:rPr>
        <w:t xml:space="preserve">L'IA Claire, Utile et Humaine</w:t>
      </w:r>
    </w:p>
    <w:p>
      <w:pPr>
        <w:spacing w:before="100" w:after="100"/>
      </w:pPr>
    </w:p>
    <w:p>
      <w:pPr>
        <w:spacing w:before="100"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0088FF"/>
          <w:sz w:val="28"/>
          <w:szCs w:val="28"/>
        </w:rPr>
        <w:t xml:space="preserve">DETAILED QUOTATION</w:t>
      </w:r>
    </w:p>
    <w:p>
      <w:pPr>
        <w:pBdr>
          <w:bottom w:val="single" w:color="0088FF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WEBSITE DESIGN &amp; DEVELOPMENT</w:t>
      </w:r>
    </w:p>
    <w:p>
      <w:pPr>
        <w:spacing w:before="100"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Smart Renovation Dubai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AA"/>
          <w:sz w:val="24"/>
          <w:szCs w:val="24"/>
        </w:rPr>
        <w:t xml:space="preserve">Italian Design Excellence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8888AA"/>
          <w:sz w:val="20"/>
          <w:szCs w:val="20"/>
        </w:rPr>
        <w:t xml:space="preserve">TOTAL PROJECT INVESTMENT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EUR 5,000.00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AED 21,580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AA"/>
          <w:sz w:val="16"/>
          <w:szCs w:val="16"/>
        </w:rPr>
        <w:t xml:space="preserve">(Indicative rate: 1 EUR = 4.316 AED as of 20/02/2026)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AA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February 20,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AA"/>
                <w:sz w:val="20"/>
                <w:szCs w:val="20"/>
              </w:rPr>
              <w:t xml:space="preserve">Valid for: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AA"/>
                <w:sz w:val="20"/>
                <w:szCs w:val="20"/>
              </w:rPr>
              <w:t xml:space="preserve">Ref.: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OI-2026-SR-0042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This quotation covers the design, development, and deployment of the premium showcase website for Smart Renovation Dubai, a high-end interior design and renovation company based in Dubai, UAE. The website is designed to reflect the brand's premium positioning, build trust with a discerning clientele, and generate qualified leads through free consultation forms.</w:t>
      </w:r>
    </w:p>
    <w:p>
      <w:pPr>
        <w:spacing w:before="100"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Client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Renovation LLC - Dubai, UAE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smart-reno-website.vercel.app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Target Domain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smartrenovation.ae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showcase / Lead generation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(React) / Tailwind CSS / Vercel / TypeScript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to 8 weeks</w:t>
            </w:r>
          </w:p>
        </w:tc>
      </w:tr>
      <w:tr>
        <w:tc>
          <w:tcPr>
            <w:tcW w:type="dxa" w:w="3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FF"/>
                <w:sz w:val="20"/>
                <w:szCs w:val="20"/>
              </w:rPr>
              <w:t xml:space="preserve">Currencies</w:t>
            </w:r>
          </w:p>
        </w:tc>
        <w:tc>
          <w:tcPr>
            <w:tcW w:type="dxa" w:w="66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(Euro) | AED equivalent at 1 EUR = 4.316 AED</w:t>
            </w:r>
          </w:p>
        </w:tc>
      </w:tr>
    </w:tbl>
    <w:p>
      <w:pPr>
        <w:spacing w:before="100"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2. FUNCTIONAL SCOPE</w:t>
      </w: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Comprehensive analysis of pages, components, and features identified on the website:</w:t>
      </w:r>
    </w:p>
    <w:p>
      <w:pPr>
        <w:spacing w:before="100"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000"/>
      </w:tblGrid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/ Features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Full-screen hero video/image, project slider, Awards section, key services, client testimonials, free consultation CTA, scroll animations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About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story, Italian Design Excellence, founding team (Marco &amp; Cinzia), timeline since 1970, values &amp; philosophy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Services (x8)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Design, Home Renovation, Villa Renovation, Apartment Fit-Out, Commercial Fit-Out, Kitchen &amp; Bathroom, Custom Joinery, Project Management (final list to be confirmed with client)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Filterable project gallery by category, project detail pages with photo carousel, specs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 Together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process overview, project steps, brief form, WhatsApp CTA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Article listing with pagination, individual article pages, categories, SEO-optimised, headless CMS integration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contact form, Google Maps embed (best integration approach to be assessed), contact details, WhatsApp integration, business hours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Awards + Legal</w:t>
            </w:r>
          </w:p>
        </w:tc>
        <w:tc>
          <w:tcPr>
            <w:tcW w:type="dxa" w:w="444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Awards &amp; recognitions showcase (2022-2025), Privacy Policy, Terms of Use, Legal Notice</w:t>
            </w:r>
          </w:p>
        </w:tc>
        <w:tc>
          <w:tcPr>
            <w:tcW w:type="dxa" w:w="3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Cross-cutting components: Responsive mega-menu navigation, global footer, floating WhatsApp button, omnipresent consultation CTA, Framer Motion animations, Next.js image optimisation (WebP/AVIF), Google Analytics / Tag Manager, local SEO schema markup.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3. DETAILED COST BREAKDOWN</w:t>
      </w:r>
    </w:p>
    <w:p>
      <w:pPr>
        <w:spacing w:before="100"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Strategy, UX Design &amp; Art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600"/>
        <w:gridCol w:w="700"/>
        <w:gridCol w:w="1100"/>
        <w:gridCol w:w="1600"/>
      </w:tblGrid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(EUR)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&amp; Benchmark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Competitive analysis Dubai luxury renovation, UX/UI benchmark (5 competitors)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Wireframes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Personas, user journeys, site architecture, lo-fi wireframes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UI/UX Mockups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High-fidelity mockups desktop + mobile (8-10 unique pages) via AI-powered design tools (Google AI Studio, Cloud)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Art Direction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 brand guidelines, typography, colour palette, custom iconography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gridSpan w:val="5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Subtotal Strategy &amp; Design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800 EUR</w:t>
            </w:r>
          </w:p>
        </w:tc>
      </w:tr>
    </w:tbl>
    <w:p>
      <w:pPr>
        <w:spacing w:before="100"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Front-End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600"/>
        <w:gridCol w:w="700"/>
        <w:gridCol w:w="1100"/>
        <w:gridCol w:w="1600"/>
      </w:tblGrid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(EUR)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14+, TypeScript, Tailwind CSS, ESLint, folder architecture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Page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Animated hero, sliders, services sections, awards carousel, testimonials, CTA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About Page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Timeline, team section, values, parallax scroll animations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template + 8 individual pages, galleries, CTAs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Pages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360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 / Gallery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Filtering system, isotope grid, project detail pages with photo carousel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 / CMS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Listing, pagination, article pages, categories, headless CMS integration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Secondary Pages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Contact, Work Together, Awards, legal pages (x6)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Pages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240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 &amp; Footer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mega-menu, dropdowns, full footer, newsletter input, floating WhatsApp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Motion: scroll animations, hover states, page transitions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mobile (375px+), tablet (768px+), desktop (1280px+) adaptation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gridSpan w:val="5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Subtotal Front-End Dev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2,150 EUR</w:t>
            </w:r>
          </w:p>
        </w:tc>
      </w:tr>
    </w:tbl>
    <w:p>
      <w:pPr>
        <w:spacing w:before="100"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Back-End, CMS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600"/>
        <w:gridCol w:w="700"/>
        <w:gridCol w:w="1100"/>
        <w:gridCol w:w="1600"/>
      </w:tblGrid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(EUR)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CMS setup &amp; configuration: content schemas for projects, blog, services, testimonials, media library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API routes, server validation, email delivery (Resend), anti-spam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+ Maps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Business floating button + Google Maps custom marker &amp; styling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Analytics 4, Tag Manager, event tracking, conversion goals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Newsletter / CRM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platform integration, subscription form, automated welcome email, contact list management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 EUR</w:t>
            </w:r>
          </w:p>
        </w:tc>
      </w:tr>
      <w:tr>
        <w:tc>
          <w:tcPr>
            <w:tcW w:type="dxa" w:w="2200"/>
            <w:gridSpan w:val="5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Subtotal Back-End &amp; Integrations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650 EUR</w:t>
            </w:r>
          </w:p>
        </w:tc>
      </w:tr>
    </w:tbl>
    <w:p>
      <w:pPr>
        <w:spacing w:before="100"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Technical SEO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600"/>
        <w:gridCol w:w="700"/>
        <w:gridCol w:w="1100"/>
        <w:gridCol w:w="1600"/>
      </w:tblGrid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(EUR)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titles/descriptions, Open Graph, canonical URLs, robots.txt, XML sitemap, JSON-LD Schema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SEO Dubai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My Business optimisation (account to be created by client), LocalBusiness schema, NAP citations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Image pipeline, WebP/AVIF formats, responsive srcset, lazy loading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LCP/FID/CLS optimisation, font preloading, code splitting, Lighthouse 90+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150 EUR</w:t>
            </w:r>
          </w:p>
        </w:tc>
      </w:tr>
      <w:tr>
        <w:tc>
          <w:tcPr>
            <w:tcW w:type="dxa" w:w="2200"/>
            <w:gridSpan w:val="5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Subtotal SEO &amp; Performance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500 EUR</w:t>
            </w:r>
          </w:p>
        </w:tc>
      </w:tr>
    </w:tbl>
    <w:p>
      <w:pPr>
        <w:spacing w:before="100"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 Deployment, QA &amp;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600"/>
        <w:gridCol w:w="700"/>
        <w:gridCol w:w="1100"/>
        <w:gridCol w:w="1600"/>
      </w:tblGrid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(EUR)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Config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project setup, environment variables, CI/CD GitHub, preview deployments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 &amp; DNS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DNS configuration smartrenovation.ae, SSL certificate, redirects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Migration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Legacy URL redirects, SEO equity preservation, 301 testing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Testing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Cross-browser (Chrome, Safari, Firefox, Edge), cross-device, WCAG, form testing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140 EUR</w:t>
            </w:r>
          </w:p>
        </w:tc>
      </w:tr>
      <w:tr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Training</w:t>
            </w:r>
          </w:p>
        </w:tc>
        <w:tc>
          <w:tcPr>
            <w:tcW w:type="dxa" w:w="3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CMS training (adding projects, blog posts, services), video documentation, PDF user guide</w:t>
            </w:r>
          </w:p>
        </w:tc>
        <w:tc>
          <w:tcPr>
            <w:tcW w:type="dxa" w:w="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EUR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 EUR</w:t>
            </w:r>
          </w:p>
        </w:tc>
      </w:tr>
      <w:tr>
        <w:tc>
          <w:tcPr>
            <w:tcW w:type="dxa" w:w="2200"/>
            <w:gridSpan w:val="5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Subtotal Deployment &amp; QA</w:t>
            </w:r>
          </w:p>
        </w:tc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08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450 EUR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4. COST SUMMARY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3.1  Strategy, UX Design &amp; Art Direction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800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3,453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3.2  Front-End Development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2,150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9,279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3.3  Back-End, CMS &amp; Integrations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650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2,805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3.4  Technical SEO &amp; Performance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2,158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3.5  Deployment, QA &amp; Training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450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1,942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E4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E4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4,550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E4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19,638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Project Management (10%)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450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1,942 AED</w:t>
            </w:r>
          </w:p>
        </w:tc>
      </w:tr>
      <w:tr>
        <w:tc>
          <w:tcPr>
            <w:tcW w:type="dxa" w:w="5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TOTAL</w:t>
            </w:r>
          </w:p>
        </w:tc>
        <w:tc>
          <w:tcPr>
            <w:tcW w:type="dxa" w:w="22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FF"/>
                <w:sz w:val="26"/>
                <w:szCs w:val="26"/>
              </w:rPr>
              <w:t xml:space="preserve">5,000 EUR</w:t>
            </w:r>
          </w:p>
        </w:tc>
        <w:tc>
          <w:tcPr>
            <w:tcW w:type="dxa" w:w="21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FF"/>
                <w:sz w:val="26"/>
                <w:szCs w:val="26"/>
              </w:rPr>
              <w:t xml:space="preserve">21,580 AED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Exchange rate as of 20/02/2026: 1 EUR = 4.316 AED. The AED amount is provided for reference and will be adjusted to the prevailing rate at the date of invoicing. This amount may vary depending on scope changes.</w:t>
      </w:r>
    </w:p>
    <w:p>
      <w:pPr>
        <w:spacing w:before="100"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5.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800"/>
        <w:gridCol w:w="2360"/>
      </w:tblGrid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Kick-off, audit, benchmark, strategy, personas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brief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2-3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Wireframes, UI/UX mockups, art direction, design system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mockups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3-5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Front-end development, CMS integration, components, animations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10-12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 site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5-6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Back-end, integrations (forms, analytics, WhatsApp, CRM)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5-7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integrations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6-7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SEO, performance optimisation, QA testing, cross-browser, bug fixes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report</w:t>
            </w:r>
          </w:p>
        </w:tc>
      </w:tr>
      <w:tr>
        <w:tc>
          <w:tcPr>
            <w:tcW w:type="dxa" w:w="14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7-8</w:t>
            </w:r>
          </w:p>
        </w:tc>
        <w:tc>
          <w:tcPr>
            <w:tcW w:type="dxa" w:w="3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deployment, DNS migration, client training, handover</w:t>
            </w:r>
          </w:p>
        </w:tc>
        <w:tc>
          <w:tcPr>
            <w:tcW w:type="dxa" w:w="18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days</w:t>
            </w:r>
          </w:p>
        </w:tc>
        <w:tc>
          <w:tcPr>
            <w:tcW w:type="dxa" w:w="23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website</w:t>
            </w:r>
          </w:p>
        </w:tc>
      </w:tr>
    </w:tbl>
    <w:p>
      <w:pPr>
        <w:spacing w:before="100"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6. PAYMENT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2000"/>
        <w:gridCol w:w="2000"/>
      </w:tblGrid>
      <w:tr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7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Deposit</w:t>
            </w:r>
          </w:p>
        </w:tc>
        <w:tc>
          <w:tcPr>
            <w:tcW w:type="dxa" w:w="37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Upon signing - Project kick-off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40% = 2,000 EUR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8,632 AED</w:t>
            </w:r>
          </w:p>
        </w:tc>
      </w:tr>
      <w:tr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37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Mockup approval - Development start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30% = 1,500 EUR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6,474 AED</w:t>
            </w:r>
          </w:p>
        </w:tc>
      </w:tr>
      <w:tr>
        <w:tc>
          <w:tcPr>
            <w:tcW w:type="dxa" w:w="16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Final Balance</w:t>
            </w:r>
          </w:p>
        </w:tc>
        <w:tc>
          <w:tcPr>
            <w:tcW w:type="dxa" w:w="376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Go-live &amp; access handover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30% = 1,500 EUR</w:t>
            </w:r>
          </w:p>
        </w:tc>
        <w:tc>
          <w:tcPr>
            <w:tcW w:type="dxa" w:w="2000"/>
            <w:tcBorders>
              <w:top w:val="single" w:color="2A2A3E" w:sz="1"/>
              <w:left w:val="single" w:color="2A2A3E" w:sz="1"/>
              <w:bottom w:val="single" w:color="2A2A3E" w:sz="1"/>
              <w:right w:val="single" w:color="2A2A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6,474 AED</w:t>
            </w:r>
          </w:p>
        </w:tc>
      </w:tr>
    </w:tbl>
    <w:p>
      <w:pPr>
        <w:spacing w:before="100"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0088FF"/>
          <w:sz w:val="28"/>
          <w:szCs w:val="28"/>
        </w:rPr>
        <w:t xml:space="preserve">7. WARRANTIES &amp; COMMITMENTS</w:t>
      </w: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3-month post-launch warranty (bug fixes at no additional cost). Full source code delivered via GitHub. Technical documentation and CMS user guide included. WCAG 2.1 Level AA compliance. Lighthouse score of 90+ across all 4 metrics. Browser compatibility: Chrome, Safari, Firefox, Edge (last 2 versions). Responsive: mobile (375px+), tablet (768px+), desktop (1280px+).</w:t>
      </w:r>
    </w:p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This quotation is valid for 30 days from the date of issue. Any changes to the project scope will be subject to a signed change order agreed upon by both parties. AED amounts are indicative and will be adjusted to the exchange rate in effect at the date of invoicing.</w:t>
      </w:r>
    </w:p>
    <w:p>
      <w:pPr>
        <w:spacing w:before="100" w:after="100"/>
      </w:pPr>
    </w:p>
    <w:p>
      <w:pPr>
        <w:spacing w:before="100" w:after="100"/>
      </w:pPr>
    </w:p>
    <w:p>
      <w:pPr>
        <w:pBdr>
          <w:top w:val="single" w:color="0088FF" w:sz="2" w:space="8"/>
        </w:pBdr>
        <w:spacing w:before="400"/>
        <w:jc w:val="center"/>
      </w:pPr>
      <w:r>
        <w:drawing>
          <wp:inline distT="0" distB="0" distL="0" distR="0">
            <wp:extent cx="2667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8888AA"/>
          <w:sz w:val="18"/>
          <w:szCs w:val="18"/>
        </w:rPr>
        <w:t xml:space="preserve">  Orchestra Intelligence  |  orchestraintelligence.fr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0088FF"/>
          <w:sz w:val="22"/>
          <w:szCs w:val="22"/>
        </w:rPr>
        <w:t xml:space="preserve">Thank you for your trust.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8888AA"/>
        <w:sz w:val="16"/>
        <w:szCs w:val="16"/>
      </w:rPr>
      <w:t xml:space="preserve">Orchestra Intelligence | Confidential | Page </w:t>
    </w:r>
    <w:r>
      <w:rPr>
        <w:rFonts w:ascii="Arial" w:cs="Arial" w:eastAsia="Arial" w:hAnsi="Arial"/>
        <w:color w:val="8888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AA"/>
        <w:sz w:val="16"/>
        <w:szCs w:val="16"/>
      </w:rPr>
      <w:t xml:space="preserve"> / </w:t>
    </w:r>
    <w:r>
      <w:rPr>
        <w:rFonts w:ascii="Arial" w:cs="Arial" w:eastAsia="Arial" w:hAnsi="Arial"/>
        <w:color w:val="8888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FF" w:sz="2" w:space="4"/>
      </w:pBdr>
      <w:jc w:val="right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8888AA"/>
        <w:sz w:val="16"/>
        <w:szCs w:val="16"/>
      </w:rPr>
      <w:t xml:space="preserve">  Orchestra Intelligence | </w:t>
    </w:r>
    <w:r>
      <w:rPr>
        <w:rFonts w:ascii="Arial" w:cs="Arial" w:eastAsia="Arial" w:hAnsi="Arial"/>
        <w:b/>
        <w:bCs/>
        <w:color w:val="0D0D1A"/>
        <w:sz w:val="16"/>
        <w:szCs w:val="16"/>
      </w:rPr>
      <w:t xml:space="preserve">Smart Renovation Dubai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e86d38943f333480dedc03a3d58b18da78bc77c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86d38943f333480dedc03a3d58b18da78bc77c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2026-02-25T08:12:35.888Z</dcterms:created>
  <dcterms:modified xsi:type="dcterms:W3CDTF">2026-02-25T08:12:35.889Z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