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Московский государственный технический университет</w:t>
      </w:r>
    </w:p>
    <w:p>
      <w:pPr>
        <w:pStyle w:val="Author"/>
      </w:pPr>
      <w:r>
        <w:t xml:space="preserve">им. Н.Э. Баумана</w:t>
      </w:r>
    </w:p>
    <w:p>
      <w:pPr>
        <w:spacing w:before="360" w:after="360"/>
      </w:pPr>
    </w:p>
    <w:p>
      <w:pPr>
        <w:pStyle w:val="Author"/>
      </w:pPr>
      <w:r>
        <w:t xml:space="preserve">УТВЕРЖДАЮ:</w:t>
      </w:r>
    </w:p>
    <w:p>
      <w:pPr>
        <w:pStyle w:val="Author"/>
      </w:pPr>
      <w:r>
        <w:t xml:space="preserve">Большаков С.А.</w:t>
      </w:r>
    </w:p>
    <w:p>
      <w:pPr>
        <w:pStyle w:val="Author"/>
      </w:pPr>
      <w:r>
        <w:t xml:space="preserve">«   » ___________ 2026 г.</w:t>
      </w:r>
    </w:p>
    <w:p>
      <w:pPr>
        <w:spacing w:before="360" w:after="360"/>
      </w:pPr>
    </w:p>
    <w:p>
      <w:pPr>
        <w:pStyle w:val="Author"/>
      </w:pPr>
      <w:r>
        <w:t xml:space="preserve">Курсовая работа по курсу «Системное программирование»</w:t>
      </w:r>
    </w:p>
    <w:p>
      <w:pPr>
        <w:pStyle w:val="Author"/>
      </w:pPr>
      <w:r>
        <w:t xml:space="preserve">«Резидентная программа (TSR)»</w:t>
      </w:r>
    </w:p>
    <w:p>
      <w:pPr>
        <w:spacing w:before="360" w:after="360"/>
      </w:pPr>
    </w:p>
    <w:p>
      <w:pPr>
        <w:pStyle w:val="Title"/>
      </w:pPr>
      <w:r>
        <w:t xml:space="preserve">Руководство системного программиста</w:t>
      </w:r>
    </w:p>
    <w:p>
      <w:pPr>
        <w:pStyle w:val="Author"/>
      </w:pPr>
      <w:r>
        <w:t xml:space="preserve">(вид документа)</w:t>
      </w:r>
    </w:p>
    <w:p>
      <w:pPr>
        <w:pStyle w:val="Author"/>
      </w:pPr>
      <w:r>
        <w:t xml:space="preserve">писчая бумага</w:t>
      </w:r>
    </w:p>
    <w:p>
      <w:pPr>
        <w:pStyle w:val="Author"/>
      </w:pPr>
      <w:r>
        <w:t xml:space="preserve">(вид носителя)</w:t>
      </w:r>
    </w:p>
    <w:p>
      <w:pPr>
        <w:pStyle w:val="Title"/>
      </w:pPr>
      <w:r>
        <w:t xml:space="preserve">4</w:t>
      </w:r>
    </w:p>
    <w:p>
      <w:pPr>
        <w:pStyle w:val="Author"/>
      </w:pPr>
      <w:r>
        <w:t xml:space="preserve">(количество листов)</w:t>
      </w:r>
    </w:p>
    <w:p>
      <w:pPr>
        <w:spacing w:before="360" w:after="360"/>
      </w:pPr>
    </w:p>
    <w:p>
      <w:pPr>
        <w:pStyle w:val="Author"/>
      </w:pPr>
      <w:r>
        <w:t xml:space="preserve">ИСПОЛНИТЕЛИ:</w:t>
      </w:r>
    </w:p>
    <w:p>
      <w:pPr>
        <w:pStyle w:val="Author"/>
      </w:pPr>
      <w:r>
        <w:t xml:space="preserve">студент группы ИУ5-42Б</w:t>
      </w:r>
    </w:p>
    <w:p>
      <w:pPr>
        <w:pStyle w:val="Author"/>
      </w:pPr>
      <w:r>
        <w:rPr>
          <w:b/>
          <w:bCs/>
        </w:rPr>
        <w:t xml:space="preserve">Воробьев Е. А.</w:t>
      </w:r>
      <w:r>
        <w:t xml:space="preserve">, «   » ___________ 2026 г.</w:t>
      </w:r>
    </w:p>
    <w:p>
      <w:pPr>
        <w:pStyle w:val="Author"/>
      </w:pPr>
      <w:r>
        <w:t xml:space="preserve">Москва — 2026</w:t>
      </w:r>
    </w:p>
    <w:p>
      <w:pPr>
        <w:pStyle w:val="Heading1"/>
        <w:pageBreakBefore/>
      </w:pPr>
      <w:r>
        <w:t>СОДЕРЖАНИЕ</w:t>
      </w:r>
    </w:p>
    <w:p>
      <w:pPr>
        <w:pStyle w:val="TOC1"/>
      </w:pPr>
      <w:r>
        <w:t xml:space="preserve">1. Назначение и условия применения программы</w:t>
      </w:r>
      <w:r>
        <w:tab/>
      </w:r>
      <w:r>
        <w:t xml:space="preserve">3</w:t>
      </w:r>
    </w:p>
    <w:p>
      <w:pPr>
        <w:pStyle w:val="TOC1"/>
      </w:pPr>
      <w:r>
        <w:t xml:space="preserve">2. Требования к составу и параметрам технических средств</w:t>
      </w:r>
      <w:r>
        <w:tab/>
      </w:r>
      <w:r>
        <w:t xml:space="preserve">3</w:t>
      </w:r>
    </w:p>
    <w:p>
      <w:pPr>
        <w:pStyle w:val="TOC1"/>
      </w:pPr>
      <w:r>
        <w:t xml:space="preserve">3. Требования к программному обеспечению</w:t>
      </w:r>
      <w:r>
        <w:tab/>
      </w:r>
      <w:r>
        <w:t xml:space="preserve">3</w:t>
      </w:r>
    </w:p>
    <w:p>
      <w:pPr>
        <w:pStyle w:val="TOC1"/>
      </w:pPr>
      <w:r>
        <w:t xml:space="preserve">4. Состав программного продукта</w:t>
      </w:r>
      <w:r>
        <w:tab/>
      </w:r>
      <w:r>
        <w:t xml:space="preserve">3</w:t>
      </w:r>
    </w:p>
    <w:p>
      <w:pPr>
        <w:pStyle w:val="TOC1"/>
      </w:pPr>
      <w:r>
        <w:t xml:space="preserve">5. Установка продукта</w:t>
      </w:r>
      <w:r>
        <w:tab/>
      </w:r>
      <w:r>
        <w:t xml:space="preserve">3</w:t>
      </w:r>
    </w:p>
    <w:p>
      <w:pPr>
        <w:pStyle w:val="TOC1"/>
      </w:pPr>
      <w:r>
        <w:t xml:space="preserve">6. Удаление продукта</w:t>
      </w:r>
      <w:r>
        <w:tab/>
      </w:r>
      <w:r>
        <w:t xml:space="preserve">3</w:t>
      </w:r>
    </w:p>
    <w:p>
      <w:pPr>
        <w:pStyle w:val="TOC1"/>
      </w:pPr>
      <w:r>
        <w:t xml:space="preserve">7. Характеристики системы</w:t>
      </w:r>
      <w:r>
        <w:tab/>
      </w:r>
      <w:r>
        <w:t xml:space="preserve">3</w:t>
      </w:r>
    </w:p>
    <w:p>
      <w:pPr>
        <w:pStyle w:val="TOC1"/>
      </w:pPr>
      <w:r>
        <w:t xml:space="preserve">8. Подготовка к работе с программой</w:t>
      </w:r>
      <w:r>
        <w:tab/>
      </w:r>
      <w:r>
        <w:t xml:space="preserve">3</w:t>
      </w:r>
    </w:p>
    <w:p>
      <w:pPr>
        <w:pStyle w:val="TOC1"/>
      </w:pPr>
      <w:r>
        <w:t xml:space="preserve">9. Запуск программы</w:t>
      </w:r>
      <w:r>
        <w:tab/>
      </w:r>
      <w:r>
        <w:t xml:space="preserve">4</w:t>
      </w:r>
    </w:p>
    <w:p>
      <w:pPr>
        <w:pStyle w:val="TOC1"/>
      </w:pPr>
      <w:r>
        <w:t xml:space="preserve">10. Завершение работы программы</w:t>
      </w:r>
      <w:r>
        <w:tab/>
      </w:r>
      <w:r>
        <w:t xml:space="preserve">4</w:t>
      </w:r>
    </w:p>
    <w:p>
      <w:pPr>
        <w:pStyle w:val="Heading1"/>
        <w:pageBreakBefore/>
      </w:pPr>
      <w:r>
        <w:t>1. Назначение и условия применения программы</w:t>
      </w:r>
    </w:p>
    <w:p>
      <w:pPr>
        <w:pStyle w:val="BodyText"/>
      </w:pPr>
      <w:r>
        <w:t xml:space="preserve">Данная резидентная программа обладает следующими возможностями: выводом на экран текстового сообщения, содержащего ФИО студента, индекс группы и номер варианта курсовой работы; модификацией русской буквы «З» на курсивный вариант; русификацией пяти латинских клавиш в кириллические буквы «ЕЖЗИК»; ограничением ввода русских букв с клавиатуры. Работа программы возможна только в текстовом режиме MS DOS.</w:t>
      </w:r>
    </w:p>
    <w:bookmarkStart w:id="9" w:name="Xcef2b9a4b06feb1c7fb357ba92dccca5931304d"/>
    <w:p>
      <w:pPr>
        <w:pStyle w:val="Heading1"/>
      </w:pPr>
      <w:r>
        <w:t xml:space="preserve">2. Требования к составу и параметрам технических средств</w:t>
      </w:r>
    </w:p>
    <w:p>
      <w:pPr>
        <w:pStyle w:val="FirstParagraph"/>
      </w:pPr>
      <w:r>
        <w:t xml:space="preserve">Программа должна запускаться на компьютере со следующей минимальной конфигурацией:</w:t>
      </w:r>
    </w:p>
    <w:p>
      <w:pPr>
        <w:pStyle w:val="Compact"/>
        <w:numPr>
          <w:ilvl w:val="0"/>
          <w:numId w:val="1001"/>
        </w:numPr>
      </w:pPr>
      <w:r>
        <w:t xml:space="preserve">IBM-совместимый компьютер с процессором 8086 и выше;</w:t>
      </w:r>
    </w:p>
    <w:p>
      <w:pPr>
        <w:pStyle w:val="Compact"/>
        <w:numPr>
          <w:ilvl w:val="0"/>
          <w:numId w:val="1001"/>
        </w:numPr>
      </w:pPr>
      <w:r>
        <w:t xml:space="preserve">Не менее 3 Кбайт свободной оперативной памяти;</w:t>
      </w:r>
    </w:p>
    <w:p>
      <w:pPr>
        <w:pStyle w:val="Compact"/>
        <w:numPr>
          <w:ilvl w:val="0"/>
          <w:numId w:val="1001"/>
        </w:numPr>
      </w:pPr>
      <w:r>
        <w:t xml:space="preserve">VGA-совместимый видеоадаптер и монитор;</w:t>
      </w:r>
    </w:p>
    <w:p>
      <w:pPr>
        <w:pStyle w:val="Compact"/>
        <w:numPr>
          <w:ilvl w:val="0"/>
          <w:numId w:val="1001"/>
        </w:numPr>
      </w:pPr>
      <w:r>
        <w:t xml:space="preserve">Не менее 3 Кбайт свободного дискового пространства;</w:t>
      </w:r>
    </w:p>
    <w:p>
      <w:pPr>
        <w:pStyle w:val="Compact"/>
        <w:numPr>
          <w:ilvl w:val="0"/>
          <w:numId w:val="1001"/>
        </w:numPr>
      </w:pPr>
      <w:r>
        <w:t xml:space="preserve">Стандартная PC-клавиатура.</w:t>
      </w:r>
    </w:p>
    <w:bookmarkEnd w:id="9"/>
    <w:bookmarkStart w:id="10" w:name="требования-к-программному-обеспечению"/>
    <w:p>
      <w:pPr>
        <w:pStyle w:val="Heading1"/>
      </w:pPr>
      <w:r>
        <w:t xml:space="preserve">3. Требования к программному обеспечению</w:t>
      </w:r>
    </w:p>
    <w:p>
      <w:pPr>
        <w:pStyle w:val="FirstParagraph"/>
      </w:pPr>
      <w:r>
        <w:t xml:space="preserve">Для работы программы необходимо наличие установленной ОС MS DOS версии 5.0 или выше. При наличии эмулятора DOSBox 0.74 и выше возможен запуск программы под операционными системами семейства Windows (Windows XP, Windows 7, Windows 10, Windows 11) и macOS.</w:t>
      </w:r>
    </w:p>
    <w:bookmarkEnd w:id="10"/>
    <w:bookmarkStart w:id="11" w:name="состав-программного-продукта"/>
    <w:p>
      <w:pPr>
        <w:pStyle w:val="Heading1"/>
      </w:pPr>
      <w:r>
        <w:t xml:space="preserve">4. Состав программного продукта</w:t>
      </w:r>
    </w:p>
    <w:p>
      <w:pPr>
        <w:pStyle w:val="FirstParagraph"/>
      </w:pPr>
      <w:r>
        <w:t xml:space="preserve">В состав данного программного продукта входит один файл — сама резидентная программа</w:t>
      </w:r>
      <w:r>
        <w:t xml:space="preserve"> </w:t>
      </w:r>
      <w:r>
        <w:rPr>
          <w:rStyle w:val="VerbatimChar"/>
        </w:rPr>
        <w:t xml:space="preserve">tsr.com</w:t>
      </w:r>
      <w:r>
        <w:t xml:space="preserve">.</w:t>
      </w:r>
    </w:p>
    <w:bookmarkEnd w:id="11"/>
    <w:bookmarkStart w:id="12" w:name="установка-продукта"/>
    <w:p>
      <w:pPr>
        <w:pStyle w:val="Heading1"/>
      </w:pPr>
      <w:r>
        <w:t xml:space="preserve">5. Установка продукта</w:t>
      </w:r>
    </w:p>
    <w:p>
      <w:pPr>
        <w:pStyle w:val="FirstParagraph"/>
      </w:pPr>
      <w:r>
        <w:t xml:space="preserve">Для работы с программой необходимо скопировать с носителя на целевой компьютер файл</w:t>
      </w:r>
      <w:r>
        <w:t xml:space="preserve"> </w:t>
      </w:r>
      <w:r>
        <w:rPr>
          <w:rStyle w:val="VerbatimChar"/>
        </w:rPr>
        <w:t xml:space="preserve">tsr.com</w:t>
      </w:r>
      <w:r>
        <w:t xml:space="preserve">. Если предполагается запуск программы из ОС семейства Windows, необходимо предварительно установить эмулятор DOSBox (</w:t>
      </w:r>
      <w:r>
        <w:rPr>
          <w:rStyle w:val="VerbatimChar"/>
        </w:rPr>
        <w:t xml:space="preserve">http://www.dosbox.com</w:t>
      </w:r>
      <w:r>
        <w:t xml:space="preserve">).</w:t>
      </w:r>
    </w:p>
    <w:bookmarkEnd w:id="12"/>
    <w:bookmarkStart w:id="13" w:name="удаление-продукта"/>
    <w:p>
      <w:pPr>
        <w:pStyle w:val="Heading1"/>
      </w:pPr>
      <w:r>
        <w:t xml:space="preserve">6. Удаление продукта</w:t>
      </w:r>
    </w:p>
    <w:p>
      <w:pPr>
        <w:pStyle w:val="FirstParagraph"/>
      </w:pPr>
      <w:r>
        <w:t xml:space="preserve">Для удаления продукта необходимо выгрузить резидентную программу из памяти (если она запущена в данный момент) повторным запуском</w:t>
      </w:r>
      <w:r>
        <w:t xml:space="preserve"> </w:t>
      </w:r>
      <w:r>
        <w:rPr>
          <w:rStyle w:val="VerbatimChar"/>
        </w:rPr>
        <w:t xml:space="preserve">tsr.com</w:t>
      </w:r>
      <w:r>
        <w:t xml:space="preserve"> </w:t>
      </w:r>
      <w:r>
        <w:t xml:space="preserve">без параметров, перейти в директорию, куда был установлен продукт, и удалить файл</w:t>
      </w:r>
      <w:r>
        <w:t xml:space="preserve"> </w:t>
      </w:r>
      <w:r>
        <w:rPr>
          <w:rStyle w:val="VerbatimChar"/>
        </w:rPr>
        <w:t xml:space="preserve">tsr.com</w:t>
      </w:r>
      <w:r>
        <w:t xml:space="preserve">.</w:t>
      </w:r>
    </w:p>
    <w:bookmarkEnd w:id="13"/>
    <w:bookmarkStart w:id="14" w:name="характеристики-системы"/>
    <w:p>
      <w:pPr>
        <w:pStyle w:val="Heading1"/>
      </w:pPr>
      <w:r>
        <w:t xml:space="preserve">7. Характеристики системы</w:t>
      </w:r>
    </w:p>
    <w:p>
      <w:pPr>
        <w:pStyle w:val="FirstParagraph"/>
      </w:pPr>
      <w:r>
        <w:t xml:space="preserve">Исходный код, язык: Assembler.</w:t>
      </w:r>
    </w:p>
    <w:p>
      <w:pPr>
        <w:pStyle w:val="BodyText"/>
      </w:pPr>
      <w:r>
        <w:t xml:space="preserve">Компилятор: Turbo Assembler Version 3.1 Copyright (c) 1988, 1992 Borland International.</w:t>
      </w:r>
    </w:p>
    <w:p>
      <w:pPr>
        <w:pStyle w:val="BodyText"/>
      </w:pPr>
      <w:r>
        <w:t xml:space="preserve">Сборщик: Turbo Link Version 5.1 Copyright (c) 1992 Borland International.</w:t>
      </w:r>
    </w:p>
    <w:p>
      <w:pPr>
        <w:pStyle w:val="BodyText"/>
      </w:pPr>
      <w:r>
        <w:t xml:space="preserve">Отладчик: Turbo Debugger Version 3.1 Copyright (c) 1988, 1992 Borland International.</w:t>
      </w:r>
    </w:p>
    <w:p>
      <w:pPr>
        <w:pStyle w:val="BodyText"/>
      </w:pPr>
      <w:r>
        <w:t xml:space="preserve">Исполняемый код: файл</w:t>
      </w:r>
      <w:r>
        <w:t xml:space="preserve"> </w:t>
      </w:r>
      <w:r>
        <w:rPr>
          <w:rStyle w:val="VerbatimChar"/>
        </w:rPr>
        <w:t xml:space="preserve">tsr.com</w:t>
      </w:r>
      <w:r>
        <w:t xml:space="preserve"> </w:t>
      </w:r>
      <w:r>
        <w:t xml:space="preserve">(2127 байт).</w:t>
      </w:r>
    </w:p>
    <w:bookmarkEnd w:id="14"/>
    <w:bookmarkStart w:id="15" w:name="подготовка-к-работе-с-программой"/>
    <w:p>
      <w:pPr>
        <w:pStyle w:val="Heading1"/>
      </w:pPr>
      <w:r>
        <w:t xml:space="preserve">8. Подготовка к работе с программой</w:t>
      </w:r>
    </w:p>
    <w:p>
      <w:pPr>
        <w:pStyle w:val="FirstParagraph"/>
      </w:pPr>
      <w:r>
        <w:t xml:space="preserve">Подготовка к работе с программой состоит из следующих действий.</w:t>
      </w:r>
    </w:p>
    <w:p>
      <w:pPr>
        <w:pStyle w:val="BodyText"/>
      </w:pPr>
      <w:r>
        <w:t xml:space="preserve">Проверка установленной операционной системы. Если установлена ОС MS DOS версии ниже чем 5.0, необходимо установить более новую версию или ОС семейства Windows с эмулятором DOSBox.</w:t>
      </w:r>
    </w:p>
    <w:p>
      <w:pPr>
        <w:pStyle w:val="BodyText"/>
      </w:pPr>
      <w:r>
        <w:t xml:space="preserve">В зависимости от установленной системы алгоритм подготовки может варьироваться.</w:t>
      </w:r>
    </w:p>
    <w:p>
      <w:pPr>
        <w:pStyle w:val="BodyText"/>
      </w:pPr>
      <w:r>
        <w:t xml:space="preserve">Если установлена ОС MS DOS версии 5.0 и выше: запустить ОС, установить продукт, перейти в директорию с установленным продуктом (если программа находится на диске C в папке WORK выполнить:</w:t>
      </w:r>
      <w:r>
        <w:t xml:space="preserve"> </w:t>
      </w:r>
      <w:r>
        <w:rPr>
          <w:rStyle w:val="VerbatimChar"/>
        </w:rPr>
        <w:t xml:space="preserve">c:</w:t>
      </w:r>
      <w:r>
        <w:t xml:space="preserve"> </w:t>
      </w:r>
      <w:r>
        <w:t xml:space="preserve">[Enter];</w:t>
      </w:r>
      <w:r>
        <w:t xml:space="preserve"> </w:t>
      </w:r>
      <w:r>
        <w:rPr>
          <w:rStyle w:val="VerbatimChar"/>
        </w:rPr>
        <w:t xml:space="preserve">cd work</w:t>
      </w:r>
      <w:r>
        <w:t xml:space="preserve"> </w:t>
      </w:r>
      <w:r>
        <w:t xml:space="preserve">[Enter]).</w:t>
      </w:r>
    </w:p>
    <w:p>
      <w:pPr>
        <w:pStyle w:val="BodyText"/>
      </w:pPr>
      <w:r>
        <w:t xml:space="preserve">Если установлена ОС Windows XP и выше: запустить ОС, установить эмулятор DOSBox, установить продукт, открыть эмулятор DOSBox, примонтировать директорию с установленным продуктом командой</w:t>
      </w:r>
      <w:r>
        <w:t xml:space="preserve"> </w:t>
      </w:r>
      <w:r>
        <w:rPr>
          <w:rStyle w:val="VerbatimChar"/>
        </w:rPr>
        <w:t xml:space="preserve">mount D c:\work</w:t>
      </w:r>
      <w:r>
        <w:t xml:space="preserve"> </w:t>
      </w:r>
      <w:r>
        <w:t xml:space="preserve">[Enter], перейти на смонтированный диск командой</w:t>
      </w:r>
      <w:r>
        <w:t xml:space="preserve"> </w:t>
      </w:r>
      <w:r>
        <w:rPr>
          <w:rStyle w:val="VerbatimChar"/>
        </w:rPr>
        <w:t xml:space="preserve">D:</w:t>
      </w:r>
      <w:r>
        <w:t xml:space="preserve"> </w:t>
      </w:r>
      <w:r>
        <w:t xml:space="preserve">[Enter].</w:t>
      </w:r>
    </w:p>
    <w:bookmarkEnd w:id="15"/>
    <w:bookmarkStart w:id="16" w:name="запуск-программы"/>
    <w:p>
      <w:pPr>
        <w:pStyle w:val="Heading1"/>
      </w:pPr>
      <w:r>
        <w:t xml:space="preserve">9. Запуск программы</w:t>
      </w:r>
    </w:p>
    <w:p>
      <w:pPr>
        <w:pStyle w:val="FirstParagraph"/>
      </w:pPr>
      <w:r>
        <w:t xml:space="preserve">Запуск программы осуществляется командой</w:t>
      </w:r>
      <w:r>
        <w:t xml:space="preserve"> </w:t>
      </w:r>
      <w:r>
        <w:rPr>
          <w:rStyle w:val="VerbatimChar"/>
        </w:rPr>
        <w:t xml:space="preserve">tsr.com</w:t>
      </w:r>
      <w:r>
        <w:t xml:space="preserve">. Для этого нужно перейти в директорию с программой или прописать путь этой директории в переменную окружения PATH. После запуска появится сообщение «Резидент загружен!», если до запуска резидент отсутствовал в памяти, или «Резидент выгружен», если резидент уже находится в памяти и выполняется его выгрузка. В случае неверного ввода ключей будет выведено сообщение «Ошибка параметров командной строки».</w:t>
      </w:r>
    </w:p>
    <w:bookmarkEnd w:id="16"/>
    <w:bookmarkStart w:id="17" w:name="завершение-работы-программы"/>
    <w:p>
      <w:pPr>
        <w:pStyle w:val="Heading1"/>
      </w:pPr>
      <w:r>
        <w:t xml:space="preserve">10. Завершение работы программы</w:t>
      </w:r>
    </w:p>
    <w:p>
      <w:pPr>
        <w:pStyle w:val="FirstParagraph"/>
      </w:pPr>
      <w:r>
        <w:t xml:space="preserve">Выгрузка резидента из памяти осуществляется повторным запуском программы (</w:t>
      </w:r>
      <w:r>
        <w:rPr>
          <w:rStyle w:val="VerbatimChar"/>
        </w:rPr>
        <w:t xml:space="preserve">tsr.com</w:t>
      </w:r>
      <w:r>
        <w:t xml:space="preserve">) без параметров. В случае успешной выгрузки в командной строке выдаётся сообщение «Резидент выгружен».</w:t>
      </w:r>
    </w:p>
    <w:bookmarkEnd w:id="17"/>
    <w:sectPr>
      <w:footnotePr>
        <w:numRestart w:val="eachSect"/>
      </w:footnotePr>
      <w:pgSz w:h="16838" w:w="11906"/>
      <w:pgMar w:bottom="1134" w:footer="708" w:gutter="0" w:header="708" w:left="1701" w:right="850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bidi="ar-SA" w:eastAsia="ru-RU" w:val="ru-RU"/>
      </w:rPr>
    </w:rPrDefault>
    <w:pPrDefault>
      <w:pPr>
        <w:spacing w:after="0" w:line="360" w:lineRule="auto"/>
        <w:ind w:firstLine="709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ind w:firstLine="709"/>
      <w:jc w:val="both"/>
    </w:pPr>
    <w:rPr>
      <w:rFonts w:ascii="Times New Roman" w:cs="Times New Roman" w:hAnsi="Times New Roman"/>
      <w:sz w:val="28"/>
    </w:rPr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line="240" w:lineRule="auto"/>
      <w:ind w:firstLine="0"/>
    </w:pPr>
  </w:style>
  <w:style w:styleId="Title" w:type="paragraph">
    <w:name w:val="Title"/>
    <w:basedOn w:val="Normal"/>
    <w:next w:val="BodyText"/>
    <w:qFormat/>
    <w:pPr>
      <w:spacing w:after="240" w:before="240" w:line="360" w:lineRule="auto"/>
      <w:ind w:firstLine="0"/>
      <w:jc w:val="center"/>
    </w:pPr>
    <w:rPr>
      <w:rFonts w:ascii="Times New Roman" w:hAnsi="Times New Roman"/>
      <w:b/>
      <w:sz w:val="32"/>
    </w:rPr>
  </w:style>
  <w:style w:styleId="Subtitle" w:type="paragraph">
    <w:name w:val="Subtitle"/>
    <w:basedOn w:val="Normal"/>
    <w:next w:val="BodyText"/>
    <w:qFormat/>
    <w:pPr>
      <w:spacing w:after="120" w:before="120"/>
      <w:ind w:firstLine="0"/>
      <w:jc w:val="center"/>
    </w:pPr>
    <w:rPr>
      <w:rFonts w:ascii="Times New Roman" w:hAnsi="Times New Roman"/>
      <w:i/>
      <w:sz w:val="28"/>
    </w:rPr>
  </w:style>
  <w:style w:styleId="Author" w:type="paragraph">
    <w:name w:val="Author"/>
    <w:basedOn w:val="Normal"/>
    <w:next w:val="BodyText"/>
    <w:qFormat/>
    <w:pPr>
      <w:ind w:firstLine="0"/>
      <w:jc w:val="center"/>
    </w:pPr>
  </w:style>
  <w:style w:styleId="Date" w:type="paragraph">
    <w:name w:val="Date"/>
    <w:basedOn w:val="Normal"/>
    <w:next w:val="BodyText"/>
    <w:qFormat/>
    <w:pPr>
      <w:ind w:firstLine="0"/>
      <w:jc w:val="center"/>
    </w:pPr>
  </w:style>
  <w:style w:styleId="Heading1" w:type="paragraph">
    <w:name w:val="heading 1"/>
    <w:basedOn w:val="Normal"/>
    <w:next w:val="Normal"/>
    <w:uiPriority w:val="9"/>
    <w:qFormat/>
    <w:pPr>
      <w:keepNext/>
      <w:keepLines/>
      <w:spacing w:after="240" w:before="480" w:line="360" w:lineRule="auto"/>
      <w:ind w:firstLine="0"/>
      <w:jc w:val="center"/>
      <w:outlineLvl w:val="0"/>
    </w:pPr>
    <w:rPr>
      <w:rFonts w:ascii="Times New Roman" w:hAnsi="Times New Roman"/>
      <w:b/>
      <w:caps/>
      <w:sz w:val="28"/>
    </w:rPr>
  </w:style>
  <w:style w:styleId="Heading2" w:type="paragraph">
    <w:name w:val="heading 2"/>
    <w:basedOn w:val="Normal"/>
    <w:next w:val="Normal"/>
    <w:uiPriority w:val="9"/>
    <w:qFormat/>
    <w:pPr>
      <w:keepNext/>
      <w:keepLines/>
      <w:spacing w:after="180" w:before="360" w:line="360" w:lineRule="auto"/>
      <w:ind w:firstLine="0"/>
      <w:jc w:val="left"/>
      <w:outlineLvl w:val="1"/>
    </w:pPr>
    <w:rPr>
      <w:rFonts w:ascii="Times New Roman" w:hAnsi="Times New Roman"/>
      <w:b/>
      <w:sz w:val="28"/>
    </w:rPr>
  </w:style>
  <w:style w:styleId="Heading3" w:type="paragraph">
    <w:name w:val="heading 3"/>
    <w:basedOn w:val="Normal"/>
    <w:next w:val="Normal"/>
    <w:uiPriority w:val="9"/>
    <w:qFormat/>
    <w:pPr>
      <w:keepNext/>
      <w:keepLines/>
      <w:spacing w:after="120" w:before="240" w:line="360" w:lineRule="auto"/>
      <w:ind w:firstLine="0"/>
      <w:outlineLvl w:val="2"/>
    </w:pPr>
    <w:rPr>
      <w:rFonts w:ascii="Times New Roman" w:hAnsi="Times New Roman"/>
      <w:b/>
      <w:i/>
      <w:sz w:val="28"/>
    </w:rPr>
  </w:style>
  <w:style w:styleId="Heading4" w:type="paragraph">
    <w:name w:val="heading 4"/>
    <w:basedOn w:val="Normal"/>
    <w:next w:val="Normal"/>
    <w:qFormat/>
    <w:pPr>
      <w:keepNext/>
      <w:keepLines/>
      <w:spacing w:after="80" w:before="200"/>
      <w:ind w:firstLine="0"/>
      <w:outlineLvl w:val="3"/>
    </w:pPr>
    <w:rPr>
      <w:rFonts w:ascii="Times New Roman" w:hAnsi="Times New Roman"/>
      <w:b/>
      <w:sz w:val="28"/>
    </w:rPr>
  </w:style>
  <w:style w:customStyle="1" w:styleId="TOC1" w:type="paragraph">
    <w:name w:val="TOC1"/>
    <w:basedOn w:val="Normal"/>
    <w:next w:val="Normal"/>
    <w:qFormat/>
    <w:pPr>
      <w:tabs>
        <w:tab w:leader="dot" w:pos="9355" w:val="right"/>
      </w:tabs>
      <w:spacing w:after="120" w:line="288" w:lineRule="auto"/>
      <w:ind w:firstLine="0"/>
      <w:jc w:val="left"/>
    </w:pPr>
  </w:style>
  <w:style w:customStyle="1" w:styleId="PageBreakBefore" w:type="paragraph">
    <w:name w:val="PageBreakBefore"/>
    <w:basedOn w:val="Heading1"/>
    <w:next w:val="Normal"/>
    <w:qFormat/>
    <w:pPr>
      <w:pageBreakBefore/>
    </w:pPr>
  </w:style>
  <w:style w:customStyle="1" w:styleId="TOC2" w:type="paragraph">
    <w:name w:val="TOC2"/>
    <w:basedOn w:val="Normal"/>
    <w:next w:val="Normal"/>
    <w:qFormat/>
    <w:pPr>
      <w:tabs>
        <w:tab w:leader="dot" w:pos="9355" w:val="right"/>
      </w:tabs>
      <w:spacing w:after="120" w:line="288" w:lineRule="auto"/>
      <w:ind w:firstLine="0" w:left="567"/>
      <w:jc w:val="left"/>
    </w:pPr>
  </w:style>
  <w:style w:default="1" w:styleId="DefaultParagraphFont" w:type="character">
    <w:name w:val="Default Paragraph Font"/>
    <w:uiPriority w:val="1"/>
    <w:semiHidden/>
    <w:unhideWhenUsed/>
  </w:style>
  <w:style w:customStyle="1" w:styleId="VerbatimChar" w:type="character">
    <w:name w:val="Verbatim Char"/>
    <w:basedOn w:val="DefaultParagraphFont"/>
    <w:rPr>
      <w:rFonts w:ascii="Courier New" w:cs="Courier New" w:hAnsi="Courier New"/>
      <w:sz w:val="18"/>
    </w:rPr>
  </w:style>
  <w:style w:customStyle="1" w:styleId="SourceCode" w:type="paragraph">
    <w:name w:val="Source Code"/>
    <w:basedOn w:val="Normal"/>
    <w:qFormat/>
    <w:pPr>
      <w:spacing w:line="240" w:lineRule="auto"/>
      <w:ind w:firstLine="0"/>
      <w:jc w:val="left"/>
    </w:pPr>
    <w:rPr>
      <w:rFonts w:ascii="Courier New" w:cs="Courier New" w:hAnsi="Courier New"/>
      <w:sz w:val="18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uiPriority w:val="59"/>
    <w:rPr>
      <w:rFonts w:ascii="Times New Roman" w:hAnsi="Times New Roman"/>
      <w:sz w:val="24"/>
    </w:rPr>
    <w:pPr>
      <w:spacing w:line="276" w:lineRule="auto"/>
      <w:ind w:firstLine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Caption" w:type="paragraph">
    <w:name w:val="caption"/>
    <w:basedOn w:val="Normal"/>
    <w:next w:val="Normal"/>
    <w:qFormat/>
    <w:pPr>
      <w:spacing w:after="120" w:before="120"/>
      <w:ind w:firstLine="0"/>
      <w:jc w:val="center"/>
    </w:pPr>
    <w:rPr>
      <w:i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2026-05-12T10:15:58Z</dcterms:created>
  <dcterms:modified xsi:type="dcterms:W3CDTF">2026-05-12T10:15:58Z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