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C7681">
      <w:pPr>
        <w:spacing w:before="100" w:beforeAutospacing="1" w:after="100" w:afterAutospacing="1"/>
        <w:jc w:val="center"/>
        <w:outlineLvl w:val="0"/>
        <w:rPr>
          <w:rFonts w:ascii="Segoe UI" w:hAnsi="Segoe UI" w:eastAsia="宋体" w:cs="Segoe UI"/>
          <w:b/>
          <w:bCs/>
          <w:color w:val="404040"/>
          <w:kern w:val="36"/>
          <w:sz w:val="48"/>
          <w:szCs w:val="48"/>
          <w:lang w:eastAsia="zh-CN"/>
        </w:rPr>
      </w:pPr>
      <w:bookmarkStart w:id="0" w:name="机器学习实验指导手册"/>
      <w:r>
        <w:rPr>
          <w:rFonts w:ascii="Segoe UI" w:hAnsi="Segoe UI" w:eastAsia="宋体" w:cs="Segoe UI"/>
          <w:b/>
          <w:bCs/>
          <w:color w:val="404040"/>
          <w:kern w:val="36"/>
          <w:sz w:val="48"/>
          <w:szCs w:val="48"/>
          <w:lang w:eastAsia="zh-CN"/>
        </w:rPr>
        <w:t>机器学习实验指导手册</w:t>
      </w:r>
    </w:p>
    <w:p w14:paraId="106AE225">
      <w:pPr>
        <w:spacing w:before="100" w:beforeAutospacing="1" w:after="100" w:afterAutospacing="1"/>
        <w:jc w:val="center"/>
        <w:outlineLvl w:val="0"/>
        <w:rPr>
          <w:rFonts w:ascii="Segoe UI" w:hAnsi="Segoe UI" w:eastAsia="宋体" w:cs="Segoe UI"/>
          <w:b/>
          <w:bCs/>
          <w:color w:val="404040"/>
          <w:kern w:val="36"/>
          <w:sz w:val="48"/>
          <w:szCs w:val="48"/>
          <w:lang w:eastAsia="zh-CN"/>
        </w:rPr>
      </w:pPr>
      <w:r>
        <w:rPr>
          <w:rFonts w:ascii="Segoe UI" w:hAnsi="Segoe UI" w:eastAsia="宋体" w:cs="Segoe UI"/>
          <w:b/>
          <w:bCs/>
          <w:color w:val="404040"/>
          <w:kern w:val="36"/>
          <w:sz w:val="48"/>
          <w:szCs w:val="48"/>
          <w:lang w:eastAsia="zh-CN"/>
        </w:rPr>
        <w:t>支持向量机（SVM）模型</w:t>
      </w:r>
    </w:p>
    <w:p w14:paraId="6F727085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45386AD">
      <w:pPr>
        <w:spacing w:before="100" w:beforeAutospacing="1" w:after="100" w:afterAutospacing="1"/>
        <w:outlineLvl w:val="1"/>
        <w:rPr>
          <w:rFonts w:ascii="Segoe UI" w:hAnsi="Segoe UI" w:eastAsia="宋体" w:cs="Segoe UI"/>
          <w:b/>
          <w:bCs/>
          <w:color w:val="404040"/>
          <w:sz w:val="36"/>
          <w:szCs w:val="36"/>
          <w:lang w:eastAsia="zh-CN"/>
        </w:rPr>
      </w:pPr>
      <w:bookmarkStart w:id="1" w:name="一实验目的"/>
      <w:r>
        <w:rPr>
          <w:rFonts w:ascii="Segoe UI" w:hAnsi="Segoe UI" w:eastAsia="宋体" w:cs="Segoe UI"/>
          <w:b/>
          <w:bCs/>
          <w:color w:val="404040"/>
          <w:sz w:val="36"/>
          <w:szCs w:val="36"/>
          <w:lang w:eastAsia="zh-CN"/>
        </w:rPr>
        <w:t>一、实验目的</w:t>
      </w:r>
    </w:p>
    <w:p w14:paraId="6362572A">
      <w:pPr>
        <w:pStyle w:val="26"/>
        <w:numPr>
          <w:ilvl w:val="0"/>
          <w:numId w:val="1"/>
        </w:numPr>
        <w:rPr>
          <w:lang w:eastAsia="zh-CN"/>
        </w:rPr>
      </w:pPr>
      <w:r>
        <w:rPr>
          <w:b/>
          <w:bCs/>
          <w:lang w:eastAsia="zh-CN"/>
        </w:rPr>
        <w:t>掌握支持向量机（SVM）的数学原理与分类思想</w:t>
      </w:r>
    </w:p>
    <w:p w14:paraId="2A1367B8">
      <w:pPr>
        <w:pStyle w:val="26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理解间隔最大化、核函数、软间隔等核心概念。</w:t>
      </w:r>
    </w:p>
    <w:p w14:paraId="55392224">
      <w:pPr>
        <w:pStyle w:val="26"/>
        <w:numPr>
          <w:ilvl w:val="0"/>
          <w:numId w:val="1"/>
        </w:numPr>
        <w:rPr>
          <w:lang w:eastAsia="zh-CN"/>
        </w:rPr>
      </w:pPr>
      <w:r>
        <w:rPr>
          <w:b/>
          <w:bCs/>
          <w:lang w:eastAsia="zh-CN"/>
        </w:rPr>
        <w:t>熟悉SVM的对偶问题与优化方法</w:t>
      </w:r>
    </w:p>
    <w:p w14:paraId="2E28061E">
      <w:pPr>
        <w:pStyle w:val="26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了解拉格朗日乘数法在SVM中的应用。</w:t>
      </w:r>
    </w:p>
    <w:p w14:paraId="1B1CEB01">
      <w:pPr>
        <w:pStyle w:val="26"/>
        <w:numPr>
          <w:ilvl w:val="0"/>
          <w:numId w:val="1"/>
        </w:numPr>
      </w:pPr>
      <w:r>
        <w:rPr>
          <w:b/>
          <w:bCs/>
        </w:rPr>
        <w:t>学会使用scikit-learn工具包实现SVM模型</w:t>
      </w:r>
    </w:p>
    <w:p w14:paraId="46B17A39">
      <w:pPr>
        <w:pStyle w:val="26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掌握数据预处理、模型训练与评估的完整流程。</w:t>
      </w:r>
    </w:p>
    <w:p w14:paraId="50BFB094">
      <w:pPr>
        <w:pStyle w:val="26"/>
        <w:numPr>
          <w:ilvl w:val="0"/>
          <w:numId w:val="1"/>
        </w:numPr>
        <w:rPr>
          <w:lang w:eastAsia="zh-CN"/>
        </w:rPr>
      </w:pPr>
      <w:r>
        <w:rPr>
          <w:b/>
          <w:bCs/>
          <w:lang w:eastAsia="zh-CN"/>
        </w:rPr>
        <w:t>分析不同核函数与超参数对模型性能的影响</w:t>
      </w:r>
    </w:p>
    <w:p w14:paraId="64E5EC24">
      <w:pPr>
        <w:pStyle w:val="26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通过实验对比线性核、多项式核和高斯核的适用场景。</w:t>
      </w:r>
    </w:p>
    <w:p w14:paraId="63A0FAC4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1C11B4E">
      <w:pPr>
        <w:spacing w:before="100" w:beforeAutospacing="1" w:after="100" w:afterAutospacing="1"/>
        <w:outlineLvl w:val="1"/>
        <w:rPr>
          <w:rFonts w:ascii="Segoe UI" w:hAnsi="Segoe UI" w:eastAsia="宋体" w:cs="Segoe UI"/>
          <w:b/>
          <w:bCs/>
          <w:color w:val="404040"/>
          <w:sz w:val="36"/>
          <w:szCs w:val="36"/>
          <w:lang w:eastAsia="zh-CN"/>
        </w:rPr>
      </w:pPr>
      <w:bookmarkStart w:id="2" w:name="二实验原理"/>
      <w:r>
        <w:rPr>
          <w:rFonts w:ascii="Segoe UI" w:hAnsi="Segoe UI" w:eastAsia="宋体" w:cs="Segoe UI"/>
          <w:b/>
          <w:bCs/>
          <w:color w:val="404040"/>
          <w:sz w:val="36"/>
          <w:szCs w:val="36"/>
          <w:lang w:eastAsia="zh-CN"/>
        </w:rPr>
        <w:t>二、实验原理</w:t>
      </w:r>
    </w:p>
    <w:p w14:paraId="58413A9A">
      <w:pPr>
        <w:pStyle w:val="5"/>
        <w:rPr>
          <w:sz w:val="28"/>
          <w:szCs w:val="28"/>
          <w:lang w:eastAsia="zh-CN"/>
        </w:rPr>
      </w:pPr>
      <w:bookmarkStart w:id="3" w:name="数学模型"/>
      <w:r>
        <w:rPr>
          <w:sz w:val="28"/>
          <w:szCs w:val="28"/>
          <w:lang w:eastAsia="zh-CN"/>
        </w:rPr>
        <w:t>1. 数学模型</w:t>
      </w:r>
    </w:p>
    <w:p w14:paraId="4677D7C8">
      <w:pPr>
        <w:pStyle w:val="25"/>
        <w:rPr>
          <w:lang w:eastAsia="zh-CN"/>
        </w:rPr>
      </w:pPr>
      <w:r>
        <w:rPr>
          <w:b/>
          <w:bCs/>
          <w:lang w:eastAsia="zh-CN"/>
        </w:rPr>
        <w:t>线性可分SVM</w:t>
      </w:r>
      <w:r>
        <w:rPr>
          <w:lang w:eastAsia="zh-CN"/>
        </w:rPr>
        <w:t>：</w:t>
      </w:r>
    </w:p>
    <w:p w14:paraId="6DFFF748">
      <w:pPr>
        <w:pStyle w:val="25"/>
        <w:rPr>
          <w:lang w:eastAsia="zh-CN"/>
        </w:rPr>
      </w:pPr>
      <w:r>
        <w:rPr>
          <w:lang w:eastAsia="zh-CN"/>
        </w:rPr>
        <w:t>目标函数为最大化分类间隔：</w:t>
      </w:r>
    </w:p>
    <w:p w14:paraId="652BFF67">
      <w:pPr>
        <w:pStyle w:val="3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nor/>
                  <m:sty m:val="p"/>
                </m:rPr>
                <m:t>min</m:t>
              </m:r>
              <m:ctrlPr>
                <w:rPr>
                  <w:rFonts w:ascii="Cambria Math" w:hAnsi="Cambria Math"/>
                </w:rPr>
              </m:ctrlPr>
            </m:e>
            <m:lim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</w:rPr>
              </m:ctrlP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∥</m:t>
          </m:r>
          <m:r>
            <m:rPr>
              <m:sty m:val="b"/>
            </m:rPr>
            <w:rPr>
              <w:rFonts w:ascii="Cambria Math" w:hAnsi="Cambria Math"/>
            </w:rPr>
            <m:t>w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 </m:t>
          </m:r>
        </m:oMath>
      </m:oMathPara>
    </w:p>
    <w:p w14:paraId="095406D2">
      <w:pPr>
        <w:pStyle w:val="3"/>
      </w:pPr>
      <m:oMathPara>
        <m:oMathParaPr>
          <m:jc m:val="center"/>
        </m:oMathParaPr>
        <m:oMath>
          <m:r>
            <m:rPr>
              <m:nor/>
              <m:sty m:val="p"/>
            </m:rPr>
            <m:t>s.t.</m:t>
          </m:r>
          <m:r>
            <m:rPr/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)≥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,∀</m:t>
          </m:r>
          <m:r>
            <m:rPr/>
            <w:rPr>
              <w:rFonts w:ascii="Cambria Math" w:hAnsi="Cambria Math"/>
            </w:rPr>
            <m:t>i</m:t>
          </m:r>
        </m:oMath>
      </m:oMathPara>
    </w:p>
    <w:p w14:paraId="5DBCFDC0">
      <w:pPr>
        <w:pStyle w:val="25"/>
        <w:rPr>
          <w:lang w:eastAsia="zh-CN"/>
        </w:rPr>
      </w:pPr>
      <w:r>
        <w:rPr>
          <w:b/>
          <w:bCs/>
          <w:lang w:eastAsia="zh-CN"/>
        </w:rPr>
        <w:t>软间隔SVM</w:t>
      </w:r>
      <w:r>
        <w:rPr>
          <w:lang w:eastAsia="zh-CN"/>
        </w:rPr>
        <w:t>（处理非线性可分数据）：</w:t>
      </w:r>
    </w:p>
    <w:p w14:paraId="163803D6">
      <w:pPr>
        <w:pStyle w:val="25"/>
        <w:rPr>
          <w:lang w:eastAsia="zh-CN"/>
        </w:rPr>
      </w:pPr>
      <w:r>
        <w:rPr>
          <w:lang w:eastAsia="zh-CN"/>
        </w:rPr>
        <w:t xml:space="preserve">引入松弛变量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ξ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和正则化参数 </w:t>
      </w:r>
      <m:oMath>
        <m:r>
          <m:rPr/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>：</w:t>
      </w:r>
    </w:p>
    <w:p w14:paraId="285D5FC6">
      <w:pPr>
        <w:pStyle w:val="3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nor/>
                  <m:sty m:val="p"/>
                </m:rPr>
                <m:t>min</m:t>
              </m:r>
              <m:ctrlPr>
                <w:rPr>
                  <w:rFonts w:ascii="Cambria Math" w:hAnsi="Cambria Math"/>
                </w:rPr>
              </m:ctrlPr>
            </m:e>
            <m:lim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ξ</m:t>
              </m:r>
              <m:ctrlPr>
                <w:rPr>
                  <w:rFonts w:ascii="Cambria Math" w:hAnsi="Cambria Math"/>
                </w:rPr>
              </m:ctrlP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∥</m:t>
          </m:r>
          <m:r>
            <m:rPr>
              <m:sty m:val="b"/>
            </m:rPr>
            <w:rPr>
              <w:rFonts w:ascii="Cambria Math" w:hAnsi="Cambria Math"/>
            </w:rPr>
            <m:t>w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C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ξ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</m:nary>
          <m:r>
            <m:rPr/>
            <w:rPr>
              <w:rFonts w:ascii="Cambria Math" w:hAnsi="Cambria Math"/>
            </w:rPr>
            <m:t> </m:t>
          </m:r>
        </m:oMath>
      </m:oMathPara>
    </w:p>
    <w:p w14:paraId="5C57F8E2">
      <w:pPr>
        <w:pStyle w:val="3"/>
      </w:pPr>
      <m:oMathPara>
        <m:oMathParaPr>
          <m:jc m:val="center"/>
        </m:oMathParaPr>
        <m:oMath>
          <m:r>
            <m:rPr>
              <m:nor/>
              <m:sty m:val="p"/>
            </m:rPr>
            <m:t>s.t.</m:t>
          </m:r>
          <m:r>
            <m:rPr/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)≥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ξ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ξ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≥</m:t>
          </m:r>
          <m:r>
            <m:rPr/>
            <w:rPr>
              <w:rFonts w:ascii="Cambria Math" w:hAnsi="Cambria Math"/>
            </w:rPr>
            <m:t>0</m:t>
          </m:r>
        </m:oMath>
      </m:oMathPara>
    </w:p>
    <w:p w14:paraId="6C3D10DF">
      <w:pPr>
        <w:pStyle w:val="5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2</w:t>
      </w:r>
      <w:r>
        <w:rPr>
          <w:sz w:val="28"/>
          <w:szCs w:val="28"/>
          <w:lang w:eastAsia="zh-CN"/>
        </w:rPr>
        <w:t>. 核技巧：</w:t>
      </w:r>
    </w:p>
    <w:p w14:paraId="2A6EAF02">
      <w:pPr>
        <w:pStyle w:val="25"/>
        <w:rPr>
          <w:lang w:eastAsia="zh-CN"/>
        </w:rPr>
      </w:pPr>
      <w:r>
        <w:rPr>
          <w:lang w:eastAsia="zh-CN"/>
        </w:rPr>
        <w:t>将输入空间映射到高维特征空间，核函数定义为：</w:t>
      </w:r>
    </w:p>
    <w:p w14:paraId="770D365E">
      <w:pPr>
        <w:pStyle w:val="3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/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B1E1EFF">
      <w:pPr>
        <w:pStyle w:val="25"/>
        <w:rPr>
          <w:b/>
          <w:bCs/>
          <w:lang w:eastAsia="zh-CN"/>
        </w:rPr>
      </w:pPr>
      <w:r>
        <w:rPr>
          <w:b/>
          <w:bCs/>
          <w:lang w:eastAsia="zh-CN"/>
        </w:rPr>
        <w:t>常用核函数：</w:t>
      </w:r>
    </w:p>
    <w:p w14:paraId="27C0D00C">
      <w:pPr>
        <w:pStyle w:val="25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bCs/>
          <w:lang w:eastAsia="zh-CN"/>
        </w:rPr>
        <w:t>线性核</w:t>
      </w:r>
      <w:r>
        <w:rPr>
          <w:lang w:eastAsia="zh-CN"/>
        </w:rPr>
        <w:t>：</w:t>
      </w:r>
      <m:oMath>
        <m:r>
          <m:rPr/>
          <w:rPr>
            <w:rFonts w:ascii="Cambria Math" w:hAnsi="Cambria Math"/>
            <w:lang w:eastAsia="zh-CN"/>
          </w:rPr>
          <m:t>K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)=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</w:rPr>
            </m:ctrlP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</m:oMath>
    </w:p>
    <w:p w14:paraId="5BD01644">
      <w:pPr>
        <w:pStyle w:val="25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bCs/>
          <w:lang w:eastAsia="zh-CN"/>
        </w:rPr>
        <w:t>多项式核</w:t>
      </w:r>
      <w:r>
        <w:rPr>
          <w:lang w:eastAsia="zh-CN"/>
        </w:rPr>
        <w:t>：</w:t>
      </w:r>
      <m:oMath>
        <m:r>
          <m:rPr/>
          <w:rPr>
            <w:rFonts w:ascii="Cambria Math" w:hAnsi="Cambria Math"/>
            <w:lang w:eastAsia="zh-CN"/>
          </w:rPr>
          <m:t>K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)=(</m:t>
        </m:r>
        <m:r>
          <m:rPr/>
          <w:rPr>
            <w:rFonts w:ascii="Cambria Math" w:hAnsi="Cambria Math"/>
            <w:lang w:eastAsia="zh-CN"/>
          </w:rPr>
          <m:t>γ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</w:rPr>
            </m:ctrlP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m:rPr/>
          <w:rPr>
            <w:rFonts w:ascii="Cambria Math" w:hAnsi="Cambria Math"/>
            <w:lang w:eastAsia="zh-CN"/>
          </w:rPr>
          <m:t>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  <w:lang w:eastAsia="zh-CN"/>
              </w:rPr>
              <m:t>d</m:t>
            </m:r>
            <m:ctrlPr>
              <w:rPr>
                <w:rFonts w:ascii="Cambria Math" w:hAnsi="Cambria Math"/>
              </w:rPr>
            </m:ctrlPr>
          </m:sup>
        </m:sSup>
      </m:oMath>
    </w:p>
    <w:p w14:paraId="5A9C325C">
      <w:pPr>
        <w:pStyle w:val="25"/>
      </w:pPr>
      <w:r>
        <w:t xml:space="preserve">- </w:t>
      </w:r>
      <w:r>
        <w:rPr>
          <w:b/>
          <w:bCs/>
        </w:rPr>
        <w:t>高斯核（RBF）</w:t>
      </w:r>
      <w:r>
        <w:t>：</w:t>
      </w:r>
      <m:oMath>
        <m:r>
          <m:rPr/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  <m:sty m:val="p"/>
          </m:rPr>
          <m:t>exp</m:t>
        </m:r>
        <m:r>
          <m:rPr>
            <m:sty m:val="p"/>
          </m:rPr>
          <w:rPr>
            <w:rFonts w:ascii="Cambria Math" w:hAnsi="Cambria Math"/>
          </w:rPr>
          <m:t>(−</m:t>
        </m:r>
        <m:r>
          <m:rPr/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3544E46A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3"/>
    <w:p w14:paraId="2EFB8D0D">
      <w:pPr>
        <w:spacing w:before="100" w:beforeAutospacing="1" w:after="100" w:afterAutospacing="1"/>
        <w:outlineLvl w:val="1"/>
        <w:rPr>
          <w:rFonts w:ascii="Segoe UI" w:hAnsi="Segoe UI" w:eastAsia="宋体" w:cs="Segoe UI"/>
          <w:b/>
          <w:bCs/>
          <w:color w:val="404040"/>
          <w:sz w:val="36"/>
          <w:szCs w:val="36"/>
          <w:lang w:eastAsia="zh-CN"/>
        </w:rPr>
      </w:pPr>
      <w:bookmarkStart w:id="4" w:name="三实验步骤"/>
      <w:r>
        <w:rPr>
          <w:rFonts w:ascii="Segoe UI" w:hAnsi="Segoe UI" w:eastAsia="宋体" w:cs="Segoe UI"/>
          <w:b/>
          <w:bCs/>
          <w:color w:val="404040"/>
          <w:sz w:val="36"/>
          <w:szCs w:val="36"/>
          <w:lang w:eastAsia="zh-CN"/>
        </w:rPr>
        <w:t>三、实验步骤</w:t>
      </w:r>
    </w:p>
    <w:p w14:paraId="035EFDB3">
      <w:pPr>
        <w:pStyle w:val="5"/>
        <w:rPr>
          <w:sz w:val="28"/>
          <w:szCs w:val="28"/>
          <w:lang w:eastAsia="zh-CN"/>
        </w:rPr>
      </w:pPr>
      <w:bookmarkStart w:id="5" w:name="数据准备"/>
      <w:r>
        <w:rPr>
          <w:sz w:val="28"/>
          <w:szCs w:val="28"/>
          <w:lang w:eastAsia="zh-CN"/>
        </w:rPr>
        <w:t>1. 数据准备</w:t>
      </w:r>
    </w:p>
    <w:p w14:paraId="02AC1F5B">
      <w:pPr>
        <w:pStyle w:val="25"/>
        <w:rPr>
          <w:lang w:eastAsia="zh-CN"/>
        </w:rPr>
      </w:pPr>
      <w:r>
        <w:rPr>
          <w:lang w:eastAsia="zh-CN"/>
        </w:rPr>
        <w:t xml:space="preserve">使用 </w:t>
      </w:r>
      <w:r>
        <w:rPr>
          <w:rStyle w:val="37"/>
          <w:lang w:eastAsia="zh-CN"/>
        </w:rPr>
        <w:t>sklearn</w:t>
      </w:r>
      <w:r>
        <w:rPr>
          <w:lang w:eastAsia="zh-CN"/>
        </w:rPr>
        <w:t xml:space="preserve"> 内置的乳腺癌数据集：</w:t>
      </w:r>
    </w:p>
    <w:p w14:paraId="72C2333D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>```python</w:t>
      </w:r>
    </w:p>
    <w:p w14:paraId="41572F46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 xml:space="preserve">from sklearn.datasets import load_breast_cancer </w:t>
      </w:r>
    </w:p>
    <w:p w14:paraId="6E376490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>data = load_breast_cancer() X, y = data.data, data.target</w:t>
      </w:r>
    </w:p>
    <w:bookmarkEnd w:id="5"/>
    <w:p w14:paraId="5E19CC6A">
      <w:pPr>
        <w:pStyle w:val="5"/>
        <w:rPr>
          <w:sz w:val="28"/>
          <w:szCs w:val="28"/>
          <w:lang w:eastAsia="zh-CN"/>
        </w:rPr>
      </w:pPr>
      <w:bookmarkStart w:id="6" w:name="数据预处理"/>
      <w:r>
        <w:rPr>
          <w:sz w:val="28"/>
          <w:szCs w:val="28"/>
          <w:lang w:eastAsia="zh-CN"/>
        </w:rPr>
        <w:t>2. 数据预处理</w:t>
      </w:r>
    </w:p>
    <w:p w14:paraId="2806EF32">
      <w:pPr>
        <w:pStyle w:val="25"/>
      </w:pPr>
      <w:r>
        <w:t xml:space="preserve">标准化数据并划分训练集与测试集： </w:t>
      </w:r>
    </w:p>
    <w:p w14:paraId="4E43F223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 xml:space="preserve">from sklearn.preprocessing import StandardScaler </w:t>
      </w:r>
    </w:p>
    <w:p w14:paraId="1EC3F220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>from sklearn.model_selection import train_test_split</w:t>
      </w:r>
    </w:p>
    <w:p w14:paraId="4BBDADF4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 xml:space="preserve">scaler = StandardScaler() </w:t>
      </w:r>
    </w:p>
    <w:p w14:paraId="68D010AF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 xml:space="preserve">X_scaled = scaler.fit_transform(X) </w:t>
      </w:r>
    </w:p>
    <w:p w14:paraId="5E2C7384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>X_train, X_test, y_train, y_test = train_test_split(X_scaled, y, test_size=0.2, random_state=42)</w:t>
      </w:r>
    </w:p>
    <w:bookmarkEnd w:id="6"/>
    <w:p w14:paraId="6A586A23">
      <w:pPr>
        <w:pStyle w:val="5"/>
        <w:rPr>
          <w:sz w:val="28"/>
          <w:szCs w:val="28"/>
          <w:lang w:eastAsia="zh-CN"/>
        </w:rPr>
      </w:pPr>
      <w:bookmarkStart w:id="7" w:name="模型训练与评估"/>
      <w:r>
        <w:rPr>
          <w:sz w:val="28"/>
          <w:szCs w:val="28"/>
          <w:lang w:eastAsia="zh-CN"/>
        </w:rPr>
        <w:t>3. 模型训练与评估</w:t>
      </w:r>
    </w:p>
    <w:p w14:paraId="5CECC317">
      <w:pPr>
        <w:pStyle w:val="25"/>
        <w:rPr>
          <w:lang w:eastAsia="zh-CN"/>
        </w:rPr>
      </w:pPr>
      <w:r>
        <w:rPr>
          <w:lang w:eastAsia="zh-CN"/>
        </w:rPr>
        <w:t>使用线性核函数：</w:t>
      </w:r>
    </w:p>
    <w:p w14:paraId="0491C0B6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 xml:space="preserve">from sklearn.svm import SVC </w:t>
      </w:r>
    </w:p>
    <w:p w14:paraId="0205254C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>from sklearn.metrics import accuracy_score, confusion_matrix</w:t>
      </w:r>
    </w:p>
    <w:p w14:paraId="55E92F41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 xml:space="preserve">model = SVC(kernel=‘linear’, C=1.0) </w:t>
      </w:r>
    </w:p>
    <w:p w14:paraId="7D90C740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 xml:space="preserve">model.fit(X_train, y_train) </w:t>
      </w:r>
    </w:p>
    <w:p w14:paraId="1A748338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>y_pred = model.predict(X_test)</w:t>
      </w:r>
    </w:p>
    <w:p w14:paraId="412BB8AE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 xml:space="preserve">print(f“准确率: {accuracy_score(y_test, y_pred):.2f}”) </w:t>
      </w:r>
    </w:p>
    <w:p w14:paraId="02DAAE14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>print(“混淆矩阵:”, confusion_matrix(y_test, y_pred))</w:t>
      </w:r>
    </w:p>
    <w:p w14:paraId="5EB63E1A">
      <w:pPr>
        <w:pStyle w:val="3"/>
      </w:pPr>
      <w:r>
        <w:t xml:space="preserve">使用高斯核函数： </w:t>
      </w:r>
    </w:p>
    <w:p w14:paraId="1A29D340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 xml:space="preserve">model_rbf = SVC(kernel=‘rbf’, gamma=0.1, C=1.0) </w:t>
      </w:r>
    </w:p>
    <w:p w14:paraId="1C79001D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 xml:space="preserve">model_rbf.fit(X_train, y_train) </w:t>
      </w:r>
    </w:p>
    <w:p w14:paraId="1A54D843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>y_pred_rbf = model_rbf.predict(X_test)</w:t>
      </w:r>
    </w:p>
    <w:bookmarkEnd w:id="7"/>
    <w:p w14:paraId="43F92F26">
      <w:pPr>
        <w:pStyle w:val="5"/>
        <w:rPr>
          <w:sz w:val="28"/>
          <w:szCs w:val="28"/>
          <w:lang w:eastAsia="zh-CN"/>
        </w:rPr>
      </w:pPr>
      <w:bookmarkStart w:id="8" w:name="可视化支持向量"/>
      <w:r>
        <w:rPr>
          <w:sz w:val="28"/>
          <w:szCs w:val="28"/>
          <w:lang w:eastAsia="zh-CN"/>
        </w:rPr>
        <w:t>4. 可视化支持向量</w:t>
      </w:r>
    </w:p>
    <w:p w14:paraId="27CB437B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 xml:space="preserve">import matplotlib.pyplot as plt </w:t>
      </w:r>
    </w:p>
    <w:p w14:paraId="4992A71C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>from sklearn.decomposition import PCA</w:t>
      </w:r>
    </w:p>
    <w:bookmarkEnd w:id="0"/>
    <w:bookmarkEnd w:id="4"/>
    <w:bookmarkEnd w:id="8"/>
    <w:p w14:paraId="1A21C301">
      <w:pPr>
        <w:pStyle w:val="5"/>
        <w:rPr>
          <w:sz w:val="28"/>
          <w:szCs w:val="28"/>
          <w:lang w:eastAsia="zh-CN"/>
        </w:rPr>
      </w:pPr>
      <w:bookmarkStart w:id="9" w:name="降维可视化"/>
      <w:r>
        <w:rPr>
          <w:sz w:val="28"/>
          <w:szCs w:val="28"/>
          <w:lang w:eastAsia="zh-CN"/>
        </w:rPr>
        <w:t>降维可视化</w:t>
      </w:r>
    </w:p>
    <w:p w14:paraId="61E43B66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 xml:space="preserve">pca = PCA(n_components=2) </w:t>
      </w:r>
    </w:p>
    <w:p w14:paraId="056DCAC0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 xml:space="preserve">X_pca = pca.fit_transform(X_train) </w:t>
      </w:r>
    </w:p>
    <w:p w14:paraId="295AE745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 xml:space="preserve">plt.scatter(X_pca[:, 0], X_pca[:, 1], c=y_train, cmap=‘coolwarm’) plt.scatter(model.support_vectors_[:, 0], model.support_vectors_[:, 1], s=100, facecolors=‘none’, edgecolors=‘k’, label=‘Support Vectors’) </w:t>
      </w:r>
    </w:p>
    <w:p w14:paraId="1C42AB12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>plt.legend() plt.show()</w:t>
      </w:r>
    </w:p>
    <w:p w14:paraId="4D8D3428">
      <w:pPr>
        <w:spacing w:before="100" w:beforeAutospacing="1" w:after="100" w:afterAutospacing="1"/>
        <w:outlineLvl w:val="1"/>
        <w:rPr>
          <w:rFonts w:ascii="Segoe UI" w:hAnsi="Segoe UI" w:eastAsia="宋体" w:cs="Segoe UI"/>
          <w:b/>
          <w:bCs/>
          <w:color w:val="404040"/>
          <w:sz w:val="36"/>
          <w:szCs w:val="36"/>
          <w:lang w:eastAsia="zh-CN"/>
        </w:rPr>
      </w:pPr>
      <w:r>
        <w:rPr>
          <w:rFonts w:ascii="Segoe UI" w:hAnsi="Segoe UI" w:eastAsia="宋体" w:cs="Segoe UI"/>
          <w:b/>
          <w:bCs/>
          <w:color w:val="404040"/>
          <w:sz w:val="36"/>
          <w:szCs w:val="36"/>
          <w:lang w:eastAsia="zh-CN"/>
        </w:rPr>
        <w:t xml:space="preserve">四、实验要求 </w:t>
      </w:r>
    </w:p>
    <w:p w14:paraId="39B552B7">
      <w:pPr>
        <w:pStyle w:val="5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 xml:space="preserve">必做任务 </w:t>
      </w:r>
    </w:p>
    <w:p w14:paraId="57A0289E">
      <w:pPr>
        <w:pStyle w:val="3"/>
        <w:rPr>
          <w:lang w:eastAsia="zh-CN"/>
        </w:rPr>
      </w:pPr>
      <w:r>
        <w:drawing>
          <wp:inline distT="0" distB="0" distL="114300" distR="114300">
            <wp:extent cx="2552700" cy="666750"/>
            <wp:effectExtent l="0" t="0" r="0" b="635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9A3BC">
      <w:pPr>
        <w:pStyle w:val="26"/>
        <w:numPr>
          <w:ilvl w:val="0"/>
          <w:numId w:val="3"/>
        </w:numPr>
        <w:rPr>
          <w:b/>
          <w:bCs/>
          <w:lang w:eastAsia="zh-CN"/>
        </w:rPr>
      </w:pPr>
      <w:r>
        <w:rPr>
          <w:b/>
          <w:bCs/>
          <w:lang w:eastAsia="zh-CN"/>
        </w:rPr>
        <w:t>实现不同核函数的对比</w:t>
      </w:r>
    </w:p>
    <w:p w14:paraId="20FABBFC">
      <w:pPr>
        <w:pStyle w:val="26"/>
        <w:numPr>
          <w:ilvl w:val="1"/>
          <w:numId w:val="3"/>
        </w:numPr>
        <w:rPr>
          <w:lang w:eastAsia="zh-CN"/>
        </w:rPr>
      </w:pPr>
      <w:r>
        <w:rPr>
          <w:lang w:eastAsia="zh-CN"/>
        </w:rPr>
        <w:t>分别使用线性核、多项式核（设置degree=3）、高斯核训练模型，记录准确率与混淆矩阵。</w:t>
      </w:r>
    </w:p>
    <w:p w14:paraId="1227EE7C">
      <w:pPr>
        <w:pStyle w:val="26"/>
        <w:numPr>
          <w:ilvl w:val="0"/>
          <w:numId w:val="3"/>
        </w:numPr>
        <w:rPr>
          <w:b/>
          <w:bCs/>
          <w:lang w:eastAsia="zh-CN"/>
        </w:rPr>
      </w:pPr>
      <w:r>
        <w:rPr>
          <w:b/>
          <w:bCs/>
          <w:lang w:eastAsia="zh-CN"/>
        </w:rPr>
        <w:t>分析正则化参数 C 的影响</w:t>
      </w:r>
    </w:p>
    <w:p w14:paraId="37EC67D0">
      <w:pPr>
        <w:pStyle w:val="26"/>
        <w:numPr>
          <w:ilvl w:val="1"/>
          <w:numId w:val="3"/>
        </w:numPr>
        <w:rPr>
          <w:lang w:eastAsia="zh-CN"/>
        </w:rPr>
      </w:pPr>
      <w:r>
        <w:rPr>
          <w:lang w:eastAsia="zh-CN"/>
        </w:rPr>
        <w:t>设置 C=[0.1, 1, 10]，观察模型在训练集和测试集上的性能变化。</w:t>
      </w:r>
    </w:p>
    <w:p w14:paraId="3B53A642">
      <w:pPr>
        <w:pStyle w:val="26"/>
        <w:numPr>
          <w:numId w:val="0"/>
        </w:numPr>
      </w:pPr>
      <w:r>
        <w:drawing>
          <wp:inline distT="0" distB="0" distL="114300" distR="114300">
            <wp:extent cx="3479800" cy="3397250"/>
            <wp:effectExtent l="0" t="0" r="0" b="6350"/>
            <wp:docPr id="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74D0A">
      <w:pPr>
        <w:pStyle w:val="26"/>
        <w:numPr>
          <w:numId w:val="0"/>
        </w:numPr>
      </w:pPr>
      <w:r>
        <w:drawing>
          <wp:inline distT="0" distB="0" distL="114300" distR="114300">
            <wp:extent cx="2438400" cy="3378200"/>
            <wp:effectExtent l="0" t="0" r="0" b="0"/>
            <wp:docPr id="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BAC8E">
      <w:pPr>
        <w:pStyle w:val="26"/>
        <w:numPr>
          <w:numId w:val="0"/>
        </w:numPr>
        <w:rPr>
          <w:lang w:eastAsia="zh-CN"/>
        </w:rPr>
      </w:pPr>
    </w:p>
    <w:p w14:paraId="2BD413A5">
      <w:pPr>
        <w:pStyle w:val="26"/>
        <w:numPr>
          <w:ilvl w:val="0"/>
          <w:numId w:val="3"/>
        </w:numPr>
        <w:rPr>
          <w:b/>
          <w:bCs/>
          <w:lang w:eastAsia="zh-CN"/>
        </w:rPr>
      </w:pPr>
      <w:r>
        <w:rPr>
          <w:b/>
          <w:bCs/>
          <w:lang w:eastAsia="zh-CN"/>
        </w:rPr>
        <w:t>绘制学习曲线</w:t>
      </w:r>
    </w:p>
    <w:p w14:paraId="4C7A3159">
      <w:pPr>
        <w:pStyle w:val="26"/>
        <w:numPr>
          <w:ilvl w:val="1"/>
          <w:numId w:val="3"/>
        </w:numPr>
        <w:rPr>
          <w:lang w:eastAsia="zh-CN"/>
        </w:rPr>
      </w:pPr>
      <w:r>
        <w:rPr>
          <w:lang w:eastAsia="zh-CN"/>
        </w:rPr>
        <w:t>使用 learning_curve 分析不同训练集大小对模型性能的影响。</w:t>
      </w:r>
    </w:p>
    <w:p w14:paraId="35A1FA1F">
      <w:pPr>
        <w:pStyle w:val="26"/>
        <w:numPr>
          <w:numId w:val="0"/>
        </w:numPr>
      </w:pPr>
      <w:r>
        <w:drawing>
          <wp:inline distT="0" distB="0" distL="114300" distR="114300">
            <wp:extent cx="5486400" cy="4114800"/>
            <wp:effectExtent l="0" t="0" r="0" b="0"/>
            <wp:docPr id="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6400" cy="4114800"/>
            <wp:effectExtent l="0" t="0" r="0" b="0"/>
            <wp:docPr id="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C6C0C">
      <w:pPr>
        <w:pStyle w:val="26"/>
        <w:numPr>
          <w:numId w:val="0"/>
        </w:numPr>
        <w:rPr>
          <w:lang w:eastAsia="zh-CN"/>
        </w:rPr>
      </w:pPr>
    </w:p>
    <w:p w14:paraId="06C404F8">
      <w:pPr>
        <w:pStyle w:val="5"/>
        <w:rPr>
          <w:lang w:eastAsia="zh-CN"/>
        </w:rPr>
      </w:pPr>
      <w:bookmarkStart w:id="10" w:name="扩展任务"/>
      <w:r>
        <w:rPr>
          <w:lang w:eastAsia="zh-CN"/>
        </w:rPr>
        <w:t>扩展任务</w:t>
      </w:r>
    </w:p>
    <w:p w14:paraId="28FF4535">
      <w:pPr>
        <w:pStyle w:val="26"/>
        <w:numPr>
          <w:ilvl w:val="0"/>
          <w:numId w:val="3"/>
        </w:numPr>
        <w:rPr>
          <w:b/>
          <w:bCs/>
          <w:lang w:eastAsia="zh-CN"/>
        </w:rPr>
      </w:pPr>
      <w:r>
        <w:rPr>
          <w:b/>
          <w:bCs/>
          <w:lang w:eastAsia="zh-CN"/>
        </w:rPr>
        <w:t>处理类别不平衡问题</w:t>
      </w:r>
    </w:p>
    <w:p w14:paraId="640ED50C">
      <w:pPr>
        <w:pStyle w:val="26"/>
        <w:numPr>
          <w:ilvl w:val="1"/>
          <w:numId w:val="3"/>
        </w:numPr>
        <w:rPr>
          <w:lang w:eastAsia="zh-CN"/>
        </w:rPr>
      </w:pPr>
      <w:r>
        <w:rPr>
          <w:lang w:eastAsia="zh-CN"/>
        </w:rPr>
        <w:t>在 SVC 中设置 class_weight=‘balanced’，对比平衡前后的模型性能。</w:t>
      </w:r>
    </w:p>
    <w:p w14:paraId="01048AB0">
      <w:pPr>
        <w:pStyle w:val="26"/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平衡前：</w:t>
      </w:r>
    </w:p>
    <w:p w14:paraId="072F121F">
      <w:pPr>
        <w:pStyle w:val="26"/>
        <w:numPr>
          <w:numId w:val="0"/>
        </w:numPr>
      </w:pPr>
      <w:r>
        <w:drawing>
          <wp:inline distT="0" distB="0" distL="114300" distR="114300">
            <wp:extent cx="3479800" cy="3397250"/>
            <wp:effectExtent l="0" t="0" r="0" b="635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0E9D3">
      <w:pPr>
        <w:pStyle w:val="26"/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平衡后：</w:t>
      </w:r>
    </w:p>
    <w:p w14:paraId="1F67329F">
      <w:pPr>
        <w:pStyle w:val="26"/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438400" cy="3378200"/>
            <wp:effectExtent l="0" t="0" r="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0228D">
      <w:pPr>
        <w:pStyle w:val="26"/>
        <w:numPr>
          <w:ilvl w:val="0"/>
          <w:numId w:val="3"/>
        </w:numPr>
        <w:rPr>
          <w:b/>
          <w:bCs/>
          <w:lang w:eastAsia="zh-CN"/>
        </w:rPr>
      </w:pPr>
      <w:r>
        <w:rPr>
          <w:b/>
          <w:bCs/>
          <w:lang w:eastAsia="zh-CN"/>
        </w:rPr>
        <w:t>超参数调优</w:t>
      </w:r>
    </w:p>
    <w:p w14:paraId="0E0A3200">
      <w:pPr>
        <w:pStyle w:val="26"/>
        <w:numPr>
          <w:ilvl w:val="1"/>
          <w:numId w:val="3"/>
        </w:numPr>
        <w:rPr>
          <w:lang w:eastAsia="zh-CN"/>
        </w:rPr>
      </w:pPr>
      <w:r>
        <w:rPr>
          <w:lang w:eastAsia="zh-CN"/>
        </w:rPr>
        <w:t>使用 GridSearchCV 搜索最优的 C 和 gamma 组合。</w:t>
      </w:r>
    </w:p>
    <w:p w14:paraId="399263F8">
      <w:pPr>
        <w:pStyle w:val="26"/>
        <w:numPr>
          <w:numId w:val="0"/>
        </w:numPr>
      </w:pPr>
      <w:r>
        <w:drawing>
          <wp:inline distT="0" distB="0" distL="114300" distR="114300">
            <wp:extent cx="2006600" cy="1358900"/>
            <wp:effectExtent l="0" t="0" r="0" b="0"/>
            <wp:docPr id="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9BBA8">
      <w:pPr>
        <w:pStyle w:val="26"/>
        <w:numPr>
          <w:numId w:val="0"/>
        </w:numPr>
        <w:rPr>
          <w:lang w:eastAsia="zh-CN"/>
        </w:rPr>
      </w:pPr>
      <w:r>
        <w:drawing>
          <wp:inline distT="0" distB="0" distL="114300" distR="114300">
            <wp:extent cx="3327400" cy="1117600"/>
            <wp:effectExtent l="0" t="0" r="0" b="0"/>
            <wp:docPr id="1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CD502">
      <w:pPr>
        <w:pStyle w:val="26"/>
        <w:numPr>
          <w:ilvl w:val="0"/>
          <w:numId w:val="3"/>
        </w:numPr>
        <w:rPr>
          <w:b/>
          <w:bCs/>
          <w:lang w:eastAsia="zh-CN"/>
        </w:rPr>
      </w:pPr>
      <w:r>
        <w:rPr>
          <w:b/>
          <w:bCs/>
          <w:lang w:eastAsia="zh-CN"/>
        </w:rPr>
        <w:t>自定义核函数</w:t>
      </w:r>
    </w:p>
    <w:p w14:paraId="2AF4919C">
      <w:pPr>
        <w:pStyle w:val="26"/>
        <w:numPr>
          <w:ilvl w:val="1"/>
          <w:numId w:val="3"/>
        </w:numPr>
        <w:rPr>
          <w:lang w:eastAsia="zh-CN"/>
        </w:rPr>
      </w:pPr>
      <w:r>
        <w:rPr>
          <w:lang w:eastAsia="zh-CN"/>
        </w:rPr>
        <w:t>实现一个简单的自定义核函数（如线性组合核）。</w:t>
      </w:r>
    </w:p>
    <w:p w14:paraId="090AC6C0">
      <w:pPr>
        <w:pStyle w:val="26"/>
        <w:numPr>
          <w:numId w:val="0"/>
        </w:numPr>
      </w:pPr>
      <w:r>
        <w:drawing>
          <wp:inline distT="0" distB="0" distL="114300" distR="114300">
            <wp:extent cx="2520950" cy="1250950"/>
            <wp:effectExtent l="0" t="0" r="6350" b="6350"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D0D25">
      <w:pPr>
        <w:pStyle w:val="26"/>
        <w:numPr>
          <w:numId w:val="0"/>
        </w:numPr>
        <w:rPr>
          <w:lang w:eastAsia="zh-CN"/>
        </w:rPr>
      </w:pPr>
      <w:r>
        <w:drawing>
          <wp:inline distT="0" distB="0" distL="114300" distR="114300">
            <wp:extent cx="3302000" cy="1441450"/>
            <wp:effectExtent l="0" t="0" r="0" b="6350"/>
            <wp:docPr id="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9EC23">
      <w:pPr>
        <w:spacing w:before="100" w:beforeAutospacing="1" w:after="100" w:afterAutospacing="1"/>
        <w:outlineLvl w:val="1"/>
        <w:rPr>
          <w:rFonts w:ascii="Segoe UI" w:hAnsi="Segoe UI" w:eastAsia="宋体" w:cs="Segoe UI"/>
          <w:b/>
          <w:bCs/>
          <w:color w:val="404040"/>
          <w:sz w:val="36"/>
          <w:szCs w:val="36"/>
          <w:lang w:eastAsia="zh-CN"/>
        </w:rPr>
      </w:pPr>
      <w:r>
        <w:rPr>
          <w:rFonts w:ascii="Segoe UI" w:hAnsi="Segoe UI" w:eastAsia="宋体" w:cs="Segoe UI"/>
          <w:b/>
          <w:bCs/>
          <w:color w:val="404040"/>
          <w:sz w:val="36"/>
          <w:szCs w:val="36"/>
          <w:lang w:eastAsia="zh-CN"/>
        </w:rPr>
        <w:t xml:space="preserve">五、实验分析 </w:t>
      </w:r>
    </w:p>
    <w:p w14:paraId="74622CC6">
      <w:pPr>
        <w:pStyle w:val="5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 xml:space="preserve">测试案例 </w:t>
      </w:r>
    </w:p>
    <w:p w14:paraId="0382C606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>python from sklearn.model_selection import GridSearchCV</w:t>
      </w:r>
    </w:p>
    <w:p w14:paraId="7DF8BA1D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 xml:space="preserve">param_grid = {‘C’: [0.1, 1, 10], ‘gamma’: [0.01, 0.1, 1]} </w:t>
      </w:r>
    </w:p>
    <w:p w14:paraId="522AF187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 xml:space="preserve">grid = GridSearchCV(SVC(kernel=‘rbf’), param_grid, cv=5) </w:t>
      </w:r>
    </w:p>
    <w:p w14:paraId="6827F1BE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 xml:space="preserve">grid.fit(X_train, y_train) </w:t>
      </w:r>
    </w:p>
    <w:p w14:paraId="31BC6F65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 xml:space="preserve">print(“最优参数:”, grid.best_params_) </w:t>
      </w:r>
    </w:p>
    <w:p w14:paraId="17876255">
      <w:pPr>
        <w:pStyle w:val="5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 xml:space="preserve">预期结果 </w:t>
      </w:r>
    </w:p>
    <w:p w14:paraId="4AF37812">
      <w:pPr>
        <w:pStyle w:val="3"/>
        <w:rPr>
          <w:lang w:eastAsia="zh-CN"/>
        </w:rPr>
      </w:pPr>
      <w:r>
        <w:rPr>
          <w:lang w:eastAsia="zh-CN"/>
        </w:rPr>
        <w:t>高斯核在非线性数据上表现优于线性核。</w:t>
      </w:r>
    </w:p>
    <w:p w14:paraId="7952249A">
      <w:pPr>
        <w:pStyle w:val="3"/>
        <w:rPr>
          <w:lang w:eastAsia="zh-CN"/>
        </w:rPr>
      </w:pPr>
      <w:r>
        <w:rPr>
          <w:lang w:eastAsia="zh-CN"/>
        </w:rPr>
        <w:t>过大的 C 值可能导致过拟合（训练集准确率高，测试集低）。</w:t>
      </w:r>
    </w:p>
    <w:p w14:paraId="799CD30B">
      <w:pPr>
        <w:spacing w:before="100" w:beforeAutospacing="1" w:after="100" w:afterAutospacing="1"/>
        <w:outlineLvl w:val="1"/>
        <w:rPr>
          <w:rFonts w:ascii="Segoe UI" w:hAnsi="Segoe UI" w:eastAsia="宋体" w:cs="Segoe UI"/>
          <w:b/>
          <w:bCs/>
          <w:color w:val="404040"/>
          <w:sz w:val="36"/>
          <w:szCs w:val="36"/>
          <w:lang w:eastAsia="zh-CN"/>
        </w:rPr>
      </w:pPr>
      <w:r>
        <w:rPr>
          <w:rFonts w:ascii="Segoe UI" w:hAnsi="Segoe UI" w:eastAsia="宋体" w:cs="Segoe UI"/>
          <w:b/>
          <w:bCs/>
          <w:color w:val="404040"/>
          <w:sz w:val="36"/>
          <w:szCs w:val="36"/>
          <w:lang w:eastAsia="zh-CN"/>
        </w:rPr>
        <w:t xml:space="preserve">六、思考题 </w:t>
      </w:r>
    </w:p>
    <w:p w14:paraId="5F530E85">
      <w:pPr>
        <w:pStyle w:val="3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SVM为何对特征缩放敏感？如何解决这一问题？</w:t>
      </w:r>
    </w:p>
    <w:p w14:paraId="41DE9DAE">
      <w:pPr>
        <w:pStyle w:val="3"/>
        <w:rPr>
          <w:lang w:eastAsia="zh-CN"/>
        </w:rPr>
      </w:pPr>
      <w:r>
        <w:rPr>
          <w:lang w:eastAsia="zh-CN"/>
        </w:rPr>
        <w:t>原因：SVM基于距离度量（如核函数、间隔计算），不同特征尺度会导致距离计算偏向大尺度特征</w:t>
      </w:r>
    </w:p>
    <w:p w14:paraId="0D01C93E">
      <w:pPr>
        <w:pStyle w:val="3"/>
        <w:rPr>
          <w:lang w:eastAsia="zh-CN"/>
        </w:rPr>
      </w:pPr>
      <w:r>
        <w:rPr>
          <w:rFonts w:hint="default"/>
          <w:lang w:eastAsia="zh-CN"/>
        </w:rPr>
        <w:t>解决：标准化（如Z-score）或归一化特征，使所有特征具有相同量纲</w:t>
      </w:r>
    </w:p>
    <w:p w14:paraId="0888BF39">
      <w:pPr>
        <w:pStyle w:val="3"/>
        <w:numPr>
          <w:numId w:val="0"/>
        </w:numPr>
        <w:rPr>
          <w:lang w:eastAsia="zh-CN"/>
        </w:rPr>
      </w:pPr>
    </w:p>
    <w:p w14:paraId="1060F7C9">
      <w:pPr>
        <w:pStyle w:val="3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解释支持向量的几何意义及其对模型泛化能力的影响。</w:t>
      </w:r>
    </w:p>
    <w:p w14:paraId="2A5820B0">
      <w:pPr>
        <w:pStyle w:val="3"/>
        <w:rPr>
          <w:lang w:eastAsia="zh-CN"/>
        </w:rPr>
      </w:pPr>
      <w:r>
        <w:rPr>
          <w:lang w:eastAsia="zh-CN"/>
        </w:rPr>
        <w:t>几何意义：距离决策边界最近的样本点，决定了边界的位置和方向</w:t>
      </w:r>
    </w:p>
    <w:p w14:paraId="6B20D40A">
      <w:pPr>
        <w:pStyle w:val="3"/>
        <w:rPr>
          <w:lang w:eastAsia="zh-CN"/>
        </w:rPr>
      </w:pPr>
      <w:r>
        <w:rPr>
          <w:rFonts w:hint="default"/>
          <w:lang w:eastAsia="zh-CN"/>
        </w:rPr>
        <w:t>泛化影响：仅依赖支持向量，减少过拟合风险；支持向量越少模型越简单</w:t>
      </w:r>
    </w:p>
    <w:p w14:paraId="61EC86A9">
      <w:pPr>
        <w:pStyle w:val="3"/>
        <w:numPr>
          <w:numId w:val="0"/>
        </w:numPr>
        <w:rPr>
          <w:lang w:eastAsia="zh-CN"/>
        </w:rPr>
      </w:pPr>
    </w:p>
    <w:p w14:paraId="730E89F9">
      <w:pPr>
        <w:pStyle w:val="3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当数据维度远大于样本数量时，应选择何种核函数？为什么？</w:t>
      </w:r>
    </w:p>
    <w:p w14:paraId="0C0255C8">
      <w:pPr>
        <w:pStyle w:val="3"/>
        <w:rPr>
          <w:lang w:eastAsia="zh-CN"/>
        </w:rPr>
      </w:pPr>
      <w:r>
        <w:rPr>
          <w:lang w:eastAsia="zh-CN"/>
        </w:rPr>
        <w:t>推荐选择：线性核（kernel='linear'</w:t>
      </w:r>
      <w:r>
        <w:rPr>
          <w:rFonts w:hint="default"/>
          <w:lang w:eastAsia="zh-CN"/>
        </w:rPr>
        <w:t>）</w:t>
      </w:r>
    </w:p>
    <w:p w14:paraId="54509F08">
      <w:pPr>
        <w:pStyle w:val="3"/>
        <w:rPr>
          <w:lang w:eastAsia="zh-CN"/>
        </w:rPr>
      </w:pPr>
      <w:r>
        <w:rPr>
          <w:rFonts w:hint="default"/>
          <w:lang w:eastAsia="zh-CN"/>
        </w:rPr>
        <w:t>原因：高维空间本身已具备线性可分性（Cover定理），复杂核函数易导致过拟合</w:t>
      </w:r>
    </w:p>
    <w:p w14:paraId="0FCFF8E4">
      <w:pPr>
        <w:pStyle w:val="3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分析软间隔SVM中参数 C 的物理意义。</w:t>
      </w:r>
      <w:bookmarkStart w:id="11" w:name="_GoBack"/>
      <w:bookmarkEnd w:id="11"/>
    </w:p>
    <w:p w14:paraId="16332CAA">
      <w:pPr>
        <w:pStyle w:val="3"/>
        <w:rPr>
          <w:lang w:eastAsia="zh-CN"/>
        </w:rPr>
      </w:pPr>
      <w:r>
        <w:rPr>
          <w:lang w:eastAsia="zh-CN"/>
        </w:rPr>
        <w:t>控制分类错误的惩罚强度：</w:t>
      </w:r>
    </w:p>
    <w:p w14:paraId="751AD2BF">
      <w:pPr>
        <w:pStyle w:val="3"/>
        <w:rPr>
          <w:lang w:eastAsia="zh-CN"/>
        </w:rPr>
      </w:pPr>
      <w:r>
        <w:rPr>
          <w:rFonts w:hint="default"/>
          <w:lang w:eastAsia="zh-CN"/>
        </w:rPr>
        <w:t>C越大 → 对误分类容忍度越低 → 模型更复杂（可能过拟合）</w:t>
      </w:r>
    </w:p>
    <w:p w14:paraId="31E63E99">
      <w:pPr>
        <w:pStyle w:val="3"/>
        <w:rPr>
          <w:lang w:eastAsia="zh-CN"/>
        </w:rPr>
      </w:pPr>
      <w:r>
        <w:rPr>
          <w:rFonts w:hint="default"/>
          <w:lang w:eastAsia="zh-CN"/>
        </w:rPr>
        <w:t>C越小 → 允许更多误分类 → 模型更简单（可能欠拟合）</w:t>
      </w:r>
    </w:p>
    <w:p w14:paraId="4969F7F0">
      <w:pPr>
        <w:pStyle w:val="3"/>
      </w:pPr>
    </w:p>
    <w:p w14:paraId="625DE5B9">
      <w:pPr>
        <w:spacing w:before="100" w:beforeAutospacing="1" w:after="100" w:afterAutospacing="1"/>
        <w:outlineLvl w:val="1"/>
        <w:rPr>
          <w:rFonts w:ascii="Segoe UI" w:hAnsi="Segoe UI" w:eastAsia="宋体" w:cs="Segoe UI"/>
          <w:b/>
          <w:bCs/>
          <w:color w:val="404040"/>
          <w:sz w:val="36"/>
          <w:szCs w:val="36"/>
          <w:lang w:eastAsia="zh-CN"/>
        </w:rPr>
      </w:pPr>
      <w:r>
        <w:rPr>
          <w:rFonts w:hint="eastAsia" w:ascii="Segoe UI" w:hAnsi="Segoe UI" w:eastAsia="宋体" w:cs="Segoe UI"/>
          <w:b/>
          <w:bCs/>
          <w:color w:val="404040"/>
          <w:sz w:val="36"/>
          <w:szCs w:val="36"/>
          <w:lang w:eastAsia="zh-CN"/>
        </w:rPr>
        <w:t>七、参考文献</w:t>
      </w:r>
    </w:p>
    <w:p w14:paraId="056416E8">
      <w:pPr>
        <w:pStyle w:val="3"/>
        <w:rPr>
          <w:rFonts w:hint="eastAsia"/>
          <w:b/>
          <w:bCs/>
          <w:lang w:eastAsia="zh-CN"/>
        </w:rPr>
      </w:pPr>
      <w:r>
        <w:rPr>
          <w:b/>
          <w:bCs/>
          <w:lang w:eastAsia="zh-CN"/>
        </w:rPr>
        <w:t>Scikit-learn</w:t>
      </w:r>
      <w:r>
        <w:rPr>
          <w:rFonts w:hint="eastAsia"/>
          <w:b/>
          <w:bCs/>
          <w:lang w:eastAsia="zh-CN"/>
        </w:rPr>
        <w:t>工具包指南：</w:t>
      </w:r>
    </w:p>
    <w:p w14:paraId="660CF30F">
      <w:pPr>
        <w:pStyle w:val="3"/>
        <w:rPr>
          <w:b/>
          <w:bCs/>
          <w:lang w:eastAsia="zh-CN"/>
        </w:rPr>
      </w:pPr>
      <w:r>
        <w:rPr>
          <w:b/>
          <w:bCs/>
        </w:rPr>
        <w:fldChar w:fldCharType="begin"/>
      </w:r>
      <w:r>
        <w:rPr>
          <w:b/>
          <w:bCs/>
          <w:lang w:eastAsia="zh-CN"/>
        </w:rPr>
        <w:instrText xml:space="preserve"> HYPERLINK "https://scikit-learn.org/stable/modules/svm.html" </w:instrText>
      </w:r>
      <w:r>
        <w:rPr>
          <w:b/>
          <w:bCs/>
        </w:rPr>
        <w:fldChar w:fldCharType="separate"/>
      </w:r>
      <w:r>
        <w:rPr>
          <w:rStyle w:val="21"/>
          <w:b/>
          <w:bCs/>
          <w:lang w:eastAsia="zh-CN"/>
        </w:rPr>
        <w:t>https://scikit-learn.org/stable/modules/svm.html</w:t>
      </w:r>
      <w:r>
        <w:rPr>
          <w:b/>
          <w:bCs/>
        </w:rPr>
        <w:fldChar w:fldCharType="end"/>
      </w:r>
    </w:p>
    <w:p w14:paraId="2A79E172">
      <w:pPr>
        <w:pStyle w:val="3"/>
        <w:rPr>
          <w:lang w:eastAsia="zh-CN"/>
        </w:rPr>
      </w:pPr>
    </w:p>
    <w:p w14:paraId="32859D6A">
      <w:pPr>
        <w:pStyle w:val="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提示：</w:t>
      </w:r>
    </w:p>
    <w:p w14:paraId="2B6BF732">
      <w:pPr>
        <w:pStyle w:val="3"/>
      </w:pPr>
      <w:r>
        <w:t>调试时可使用交叉验证避免过拟合，例如：</w:t>
      </w:r>
    </w:p>
    <w:p w14:paraId="09AA012E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 xml:space="preserve"> from sklearn.model_selection import cross_val_score </w:t>
      </w:r>
    </w:p>
    <w:p w14:paraId="33F9AD17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 xml:space="preserve">scores = cross_val_score(SVC(kernel=‘linear’), X_train, y_train, cv=5) </w:t>
      </w:r>
    </w:p>
    <w:p w14:paraId="388BF7CE">
      <w:pPr>
        <w:widowControl w:val="0"/>
        <w:shd w:val="clear" w:color="auto" w:fill="50505A"/>
        <w:spacing w:after="0"/>
        <w:jc w:val="both"/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</w:pPr>
      <w:r>
        <w:rPr>
          <w:rFonts w:ascii="Segoe UI" w:hAnsi="Segoe UI" w:cs="Segoe UI"/>
          <w:color w:val="FFFFFF"/>
          <w:kern w:val="2"/>
          <w:sz w:val="21"/>
          <w:szCs w:val="22"/>
          <w:lang w:eastAsia="zh-CN"/>
        </w:rPr>
        <w:t>print(“交叉验证平均得分:”, scores.mean())</w:t>
      </w:r>
      <w:bookmarkEnd w:id="9"/>
      <w:bookmarkEnd w:id="10"/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1">
    <w:nsid w:val="4317052E"/>
    <w:multiLevelType w:val="multilevel"/>
    <w:tmpl w:val="4317052E"/>
    <w:lvl w:ilvl="0" w:tentative="0">
      <w:start w:val="1"/>
      <w:numFmt w:val="decimal"/>
      <w:lvlText w:val="%1."/>
      <w:lvlJc w:val="left"/>
      <w:pPr>
        <w:ind w:left="720" w:hanging="480"/>
      </w:pPr>
      <w:rPr>
        <w:rFonts w:hint="eastAsia"/>
      </w:rPr>
    </w:lvl>
    <w:lvl w:ilvl="1" w:tentative="0">
      <w:start w:val="1"/>
      <w:numFmt w:val="bullet"/>
      <w:lvlText w:val=""/>
      <w:lvlJc w:val="left"/>
      <w:pPr>
        <w:ind w:left="1440" w:hanging="480"/>
      </w:pPr>
      <w:rPr>
        <w:rFonts w:hint="default" w:ascii="Wingdings" w:hAnsi="Wingdings"/>
      </w:rPr>
    </w:lvl>
    <w:lvl w:ilvl="2" w:tentative="0">
      <w:start w:val="1"/>
      <w:numFmt w:val="decimal"/>
      <w:lvlText w:val="%3."/>
      <w:lvlJc w:val="left"/>
      <w:pPr>
        <w:ind w:left="2160" w:hanging="48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880" w:hanging="48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ind w:left="3600" w:hanging="48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ind w:left="4320" w:hanging="48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5040" w:hanging="48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ind w:left="5760" w:hanging="48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ind w:left="6480" w:hanging="480"/>
      </w:pPr>
      <w:rPr>
        <w:rFonts w:hint="eastAsia"/>
      </w:rPr>
    </w:lvl>
  </w:abstractNum>
  <w:abstractNum w:abstractNumId="2">
    <w:nsid w:val="4FC32BCF"/>
    <w:multiLevelType w:val="multilevel"/>
    <w:tmpl w:val="4FC32BCF"/>
    <w:lvl w:ilvl="0" w:tentative="0">
      <w:start w:val="1"/>
      <w:numFmt w:val="decimal"/>
      <w:lvlText w:val="%1."/>
      <w:lvlJc w:val="left"/>
      <w:pPr>
        <w:ind w:left="720" w:hanging="480"/>
      </w:pPr>
      <w:rPr>
        <w:rFonts w:hint="eastAsia"/>
      </w:rPr>
    </w:lvl>
    <w:lvl w:ilvl="1" w:tentative="0">
      <w:start w:val="1"/>
      <w:numFmt w:val="bullet"/>
      <w:lvlText w:val=""/>
      <w:lvlJc w:val="left"/>
      <w:pPr>
        <w:ind w:left="1440" w:hanging="480"/>
      </w:pPr>
      <w:rPr>
        <w:rFonts w:hint="default" w:ascii="Wingdings" w:hAnsi="Wingdings"/>
      </w:rPr>
    </w:lvl>
    <w:lvl w:ilvl="2" w:tentative="0">
      <w:start w:val="1"/>
      <w:numFmt w:val="decimal"/>
      <w:lvlText w:val="%3."/>
      <w:lvlJc w:val="left"/>
      <w:pPr>
        <w:ind w:left="2160" w:hanging="48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880" w:hanging="48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ind w:left="3600" w:hanging="48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ind w:left="4320" w:hanging="48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5040" w:hanging="48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ind w:left="5760" w:hanging="48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ind w:left="6480" w:hanging="480"/>
      </w:pPr>
      <w:rPr>
        <w:rFonts w:hint="eastAsia"/>
      </w:rPr>
    </w:lvl>
  </w:abstractNum>
  <w:abstractNum w:abstractNumId="3">
    <w:nsid w:val="71315DCA"/>
    <w:multiLevelType w:val="multilevel"/>
    <w:tmpl w:val="71315DCA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590D07"/>
    <w:rsid w:val="00011C8B"/>
    <w:rsid w:val="00171266"/>
    <w:rsid w:val="002837B7"/>
    <w:rsid w:val="004779B4"/>
    <w:rsid w:val="004E29B3"/>
    <w:rsid w:val="004F5A09"/>
    <w:rsid w:val="00590D07"/>
    <w:rsid w:val="00784D58"/>
    <w:rsid w:val="008D6863"/>
    <w:rsid w:val="0097355E"/>
    <w:rsid w:val="009838FD"/>
    <w:rsid w:val="00B86B75"/>
    <w:rsid w:val="00BC48D5"/>
    <w:rsid w:val="00C36279"/>
    <w:rsid w:val="00E02CE1"/>
    <w:rsid w:val="00E315A3"/>
    <w:rsid w:val="4054222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nhideWhenUsed="0" w:uiPriority="0" w:semiHidden="0" w:name="List 5"/>
    <w:lsdException w:uiPriority="0" w:name="List Bullet 2"/>
    <w:lsdException w:uiPriority="0" w:name="List Bullet 3"/>
    <w:lsdException w:unhideWhenUsed="0" w:uiPriority="0" w:semiHidden="0" w:name="List Bullet 4"/>
    <w:lsdException w:unhideWhenUsed="0" w:uiPriority="0" w:semiHidden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iPriority="0" w:name="Body Text Indent 2"/>
    <w:lsdException w:uiPriority="0" w:name="Body Text Indent 3"/>
    <w:lsdException w:qFormat="1" w:uiPriority="9" w:semiHidden="0" w:name="Block Text"/>
    <w:lsdException w:unhideWhenUsed="0" w:uiPriority="0" w:semiHidden="0" w:name="Hyperlink"/>
    <w:lsdException w:uiPriority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19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2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spacing w:before="240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FollowedHyperlink"/>
    <w:basedOn w:val="19"/>
    <w:semiHidden/>
    <w:unhideWhenUsed/>
    <w:uiPriority w:val="0"/>
    <w:rPr>
      <w:color w:val="800080" w:themeColor="followedHyperlink"/>
      <w:u w:val="single"/>
    </w:rPr>
  </w:style>
  <w:style w:type="character" w:styleId="21">
    <w:name w:val="Hyperlink"/>
    <w:basedOn w:val="22"/>
    <w:uiPriority w:val="0"/>
    <w:rPr>
      <w:color w:val="4F81BD" w:themeColor="accent1"/>
    </w:rPr>
  </w:style>
  <w:style w:type="character" w:customStyle="1" w:styleId="22">
    <w:name w:val="题注 字符"/>
    <w:basedOn w:val="19"/>
    <w:link w:val="12"/>
    <w:uiPriority w:val="0"/>
  </w:style>
  <w:style w:type="character" w:styleId="23">
    <w:name w:val="HTML Code"/>
    <w:basedOn w:val="19"/>
    <w:semiHidden/>
    <w:unhideWhenUsed/>
    <w:uiPriority w:val="0"/>
    <w:rPr>
      <w:rFonts w:ascii="Courier New" w:hAnsi="Courier New"/>
      <w:sz w:val="20"/>
    </w:rPr>
  </w:style>
  <w:style w:type="character" w:styleId="24">
    <w:name w:val="footnote reference"/>
    <w:basedOn w:val="22"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2"/>
    <w:uiPriority w:val="0"/>
    <w:pPr>
      <w:keepNext/>
    </w:pPr>
  </w:style>
  <w:style w:type="paragraph" w:customStyle="1" w:styleId="34">
    <w:name w:val="Image Caption"/>
    <w:basedOn w:val="12"/>
    <w:uiPriority w:val="0"/>
  </w:style>
  <w:style w:type="paragraph" w:customStyle="1" w:styleId="35">
    <w:name w:val="Figure"/>
    <w:basedOn w:val="1"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2"/>
    <w:link w:val="38"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character" w:customStyle="1" w:styleId="39">
    <w:name w:val="Section Number"/>
    <w:basedOn w:val="22"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uiPriority w:val="0"/>
    <w:rPr>
      <w:rFonts w:ascii="Consolas" w:hAnsi="Consolas"/>
      <w:b/>
      <w:color w:val="007020"/>
      <w:sz w:val="22"/>
    </w:rPr>
  </w:style>
  <w:style w:type="character" w:customStyle="1" w:styleId="42">
    <w:name w:val="DataTypeTok"/>
    <w:basedOn w:val="37"/>
    <w:uiPriority w:val="0"/>
    <w:rPr>
      <w:rFonts w:ascii="Consolas" w:hAnsi="Consolas"/>
      <w:color w:val="902000"/>
      <w:sz w:val="22"/>
    </w:rPr>
  </w:style>
  <w:style w:type="character" w:customStyle="1" w:styleId="43">
    <w:name w:val="DecValTok"/>
    <w:basedOn w:val="37"/>
    <w:uiPriority w:val="0"/>
    <w:rPr>
      <w:rFonts w:ascii="Consolas" w:hAnsi="Consolas"/>
      <w:color w:val="40A070"/>
      <w:sz w:val="22"/>
    </w:rPr>
  </w:style>
  <w:style w:type="character" w:customStyle="1" w:styleId="44">
    <w:name w:val="BaseNTok"/>
    <w:basedOn w:val="37"/>
    <w:uiPriority w:val="0"/>
    <w:rPr>
      <w:rFonts w:ascii="Consolas" w:hAnsi="Consolas"/>
      <w:color w:val="40A070"/>
      <w:sz w:val="22"/>
    </w:rPr>
  </w:style>
  <w:style w:type="character" w:customStyle="1" w:styleId="45">
    <w:name w:val="FloatTok"/>
    <w:basedOn w:val="37"/>
    <w:uiPriority w:val="0"/>
    <w:rPr>
      <w:rFonts w:ascii="Consolas" w:hAnsi="Consolas"/>
      <w:color w:val="40A070"/>
      <w:sz w:val="22"/>
    </w:rPr>
  </w:style>
  <w:style w:type="character" w:customStyle="1" w:styleId="46">
    <w:name w:val="ConstantTok"/>
    <w:basedOn w:val="37"/>
    <w:uiPriority w:val="0"/>
    <w:rPr>
      <w:rFonts w:ascii="Consolas" w:hAnsi="Consolas"/>
      <w:color w:val="880000"/>
      <w:sz w:val="22"/>
    </w:rPr>
  </w:style>
  <w:style w:type="character" w:customStyle="1" w:styleId="47">
    <w:name w:val="CharTok"/>
    <w:basedOn w:val="37"/>
    <w:uiPriority w:val="0"/>
    <w:rPr>
      <w:rFonts w:ascii="Consolas" w:hAnsi="Consolas"/>
      <w:color w:val="4070A0"/>
      <w:sz w:val="22"/>
    </w:rPr>
  </w:style>
  <w:style w:type="character" w:customStyle="1" w:styleId="48">
    <w:name w:val="SpecialCharTok"/>
    <w:basedOn w:val="37"/>
    <w:uiPriority w:val="0"/>
    <w:rPr>
      <w:rFonts w:ascii="Consolas" w:hAnsi="Consolas"/>
      <w:color w:val="4070A0"/>
      <w:sz w:val="22"/>
    </w:rPr>
  </w:style>
  <w:style w:type="character" w:customStyle="1" w:styleId="49">
    <w:name w:val="StringTok"/>
    <w:basedOn w:val="37"/>
    <w:uiPriority w:val="0"/>
    <w:rPr>
      <w:rFonts w:ascii="Consolas" w:hAnsi="Consolas"/>
      <w:color w:val="4070A0"/>
      <w:sz w:val="22"/>
    </w:rPr>
  </w:style>
  <w:style w:type="character" w:customStyle="1" w:styleId="50">
    <w:name w:val="VerbatimStringTok"/>
    <w:basedOn w:val="37"/>
    <w:uiPriority w:val="0"/>
    <w:rPr>
      <w:rFonts w:ascii="Consolas" w:hAnsi="Consolas"/>
      <w:color w:val="4070A0"/>
      <w:sz w:val="22"/>
    </w:rPr>
  </w:style>
  <w:style w:type="character" w:customStyle="1" w:styleId="51">
    <w:name w:val="SpecialStringTok"/>
    <w:basedOn w:val="37"/>
    <w:uiPriority w:val="0"/>
    <w:rPr>
      <w:rFonts w:ascii="Consolas" w:hAnsi="Consolas"/>
      <w:color w:val="BB6688"/>
      <w:sz w:val="22"/>
    </w:rPr>
  </w:style>
  <w:style w:type="character" w:customStyle="1" w:styleId="52">
    <w:name w:val="ImportTok"/>
    <w:basedOn w:val="37"/>
    <w:uiPriority w:val="0"/>
    <w:rPr>
      <w:rFonts w:ascii="Consolas" w:hAnsi="Consolas"/>
      <w:sz w:val="22"/>
    </w:rPr>
  </w:style>
  <w:style w:type="character" w:customStyle="1" w:styleId="53">
    <w:name w:val="CommentTok"/>
    <w:basedOn w:val="37"/>
    <w:qFormat/>
    <w:uiPriority w:val="0"/>
    <w:rPr>
      <w:rFonts w:ascii="Consolas" w:hAnsi="Consolas"/>
      <w:i/>
      <w:color w:val="60A0B0"/>
      <w:sz w:val="22"/>
    </w:rPr>
  </w:style>
  <w:style w:type="character" w:customStyle="1" w:styleId="54">
    <w:name w:val="DocumentationTok"/>
    <w:basedOn w:val="37"/>
    <w:uiPriority w:val="0"/>
    <w:rPr>
      <w:rFonts w:ascii="Consolas" w:hAnsi="Consolas"/>
      <w:i/>
      <w:color w:val="BA2121"/>
      <w:sz w:val="22"/>
    </w:rPr>
  </w:style>
  <w:style w:type="character" w:customStyle="1" w:styleId="55">
    <w:name w:val="AnnotationTok"/>
    <w:basedOn w:val="37"/>
    <w:uiPriority w:val="0"/>
    <w:rPr>
      <w:rFonts w:ascii="Consolas" w:hAnsi="Consolas"/>
      <w:b/>
      <w:i/>
      <w:color w:val="60A0B0"/>
      <w:sz w:val="22"/>
    </w:rPr>
  </w:style>
  <w:style w:type="character" w:customStyle="1" w:styleId="56">
    <w:name w:val="CommentVarTok"/>
    <w:basedOn w:val="37"/>
    <w:uiPriority w:val="0"/>
    <w:rPr>
      <w:rFonts w:ascii="Consolas" w:hAnsi="Consolas"/>
      <w:b/>
      <w:i/>
      <w:color w:val="60A0B0"/>
      <w:sz w:val="22"/>
    </w:rPr>
  </w:style>
  <w:style w:type="character" w:customStyle="1" w:styleId="57">
    <w:name w:val="OtherTok"/>
    <w:basedOn w:val="37"/>
    <w:uiPriority w:val="0"/>
    <w:rPr>
      <w:rFonts w:ascii="Consolas" w:hAnsi="Consolas"/>
      <w:color w:val="007020"/>
      <w:sz w:val="22"/>
    </w:rPr>
  </w:style>
  <w:style w:type="character" w:customStyle="1" w:styleId="58">
    <w:name w:val="FunctionTok"/>
    <w:basedOn w:val="37"/>
    <w:uiPriority w:val="0"/>
    <w:rPr>
      <w:rFonts w:ascii="Consolas" w:hAnsi="Consolas"/>
      <w:color w:val="06287E"/>
      <w:sz w:val="22"/>
    </w:rPr>
  </w:style>
  <w:style w:type="character" w:customStyle="1" w:styleId="59">
    <w:name w:val="VariableTok"/>
    <w:basedOn w:val="37"/>
    <w:uiPriority w:val="0"/>
    <w:rPr>
      <w:rFonts w:ascii="Consolas" w:hAnsi="Consolas"/>
      <w:color w:val="19177C"/>
      <w:sz w:val="22"/>
    </w:rPr>
  </w:style>
  <w:style w:type="character" w:customStyle="1" w:styleId="60">
    <w:name w:val="ControlFlowTok"/>
    <w:basedOn w:val="37"/>
    <w:uiPriority w:val="0"/>
    <w:rPr>
      <w:rFonts w:ascii="Consolas" w:hAnsi="Consolas"/>
      <w:b/>
      <w:color w:val="007020"/>
      <w:sz w:val="22"/>
    </w:rPr>
  </w:style>
  <w:style w:type="character" w:customStyle="1" w:styleId="61">
    <w:name w:val="OperatorTok"/>
    <w:basedOn w:val="37"/>
    <w:qFormat/>
    <w:uiPriority w:val="0"/>
    <w:rPr>
      <w:rFonts w:ascii="Consolas" w:hAnsi="Consolas"/>
      <w:color w:val="666666"/>
      <w:sz w:val="22"/>
    </w:rPr>
  </w:style>
  <w:style w:type="character" w:customStyle="1" w:styleId="62">
    <w:name w:val="BuiltInTok"/>
    <w:basedOn w:val="37"/>
    <w:uiPriority w:val="0"/>
    <w:rPr>
      <w:rFonts w:ascii="Consolas" w:hAnsi="Consolas"/>
      <w:sz w:val="22"/>
    </w:rPr>
  </w:style>
  <w:style w:type="character" w:customStyle="1" w:styleId="63">
    <w:name w:val="ExtensionTok"/>
    <w:basedOn w:val="37"/>
    <w:uiPriority w:val="0"/>
    <w:rPr>
      <w:rFonts w:ascii="Consolas" w:hAnsi="Consolas"/>
      <w:sz w:val="22"/>
    </w:rPr>
  </w:style>
  <w:style w:type="character" w:customStyle="1" w:styleId="64">
    <w:name w:val="PreprocessorTok"/>
    <w:basedOn w:val="37"/>
    <w:uiPriority w:val="0"/>
    <w:rPr>
      <w:rFonts w:ascii="Consolas" w:hAnsi="Consolas"/>
      <w:color w:val="BC7A00"/>
      <w:sz w:val="22"/>
    </w:rPr>
  </w:style>
  <w:style w:type="character" w:customStyle="1" w:styleId="65">
    <w:name w:val="AttributeTok"/>
    <w:basedOn w:val="37"/>
    <w:qFormat/>
    <w:uiPriority w:val="0"/>
    <w:rPr>
      <w:rFonts w:ascii="Consolas" w:hAnsi="Consolas"/>
      <w:color w:val="7D9029"/>
      <w:sz w:val="22"/>
    </w:rPr>
  </w:style>
  <w:style w:type="character" w:customStyle="1" w:styleId="66">
    <w:name w:val="RegionMarkerTok"/>
    <w:basedOn w:val="37"/>
    <w:uiPriority w:val="0"/>
    <w:rPr>
      <w:rFonts w:ascii="Consolas" w:hAnsi="Consolas"/>
      <w:sz w:val="22"/>
    </w:rPr>
  </w:style>
  <w:style w:type="character" w:customStyle="1" w:styleId="67">
    <w:name w:val="InformationTok"/>
    <w:basedOn w:val="37"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WarningTok"/>
    <w:basedOn w:val="37"/>
    <w:uiPriority w:val="0"/>
    <w:rPr>
      <w:rFonts w:ascii="Consolas" w:hAnsi="Consolas"/>
      <w:b/>
      <w:i/>
      <w:color w:val="60A0B0"/>
      <w:sz w:val="22"/>
    </w:rPr>
  </w:style>
  <w:style w:type="character" w:customStyle="1" w:styleId="69">
    <w:name w:val="AlertTok"/>
    <w:basedOn w:val="37"/>
    <w:qFormat/>
    <w:uiPriority w:val="0"/>
    <w:rPr>
      <w:rFonts w:ascii="Consolas" w:hAnsi="Consolas"/>
      <w:b/>
      <w:color w:val="FF0000"/>
      <w:sz w:val="22"/>
    </w:rPr>
  </w:style>
  <w:style w:type="character" w:customStyle="1" w:styleId="70">
    <w:name w:val="ErrorTok"/>
    <w:basedOn w:val="37"/>
    <w:uiPriority w:val="0"/>
    <w:rPr>
      <w:rFonts w:ascii="Consolas" w:hAnsi="Consolas"/>
      <w:b/>
      <w:color w:val="FF0000"/>
      <w:sz w:val="22"/>
    </w:rPr>
  </w:style>
  <w:style w:type="character" w:customStyle="1" w:styleId="71">
    <w:name w:val="NormalTok"/>
    <w:basedOn w:val="37"/>
    <w:uiPriority w:val="0"/>
    <w:rPr>
      <w:rFonts w:ascii="Consolas" w:hAnsi="Consolas"/>
      <w:sz w:val="22"/>
    </w:rPr>
  </w:style>
  <w:style w:type="character" w:customStyle="1" w:styleId="72">
    <w:name w:val="Unresolved Mention"/>
    <w:basedOn w:val="19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1034</Words>
  <Characters>2476</Characters>
  <Lines>21</Lines>
  <Paragraphs>6</Paragraphs>
  <TotalTime>4</TotalTime>
  <ScaleCrop>false</ScaleCrop>
  <LinksUpToDate>false</LinksUpToDate>
  <CharactersWithSpaces>2644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2025-04-29T07:55:00Z</dcterms:created>
  <dc:creator>WPS_1682903613</dc:creator>
  <cp:lastModifiedBy>WPS_1682903613</cp:lastModifiedBy>
  <dcterms:modified xsi:type="dcterms:W3CDTF">2025-05-08T14:51:41Z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eyJoZGlkIjoiNDBmYTMzMjY1ZWJiNzA5Njg3MjM5YTQ5ZDU3NzU5MTYiLCJ1c2VySWQiOiIxNDkwOTQ4NDY5In0=</vt:lpwstr>
  </property>
  <property fmtid="{D5CDD505-2E9C-101B-9397-08002B2CF9AE}" pid="3" name="KSOProductBuildVer">
    <vt:lpwstr>2052-12.1.0.20305</vt:lpwstr>
  </property>
  <property fmtid="{D5CDD505-2E9C-101B-9397-08002B2CF9AE}" pid="4" name="ICV">
    <vt:lpwstr>3899F6A457EC4AB881489D1847B4CC47_12</vt:lpwstr>
  </property>
</Properties>
</file>