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0" w:hanging="0"/>
        <w:jc w:val="center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Table1"/>
        <w:tblW w:w="12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34"/>
        <w:gridCol w:w="2672"/>
        <w:gridCol w:w="2009"/>
        <w:gridCol w:w="2370"/>
        <w:gridCol w:w="2370"/>
        <w:gridCol w:w="1336"/>
        <w:gridCol w:w="1018"/>
      </w:tblGrid>
      <w:tr>
        <w:trPr>
          <w:trHeight w:val="82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SNo.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ACTION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INPUTS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EXPECTED OUTPUT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ACTUAL OUTPUT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TEST BROWSER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TEST RESULT</w:t>
            </w:r>
          </w:p>
        </w:tc>
      </w:tr>
      <w:tr>
        <w:trPr>
          <w:trHeight w:val="144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1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Launch application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index.html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HTML web page opens on a local server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Webpage opened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28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2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Starting the simulation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“START”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Animation starts inside the outlined setup. On completion Alert message displays: “Simulation Completed!”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Animation started inside the outlined setup. On completion Alert message displayed: “Simulation Completed!”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34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3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Stopping simulation before completion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“RESET”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reloads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reloaded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4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4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Going to Calculations section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“CALCULATIONS”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scrolls onto the Calculations section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scrolled onto the Calculations section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5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Clicking “CALCULATE!” with empty values in the form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“CALCULATE!”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occurs stating: “Please fill all the inputs”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occured, stating: “Please fill all the inputs”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6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Filling the valid values in the form 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After filling, click on “CALCULATE!”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occurs stating: “Specific Gravity of the soil is ...”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Alert message occured, stating: “Specific Gravity of the soil is ...” 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S No.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ACTION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INPUTS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EXPECTED OUTPUT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ACTUAL OUTPUT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TEST BROWSER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  <w:sz w:val="22"/>
                <w:szCs w:val="22"/>
              </w:rPr>
              <w:t>TEST RESULT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7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Filling the form with invalid values (-ve or zero for mass)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After filling, click on “CALCULATE!”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occurs stating: “Invalid input(s)! Value of mass should be postive”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occured, stating:  “Invalid input(s)! Value of mass should be postive”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bookmarkStart w:id="0" w:name="__DdeLink__289_470154683"/>
            <w:bookmarkEnd w:id="0"/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Filling the form with illogical values (mass of pycnometer greater than that of a filled one etc)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After filling, click on “CALCULATE!”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occurs stating:</w:t>
            </w:r>
            <w:r>
              <w:rPr>
                <w:sz w:val="22"/>
                <w:szCs w:val="22"/>
              </w:rPr>
              <w:t>"Illogical Input(s)! Mass of empty pycnometer should be less than that of a filled one AND Mass of pycnometer filled with soil should be less than that filled with soil and water both."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Alert message occurred stating: </w:t>
            </w:r>
            <w:r>
              <w:rPr>
                <w:sz w:val="22"/>
                <w:szCs w:val="22"/>
              </w:rPr>
              <w:t>"Illogical Input(s)! Mass of empty pycnometer should be less than that of a filled one AND Mass of pycnometer filled with soil should be less than that filled with soil and water both."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9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Filling the form with unacceptable number values eg. “2.”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After filling, click on “CALCULATE!”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occurs stating: “NaN”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Alert message occured, stating: “NaN”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10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Clicking “CLEAR” with some filled values in the form.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“CLEAR”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All values get cleared. 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All values got cleared. 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Reducing the browser window size down to width less than 1100px</w:t>
            </w:r>
          </w:p>
        </w:tc>
        <w:tc>
          <w:tcPr>
            <w:tcW w:w="200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3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 message occurs stating: “Please view the experiment in full desktop browser window”. Calculations can be performed.</w:t>
            </w:r>
          </w:p>
        </w:tc>
        <w:tc>
          <w:tcPr>
            <w:tcW w:w="23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 message occurred stating: “Please view the experiment in full desktop browser window”. Calculations can be performed.</w:t>
            </w:r>
          </w:p>
        </w:tc>
        <w:tc>
          <w:tcPr>
            <w:tcW w:w="13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>
      <w:pPr>
        <w:pStyle w:val="Normal"/>
        <w:ind w:left="0" w:hanging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Proxima Nova" w:hAnsi="Proxima Nova" w:eastAsia="Proxima Nova" w:cs="Proxima Nova"/>
        <w:b/>
        <w:b/>
        <w:sz w:val="48"/>
        <w:szCs w:val="48"/>
      </w:rPr>
    </w:pPr>
    <w:r>
      <w:rPr>
        <w:rFonts w:eastAsia="Proxima Nova" w:cs="Proxima Nova" w:ascii="Proxima Nova" w:hAnsi="Proxima Nova"/>
        <w:b/>
        <w:sz w:val="48"/>
        <w:szCs w:val="48"/>
      </w:rPr>
      <w:t>TEST CASES</w:t>
    </w:r>
  </w:p>
  <w:p>
    <w:pPr>
      <w:pStyle w:val="Normal"/>
      <w:jc w:val="center"/>
      <w:rPr>
        <w:rFonts w:ascii="Proxima Nova" w:hAnsi="Proxima Nova" w:eastAsia="Proxima Nova" w:cs="Proxima Nova"/>
        <w:b/>
        <w:b/>
        <w:sz w:val="48"/>
        <w:szCs w:val="48"/>
      </w:rPr>
    </w:pPr>
    <w:r>
      <w:rPr>
        <w:rFonts w:eastAsia="Proxima Nova" w:cs="Proxima Nova" w:ascii="Proxima Nova" w:hAnsi="Proxima Nova"/>
        <w:b/>
        <w:sz w:val="48"/>
        <w:szCs w:val="4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LibreOffice/5.4.6.2$Linux_X86_64 LibreOffice_project/40m0$Build-2</Application>
  <Pages>2</Pages>
  <Words>452</Words>
  <Characters>2557</Characters>
  <CharactersWithSpaces>2922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2019-07-11T18:45:29Z</dcterms:modified>
  <cp:revision>2</cp:revision>
  <dc:subject/>
  <dc:title/>
</cp:coreProperties>
</file>