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E98B1" w14:textId="77777777" w:rsidR="007825CF" w:rsidRDefault="007825CF" w:rsidP="007825CF">
      <w:pPr>
        <w:rPr>
          <w:rFonts w:ascii="Times New Roman" w:hAnsi="Times New Roman" w:cs="Times New Roman"/>
        </w:rPr>
      </w:pPr>
      <w:r w:rsidRPr="00FF0101">
        <w:rPr>
          <w:rFonts w:ascii="Times New Roman" w:hAnsi="Times New Roman" w:cs="Times New Roman"/>
        </w:rPr>
        <w:t>The </w:t>
      </w:r>
      <w:r w:rsidRPr="00FF0101">
        <w:rPr>
          <w:rFonts w:ascii="Times New Roman" w:hAnsi="Times New Roman" w:cs="Times New Roman"/>
          <w:b/>
          <w:bCs/>
        </w:rPr>
        <w:t>Media Readability Testbed (MRT)</w:t>
      </w:r>
      <w:r w:rsidRPr="00FF0101">
        <w:rPr>
          <w:rFonts w:ascii="Times New Roman" w:hAnsi="Times New Roman" w:cs="Times New Roman"/>
        </w:rPr>
        <w:t> served as the foundation of this study, providing a custom-built, open-source platform specifically designed to examine digital readability among older adults. The MRT was developed to enable systematic manipulation of key variables, including font type and the presence or absence of hyperlinks, while ensuring consistency in how stimuli were presented across all participants. This platform ensured that experimental conditions remained standardized, reducing variability and enhancing the reliability of results.</w:t>
      </w:r>
    </w:p>
    <w:p w14:paraId="5354717A" w14:textId="77777777" w:rsidR="007825CF" w:rsidRPr="00FF0101" w:rsidRDefault="007825CF" w:rsidP="007825CF">
      <w:pPr>
        <w:rPr>
          <w:rFonts w:ascii="Times New Roman" w:hAnsi="Times New Roman" w:cs="Times New Roman"/>
        </w:rPr>
      </w:pPr>
    </w:p>
    <w:p w14:paraId="6992317B" w14:textId="77777777" w:rsidR="007825CF" w:rsidRPr="00FF0101" w:rsidRDefault="007825CF" w:rsidP="007825CF">
      <w:pPr>
        <w:rPr>
          <w:rFonts w:ascii="Times New Roman" w:hAnsi="Times New Roman" w:cs="Times New Roman"/>
        </w:rPr>
      </w:pPr>
      <w:r w:rsidRPr="00FF0101">
        <w:rPr>
          <w:rFonts w:ascii="Times New Roman" w:hAnsi="Times New Roman" w:cs="Times New Roman"/>
        </w:rPr>
        <w:t>In addition to controlling for visual presentation, the MRT incorporated tools for measuring reading-related outcomes such as speed, comprehension, engagement, fatigue, and reading pleasure. The platform also integrated mechanisms for data collection, allowing for the seamless recording of participants' responses and behavioral metrics. By centralizing these capabilities, the MRT streamlined the experimental process, ensuring that all components</w:t>
      </w:r>
      <w:r>
        <w:rPr>
          <w:rFonts w:ascii="Times New Roman" w:hAnsi="Times New Roman" w:cs="Times New Roman"/>
        </w:rPr>
        <w:t xml:space="preserve"> </w:t>
      </w:r>
      <w:r w:rsidRPr="00FF0101">
        <w:rPr>
          <w:rFonts w:ascii="Times New Roman" w:hAnsi="Times New Roman" w:cs="Times New Roman"/>
        </w:rPr>
        <w:t>from visual stimuli to participant feedback</w:t>
      </w:r>
      <w:r>
        <w:rPr>
          <w:rFonts w:ascii="Times New Roman" w:hAnsi="Times New Roman" w:cs="Times New Roman"/>
        </w:rPr>
        <w:t xml:space="preserve"> </w:t>
      </w:r>
      <w:r w:rsidRPr="00FF0101">
        <w:rPr>
          <w:rFonts w:ascii="Times New Roman" w:hAnsi="Times New Roman" w:cs="Times New Roman"/>
        </w:rPr>
        <w:t>were cohesive and systematically implemented. This approach not only enhanced the study's methodological rigor but also provided a robust framework for analyzing how digital readability impacts the experiences of older adults.</w:t>
      </w:r>
    </w:p>
    <w:p w14:paraId="2881258F" w14:textId="77777777" w:rsidR="007825CF" w:rsidRDefault="007825CF" w:rsidP="007825CF">
      <w:pPr>
        <w:rPr>
          <w:rFonts w:ascii="Times New Roman" w:hAnsi="Times New Roman" w:cs="Times New Roman"/>
        </w:rPr>
      </w:pPr>
    </w:p>
    <w:p w14:paraId="7D8AABAC" w14:textId="77777777" w:rsidR="007825CF" w:rsidRDefault="007825CF" w:rsidP="007825CF">
      <w:pPr>
        <w:rPr>
          <w:rFonts w:ascii="Times New Roman" w:hAnsi="Times New Roman" w:cs="Times New Roman"/>
        </w:rPr>
      </w:pPr>
    </w:p>
    <w:p w14:paraId="4BE8E5B0"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Memory Test</w:t>
      </w:r>
    </w:p>
    <w:p w14:paraId="40C062AF" w14:textId="77777777" w:rsidR="007825CF" w:rsidRDefault="007825CF" w:rsidP="007825CF">
      <w:pPr>
        <w:rPr>
          <w:rFonts w:ascii="Times New Roman" w:hAnsi="Times New Roman" w:cs="Times New Roman"/>
        </w:rPr>
      </w:pPr>
      <w:r w:rsidRPr="005C4CA5">
        <w:rPr>
          <w:rFonts w:ascii="Times New Roman" w:hAnsi="Times New Roman" w:cs="Times New Roman"/>
        </w:rPr>
        <w:t>The memory test, adapted from Parrish et al., was designed to evaluate participants' ability to retain information using word lists of varying lengths (6, 12, and 18 words). Participants were given 30 seconds to memorize each list, followed by five multiple-choice questions to assess their recall. To ensure consistency and fairness, specific types of words were excluded, such as words ending in "s" (unless preceded by "I" or "u"), words ending in "ae," and verbs ending in "ed" or "</w:t>
      </w:r>
      <w:proofErr w:type="spellStart"/>
      <w:r w:rsidRPr="005C4CA5">
        <w:rPr>
          <w:rFonts w:ascii="Times New Roman" w:hAnsi="Times New Roman" w:cs="Times New Roman"/>
        </w:rPr>
        <w:t>ing</w:t>
      </w:r>
      <w:proofErr w:type="spellEnd"/>
      <w:r w:rsidRPr="005C4CA5">
        <w:rPr>
          <w:rFonts w:ascii="Times New Roman" w:hAnsi="Times New Roman" w:cs="Times New Roman"/>
        </w:rPr>
        <w:t>." These exclusions followed Parrish’s criteria to maintain alignment with established standards for testing older adults. This structured approach ensured that the word lists were linguistically balanced and minimized potential biases, offering a reliable method for assessing memory performance in older adults.</w:t>
      </w:r>
    </w:p>
    <w:p w14:paraId="2F96B3EF" w14:textId="77777777" w:rsidR="007825CF" w:rsidRDefault="007825CF" w:rsidP="007825CF">
      <w:pPr>
        <w:rPr>
          <w:rFonts w:ascii="Times New Roman" w:hAnsi="Times New Roman" w:cs="Times New Roman"/>
        </w:rPr>
      </w:pPr>
    </w:p>
    <w:p w14:paraId="4381A1EE"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Visual Acuity Test</w:t>
      </w:r>
    </w:p>
    <w:p w14:paraId="5F2DF396"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 xml:space="preserve">The visual acuity test assessed participants’ ability to recognize letters or symbols at various distances using a Snellen chart. Participants were instructed to sit 14 inches away from the screen and use their daily corrected vision method, such as glasses or contact lenses, to complete the task. This setup, adapted from </w:t>
      </w:r>
      <w:proofErr w:type="spellStart"/>
      <w:r w:rsidRPr="005C4CA5">
        <w:rPr>
          <w:rFonts w:ascii="Times New Roman" w:hAnsi="Times New Roman" w:cs="Times New Roman"/>
        </w:rPr>
        <w:t>Tiraset</w:t>
      </w:r>
      <w:proofErr w:type="spellEnd"/>
      <w:r w:rsidRPr="005C4CA5">
        <w:rPr>
          <w:rFonts w:ascii="Times New Roman" w:hAnsi="Times New Roman" w:cs="Times New Roman"/>
        </w:rPr>
        <w:t xml:space="preserve"> et al., ensured a standardized testing environment that accounted for individual variations in vision correction. By measuring visual acuity under consistent conditions, this test provided a baseline understanding of participants’ visual capabilities, which was critical for interpreting their performance in subsequent tasks.</w:t>
      </w:r>
    </w:p>
    <w:p w14:paraId="00E6B051" w14:textId="77777777" w:rsidR="007825CF" w:rsidRDefault="007825CF" w:rsidP="007825CF">
      <w:pPr>
        <w:rPr>
          <w:rFonts w:ascii="Times New Roman" w:hAnsi="Times New Roman" w:cs="Times New Roman"/>
        </w:rPr>
      </w:pPr>
    </w:p>
    <w:p w14:paraId="2D06B957"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Contrast Sensitivity Test</w:t>
      </w:r>
    </w:p>
    <w:p w14:paraId="760114FF"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 xml:space="preserve">Contrast sensitivity, which evaluates the ability to discern differences in shades or contrast, was measured using the Pelli-Robson chart. Similar to the visual acuity test, participants were instructed to sit 14 inches from the screen and use their corrected vision method. This methodology, adapted from </w:t>
      </w:r>
      <w:proofErr w:type="spellStart"/>
      <w:r w:rsidRPr="005C4CA5">
        <w:rPr>
          <w:rFonts w:ascii="Times New Roman" w:hAnsi="Times New Roman" w:cs="Times New Roman"/>
        </w:rPr>
        <w:t>Varadaraj</w:t>
      </w:r>
      <w:proofErr w:type="spellEnd"/>
      <w:r w:rsidRPr="005C4CA5">
        <w:rPr>
          <w:rFonts w:ascii="Times New Roman" w:hAnsi="Times New Roman" w:cs="Times New Roman"/>
        </w:rPr>
        <w:t xml:space="preserve"> et al., offered precise insights into participants’ visual perception, particularly their ability to process visual information with varying levels of contrast. By maintaining consistency in the testing protocol, the contrast sensitivity test ensured reliable results that complemented the visual acuity measurements.</w:t>
      </w:r>
    </w:p>
    <w:p w14:paraId="228F708A" w14:textId="77777777" w:rsidR="007825CF" w:rsidRDefault="007825CF" w:rsidP="007825CF">
      <w:pPr>
        <w:rPr>
          <w:rFonts w:ascii="Times New Roman" w:hAnsi="Times New Roman" w:cs="Times New Roman"/>
        </w:rPr>
      </w:pPr>
    </w:p>
    <w:p w14:paraId="73DD1D98"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lastRenderedPageBreak/>
        <w:t>Engagement</w:t>
      </w:r>
    </w:p>
    <w:p w14:paraId="04C54AA8"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Engagement was measured through a combination of custom-designed questions and a standardized framework based on Whitaker’s engagement metrics. The custom questions focused on participants' immediate engagement with each newspaper article, assessing aspects such as enjoyment, familiarity with the topic, and learning new information. The standardized questions explored broader dimensions of reading engagement, including motivation, self-regulation, and personal beliefs about reading. To ensure consistency in scoring, two negatively phrased items were reverse-coded, so that higher scores always indicated greater engagement. This dual approach provided a comprehensive view of how participants interacted with and responded to the reading materials, capturing both task-specific and general engagement metrics.</w:t>
      </w:r>
    </w:p>
    <w:p w14:paraId="1FCDBADE" w14:textId="77777777" w:rsidR="007825CF" w:rsidRDefault="007825CF" w:rsidP="007825CF">
      <w:pPr>
        <w:rPr>
          <w:rFonts w:ascii="Times New Roman" w:hAnsi="Times New Roman" w:cs="Times New Roman"/>
        </w:rPr>
      </w:pPr>
    </w:p>
    <w:p w14:paraId="32869417"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Fatigue</w:t>
      </w:r>
    </w:p>
    <w:p w14:paraId="6FEC0E18"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Fatigue was measured using a modified version of Chan’s visual fatigue questionnaire, which originally included eight items. For this study, the questionnaire was streamlined to focus on four key items: "My eyes feel tired," "I feel tired," "At the present, how much eyestrain do you feel?" and "I find it difficult to focus my vision." Items related to physical symptoms such as dry eyes, nausea, and headaches were excluded to reduce participant burden and ensure relevance to the reading task. The remaining items emphasized general tiredness and visual strain, providing a targeted assessment of participants’ subjective fatigue during the reading process. This refined approach maintained the validity of the fatigue measurement while aligning it with the study's focus on readability.</w:t>
      </w:r>
    </w:p>
    <w:p w14:paraId="4DE5A375" w14:textId="77777777" w:rsidR="007825CF" w:rsidRDefault="007825CF" w:rsidP="007825CF">
      <w:pPr>
        <w:rPr>
          <w:rFonts w:ascii="Times New Roman" w:hAnsi="Times New Roman" w:cs="Times New Roman"/>
        </w:rPr>
      </w:pPr>
    </w:p>
    <w:p w14:paraId="7DBC9931"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Reading Pleasure</w:t>
      </w:r>
    </w:p>
    <w:p w14:paraId="474DD6E6"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Reading pleasure was assessed by evaluating participants’ preferences for fonts and hyperlinks using Likert scales. Font preferences were rated on a scale from 1 to 6, with options ranging from "I strongly prefer Georgia" to "I prefer Roboto," and an additional option for "I don’t prefer any of the font options." Similarly, hyperlink preferences were rated on a scale from 1 to 4, with responses such as "I strongly prefer hyperlinks" and "I do not prefer hyperlinks," along with an option for "I strongly do not prefer hyperlinks." These numerical ratings were directly entered into the statistical analysis to capture the nuances of participants’ preferences. By aligning these preferences with the reading conditions they experienced, this metric provided insights into how subjective enjoyment and preferences influenced the reading experience.</w:t>
      </w:r>
    </w:p>
    <w:p w14:paraId="103A1731" w14:textId="77777777" w:rsidR="007825CF" w:rsidRDefault="007825CF" w:rsidP="007825CF">
      <w:pPr>
        <w:rPr>
          <w:rFonts w:ascii="Times New Roman" w:hAnsi="Times New Roman" w:cs="Times New Roman"/>
        </w:rPr>
      </w:pPr>
    </w:p>
    <w:p w14:paraId="1F9859EA"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Reading Speed</w:t>
      </w:r>
    </w:p>
    <w:p w14:paraId="32BE38CE"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Reading speed was calculated in words per minute (WPM) using the formula WPM=w×60/s, where ww represents the total number of words in the article and ss represents the time spent reading in seconds. This metric provided a standardized measure of how quickly participants read the articles under various conditions, offering insights into how factors like font type and hyperlinks impacted their reading efficiency.</w:t>
      </w:r>
    </w:p>
    <w:p w14:paraId="469605A9" w14:textId="77777777" w:rsidR="007825CF" w:rsidRDefault="007825CF" w:rsidP="007825CF">
      <w:pPr>
        <w:rPr>
          <w:rFonts w:ascii="Times New Roman" w:hAnsi="Times New Roman" w:cs="Times New Roman"/>
        </w:rPr>
      </w:pPr>
    </w:p>
    <w:p w14:paraId="04640189"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Comprehension</w:t>
      </w:r>
    </w:p>
    <w:p w14:paraId="0B9B8FC8"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 xml:space="preserve">Comprehension was measured as the percentage of correct answers participants provided to five multiple-choice questions for each newspaper article. Each participant read six articles, with two articles presented in each font condition (one with hyperlinks and one without). The comprehension score for each article was calculated by dividing the number of correct answers by the total number of questions, expressed as a percentage. This metric allowed for a detailed </w:t>
      </w:r>
      <w:r w:rsidRPr="005C4CA5">
        <w:rPr>
          <w:rFonts w:ascii="Times New Roman" w:hAnsi="Times New Roman" w:cs="Times New Roman"/>
        </w:rPr>
        <w:lastRenderedPageBreak/>
        <w:t>analysis of how font type and the presence or absence of hyperlinks influenced participants' understanding of the reading material.</w:t>
      </w:r>
    </w:p>
    <w:p w14:paraId="69E7A92C" w14:textId="77777777" w:rsidR="007825CF" w:rsidRDefault="007825CF" w:rsidP="007825CF">
      <w:pPr>
        <w:rPr>
          <w:rFonts w:ascii="Times New Roman" w:hAnsi="Times New Roman" w:cs="Times New Roman"/>
        </w:rPr>
      </w:pPr>
    </w:p>
    <w:p w14:paraId="7751DBB1"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Validity Check</w:t>
      </w:r>
    </w:p>
    <w:p w14:paraId="1A6605EC" w14:textId="77777777" w:rsidR="007825CF" w:rsidRDefault="007825CF" w:rsidP="007825CF">
      <w:pPr>
        <w:rPr>
          <w:rFonts w:ascii="Times New Roman" w:hAnsi="Times New Roman" w:cs="Times New Roman"/>
        </w:rPr>
      </w:pPr>
      <w:r w:rsidRPr="005C4CA5">
        <w:rPr>
          <w:rFonts w:ascii="Times New Roman" w:hAnsi="Times New Roman" w:cs="Times New Roman"/>
        </w:rPr>
        <w:t>To ensure data quality, two validity questions were included at the end of the experiment. Participants were asked about their attentiveness and whether they had provided thoughtful responses. Responses indicating inattentiveness or randomness (e.g., “Neutral” or lower for attentiveness, or admitting to providing random answers) resulted in participant exclusion. This process safeguarded the reliability of the study’s findings by ensuring that only data from engaged and attentive participants were included in the analysis.</w:t>
      </w:r>
    </w:p>
    <w:p w14:paraId="38F5A252" w14:textId="77777777" w:rsidR="007825CF" w:rsidRDefault="007825CF" w:rsidP="007825CF">
      <w:pPr>
        <w:rPr>
          <w:rFonts w:ascii="Times New Roman" w:hAnsi="Times New Roman" w:cs="Times New Roman"/>
        </w:rPr>
      </w:pPr>
    </w:p>
    <w:p w14:paraId="59AE28BC" w14:textId="77777777" w:rsidR="007825CF" w:rsidRDefault="007825CF" w:rsidP="007825CF">
      <w:pPr>
        <w:rPr>
          <w:rFonts w:ascii="Times New Roman" w:hAnsi="Times New Roman" w:cs="Times New Roman"/>
        </w:rPr>
      </w:pPr>
    </w:p>
    <w:p w14:paraId="68E2BB31" w14:textId="77777777" w:rsidR="007825CF" w:rsidRDefault="007825CF" w:rsidP="007825CF">
      <w:pPr>
        <w:rPr>
          <w:rFonts w:ascii="Times New Roman" w:hAnsi="Times New Roman" w:cs="Times New Roman"/>
        </w:rPr>
      </w:pPr>
    </w:p>
    <w:p w14:paraId="1D1464FE" w14:textId="095DA72A" w:rsidR="007825CF" w:rsidRPr="007825CF" w:rsidRDefault="007825CF" w:rsidP="007825CF">
      <w:pPr>
        <w:rPr>
          <w:rFonts w:ascii="Times New Roman" w:hAnsi="Times New Roman" w:cs="Times New Roman"/>
          <w:b/>
          <w:bCs/>
        </w:rPr>
      </w:pPr>
      <w:r w:rsidRPr="007825CF">
        <w:rPr>
          <w:rFonts w:ascii="Times New Roman" w:hAnsi="Times New Roman" w:cs="Times New Roman"/>
          <w:b/>
          <w:bCs/>
        </w:rPr>
        <w:t xml:space="preserve">References </w:t>
      </w:r>
    </w:p>
    <w:p w14:paraId="0B6C8471" w14:textId="77777777" w:rsidR="007825CF" w:rsidRPr="005A7C68" w:rsidRDefault="007825CF" w:rsidP="007825CF">
      <w:pPr>
        <w:rPr>
          <w:rFonts w:ascii="Times New Roman" w:hAnsi="Times New Roman" w:cs="Times New Roman"/>
        </w:rPr>
      </w:pPr>
    </w:p>
    <w:p w14:paraId="3222ECB7" w14:textId="77777777" w:rsidR="005A7C68" w:rsidRPr="005A7C68" w:rsidRDefault="005A7C68" w:rsidP="005A7C68">
      <w:pPr>
        <w:spacing w:line="480" w:lineRule="auto"/>
        <w:rPr>
          <w:rFonts w:ascii="Times New Roman" w:hAnsi="Times New Roman" w:cs="Times New Roman"/>
          <w:i/>
        </w:rPr>
      </w:pPr>
      <w:r w:rsidRPr="005A7C68">
        <w:rPr>
          <w:rFonts w:ascii="Times New Roman" w:hAnsi="Times New Roman" w:cs="Times New Roman"/>
          <w:highlight w:val="white"/>
        </w:rPr>
        <w:t>Chan, Mei Ling. </w:t>
      </w:r>
      <w:r w:rsidRPr="005A7C68">
        <w:rPr>
          <w:rFonts w:ascii="Times New Roman" w:hAnsi="Times New Roman" w:cs="Times New Roman"/>
          <w:i/>
        </w:rPr>
        <w:t xml:space="preserve">Web-Based Usability Evaluation of Text-Resizing Methods and Users' Visual </w:t>
      </w:r>
    </w:p>
    <w:p w14:paraId="1726449D" w14:textId="565C3D96" w:rsidR="005A7C68" w:rsidRPr="005A7C68" w:rsidRDefault="005A7C68" w:rsidP="007825CF">
      <w:pPr>
        <w:spacing w:line="480" w:lineRule="auto"/>
        <w:rPr>
          <w:rFonts w:ascii="Times New Roman" w:hAnsi="Times New Roman" w:cs="Times New Roman"/>
        </w:rPr>
      </w:pPr>
      <w:r w:rsidRPr="005A7C68">
        <w:rPr>
          <w:rFonts w:ascii="Times New Roman" w:hAnsi="Times New Roman" w:cs="Times New Roman"/>
          <w:i/>
        </w:rPr>
        <w:tab/>
        <w:t>Fatigue on Online Reading Tasks</w:t>
      </w:r>
      <w:r w:rsidRPr="005A7C68">
        <w:rPr>
          <w:rFonts w:ascii="Times New Roman" w:hAnsi="Times New Roman" w:cs="Times New Roman"/>
          <w:highlight w:val="white"/>
        </w:rPr>
        <w:t>. California State University, Long Beach, 2017.</w:t>
      </w:r>
    </w:p>
    <w:p w14:paraId="7EAB838D" w14:textId="75674DF2" w:rsidR="007825CF" w:rsidRPr="007825CF" w:rsidRDefault="007825CF" w:rsidP="007825CF">
      <w:pPr>
        <w:spacing w:line="480" w:lineRule="auto"/>
        <w:rPr>
          <w:rFonts w:ascii="Times New Roman" w:hAnsi="Times New Roman" w:cs="Times New Roman"/>
          <w:highlight w:val="white"/>
        </w:rPr>
      </w:pPr>
      <w:r w:rsidRPr="007825CF">
        <w:rPr>
          <w:rFonts w:ascii="Times New Roman" w:hAnsi="Times New Roman" w:cs="Times New Roman"/>
          <w:highlight w:val="white"/>
          <w:lang w:val="fr-FR"/>
        </w:rPr>
        <w:t xml:space="preserve">Parrish, Emma M., et al. </w:t>
      </w:r>
      <w:r w:rsidRPr="007825CF">
        <w:rPr>
          <w:rFonts w:ascii="Times New Roman" w:hAnsi="Times New Roman" w:cs="Times New Roman"/>
          <w:highlight w:val="white"/>
        </w:rPr>
        <w:t xml:space="preserve">"Remote ecological momentary testing of learning and memory in </w:t>
      </w:r>
    </w:p>
    <w:p w14:paraId="0792CD42" w14:textId="537C08B6" w:rsidR="007825CF" w:rsidRDefault="007825CF" w:rsidP="007825CF">
      <w:pPr>
        <w:spacing w:line="480" w:lineRule="auto"/>
        <w:rPr>
          <w:rFonts w:ascii="Times New Roman" w:hAnsi="Times New Roman" w:cs="Times New Roman"/>
          <w:highlight w:val="white"/>
        </w:rPr>
      </w:pPr>
      <w:r w:rsidRPr="007825CF">
        <w:rPr>
          <w:rFonts w:ascii="Times New Roman" w:hAnsi="Times New Roman" w:cs="Times New Roman"/>
          <w:highlight w:val="white"/>
        </w:rPr>
        <w:tab/>
        <w:t>adults with serious mental illness." </w:t>
      </w:r>
      <w:r w:rsidRPr="007825CF">
        <w:rPr>
          <w:rFonts w:ascii="Times New Roman" w:hAnsi="Times New Roman" w:cs="Times New Roman"/>
          <w:i/>
        </w:rPr>
        <w:t>Schizophrenia bulletin</w:t>
      </w:r>
      <w:r w:rsidRPr="007825CF">
        <w:rPr>
          <w:rFonts w:ascii="Times New Roman" w:hAnsi="Times New Roman" w:cs="Times New Roman"/>
          <w:highlight w:val="white"/>
        </w:rPr>
        <w:t> 47.3 (2021): 740-750.</w:t>
      </w:r>
    </w:p>
    <w:p w14:paraId="04685E19" w14:textId="77777777" w:rsidR="007825CF" w:rsidRPr="007825CF" w:rsidRDefault="007825CF" w:rsidP="007825CF">
      <w:pPr>
        <w:spacing w:line="480" w:lineRule="auto"/>
        <w:rPr>
          <w:rFonts w:ascii="Times New Roman" w:hAnsi="Times New Roman" w:cs="Times New Roman"/>
          <w:highlight w:val="white"/>
        </w:rPr>
      </w:pPr>
      <w:proofErr w:type="spellStart"/>
      <w:r w:rsidRPr="007825CF">
        <w:rPr>
          <w:rFonts w:ascii="Times New Roman" w:hAnsi="Times New Roman" w:cs="Times New Roman"/>
          <w:highlight w:val="white"/>
          <w:lang w:val="fr-FR"/>
        </w:rPr>
        <w:t>Tiraset</w:t>
      </w:r>
      <w:proofErr w:type="spellEnd"/>
      <w:r w:rsidRPr="007825CF">
        <w:rPr>
          <w:rFonts w:ascii="Times New Roman" w:hAnsi="Times New Roman" w:cs="Times New Roman"/>
          <w:highlight w:val="white"/>
          <w:lang w:val="fr-FR"/>
        </w:rPr>
        <w:t xml:space="preserve">, </w:t>
      </w:r>
      <w:proofErr w:type="spellStart"/>
      <w:r w:rsidRPr="007825CF">
        <w:rPr>
          <w:rFonts w:ascii="Times New Roman" w:hAnsi="Times New Roman" w:cs="Times New Roman"/>
          <w:highlight w:val="white"/>
          <w:lang w:val="fr-FR"/>
        </w:rPr>
        <w:t>Nanida</w:t>
      </w:r>
      <w:proofErr w:type="spellEnd"/>
      <w:r w:rsidRPr="007825CF">
        <w:rPr>
          <w:rFonts w:ascii="Times New Roman" w:hAnsi="Times New Roman" w:cs="Times New Roman"/>
          <w:highlight w:val="white"/>
          <w:lang w:val="fr-FR"/>
        </w:rPr>
        <w:t xml:space="preserve">, et al. </w:t>
      </w:r>
      <w:r w:rsidRPr="007825CF">
        <w:rPr>
          <w:rFonts w:ascii="Times New Roman" w:hAnsi="Times New Roman" w:cs="Times New Roman"/>
          <w:highlight w:val="white"/>
        </w:rPr>
        <w:t xml:space="preserve">"Comparison of visual acuity measurement using three methods: standard </w:t>
      </w:r>
    </w:p>
    <w:p w14:paraId="32EEA885" w14:textId="77777777" w:rsidR="007825CF" w:rsidRPr="007825CF" w:rsidRDefault="007825CF" w:rsidP="007825CF">
      <w:pPr>
        <w:spacing w:line="480" w:lineRule="auto"/>
        <w:rPr>
          <w:rFonts w:ascii="Times New Roman" w:hAnsi="Times New Roman" w:cs="Times New Roman"/>
          <w:i/>
        </w:rPr>
      </w:pPr>
      <w:r w:rsidRPr="007825CF">
        <w:rPr>
          <w:rFonts w:ascii="Times New Roman" w:hAnsi="Times New Roman" w:cs="Times New Roman"/>
          <w:highlight w:val="white"/>
        </w:rPr>
        <w:tab/>
        <w:t>ETDRS chart, near chart and a smartphone-based eye chart application." </w:t>
      </w:r>
      <w:r w:rsidRPr="007825CF">
        <w:rPr>
          <w:rFonts w:ascii="Times New Roman" w:hAnsi="Times New Roman" w:cs="Times New Roman"/>
          <w:i/>
        </w:rPr>
        <w:t xml:space="preserve">Clinical </w:t>
      </w:r>
    </w:p>
    <w:p w14:paraId="08C3BC14" w14:textId="77777777" w:rsidR="007825CF" w:rsidRPr="007825CF" w:rsidRDefault="007825CF" w:rsidP="007825CF">
      <w:pPr>
        <w:spacing w:line="480" w:lineRule="auto"/>
        <w:rPr>
          <w:rFonts w:ascii="Times New Roman" w:hAnsi="Times New Roman" w:cs="Times New Roman"/>
        </w:rPr>
      </w:pPr>
      <w:r w:rsidRPr="007825CF">
        <w:rPr>
          <w:rFonts w:ascii="Times New Roman" w:hAnsi="Times New Roman" w:cs="Times New Roman"/>
          <w:i/>
        </w:rPr>
        <w:tab/>
        <w:t>Ophthalmology</w:t>
      </w:r>
      <w:r w:rsidRPr="007825CF">
        <w:rPr>
          <w:rFonts w:ascii="Times New Roman" w:hAnsi="Times New Roman" w:cs="Times New Roman"/>
          <w:highlight w:val="white"/>
        </w:rPr>
        <w:t> (2021): 859-869.</w:t>
      </w:r>
    </w:p>
    <w:p w14:paraId="6C40A189" w14:textId="77777777" w:rsidR="007825CF" w:rsidRPr="007825CF" w:rsidRDefault="007825CF" w:rsidP="007825CF">
      <w:pPr>
        <w:spacing w:line="480" w:lineRule="auto"/>
        <w:rPr>
          <w:rFonts w:ascii="Times New Roman" w:hAnsi="Times New Roman" w:cs="Times New Roman"/>
          <w:highlight w:val="white"/>
        </w:rPr>
      </w:pPr>
      <w:proofErr w:type="spellStart"/>
      <w:r w:rsidRPr="007825CF">
        <w:rPr>
          <w:rFonts w:ascii="Times New Roman" w:hAnsi="Times New Roman" w:cs="Times New Roman"/>
          <w:highlight w:val="white"/>
        </w:rPr>
        <w:t>Varadaraj</w:t>
      </w:r>
      <w:proofErr w:type="spellEnd"/>
      <w:r w:rsidRPr="007825CF">
        <w:rPr>
          <w:rFonts w:ascii="Times New Roman" w:hAnsi="Times New Roman" w:cs="Times New Roman"/>
          <w:highlight w:val="white"/>
        </w:rPr>
        <w:t xml:space="preserve">, Varshini, et al. "Evaluation of tablet-based tests of visual acuity and contrast </w:t>
      </w:r>
    </w:p>
    <w:p w14:paraId="118A38A3" w14:textId="0EC26A7D" w:rsidR="007825CF" w:rsidRPr="007825CF" w:rsidRDefault="007825CF" w:rsidP="007825CF">
      <w:pPr>
        <w:spacing w:line="480" w:lineRule="auto"/>
        <w:rPr>
          <w:rFonts w:ascii="Times New Roman" w:hAnsi="Times New Roman" w:cs="Times New Roman"/>
        </w:rPr>
      </w:pPr>
      <w:r w:rsidRPr="007825CF">
        <w:rPr>
          <w:rFonts w:ascii="Times New Roman" w:hAnsi="Times New Roman" w:cs="Times New Roman"/>
          <w:highlight w:val="white"/>
        </w:rPr>
        <w:tab/>
        <w:t>sensitivity in older adults." </w:t>
      </w:r>
      <w:r w:rsidRPr="007825CF">
        <w:rPr>
          <w:rFonts w:ascii="Times New Roman" w:hAnsi="Times New Roman" w:cs="Times New Roman"/>
          <w:i/>
        </w:rPr>
        <w:t>Ophthalmic epidemiology</w:t>
      </w:r>
      <w:r w:rsidRPr="007825CF">
        <w:rPr>
          <w:rFonts w:ascii="Times New Roman" w:hAnsi="Times New Roman" w:cs="Times New Roman"/>
          <w:highlight w:val="white"/>
        </w:rPr>
        <w:t> 28.4 (2021): 293-300.</w:t>
      </w:r>
    </w:p>
    <w:p w14:paraId="66279CBB" w14:textId="25D90464" w:rsidR="007825CF" w:rsidRPr="007825CF" w:rsidRDefault="007825CF" w:rsidP="007825CF">
      <w:pPr>
        <w:spacing w:line="480" w:lineRule="auto"/>
        <w:rPr>
          <w:rFonts w:ascii="Times New Roman" w:hAnsi="Times New Roman" w:cs="Times New Roman"/>
          <w:highlight w:val="white"/>
        </w:rPr>
      </w:pPr>
      <w:r w:rsidRPr="007825CF">
        <w:rPr>
          <w:rFonts w:ascii="Times New Roman" w:hAnsi="Times New Roman" w:cs="Times New Roman"/>
          <w:highlight w:val="white"/>
        </w:rPr>
        <w:t>Whitaker, Sarah Kristine. </w:t>
      </w:r>
      <w:r w:rsidRPr="007825CF">
        <w:rPr>
          <w:rFonts w:ascii="Times New Roman" w:hAnsi="Times New Roman" w:cs="Times New Roman"/>
          <w:i/>
        </w:rPr>
        <w:t>Development and validation of the Reading Engagement Survey</w:t>
      </w:r>
      <w:r w:rsidRPr="007825CF">
        <w:rPr>
          <w:rFonts w:ascii="Times New Roman" w:hAnsi="Times New Roman" w:cs="Times New Roman"/>
          <w:highlight w:val="white"/>
        </w:rPr>
        <w:t xml:space="preserve">. Diss. </w:t>
      </w:r>
    </w:p>
    <w:p w14:paraId="18B49BE3" w14:textId="77777777" w:rsidR="007825CF" w:rsidRPr="007825CF" w:rsidRDefault="007825CF" w:rsidP="007825CF">
      <w:pPr>
        <w:spacing w:line="480" w:lineRule="auto"/>
        <w:rPr>
          <w:rFonts w:ascii="Times New Roman" w:hAnsi="Times New Roman" w:cs="Times New Roman"/>
          <w:highlight w:val="white"/>
        </w:rPr>
      </w:pPr>
      <w:r w:rsidRPr="007825CF">
        <w:rPr>
          <w:rFonts w:ascii="Times New Roman" w:hAnsi="Times New Roman" w:cs="Times New Roman"/>
          <w:highlight w:val="white"/>
        </w:rPr>
        <w:tab/>
        <w:t>University of Georgia, 2009.</w:t>
      </w:r>
    </w:p>
    <w:p w14:paraId="6DB7FDC8" w14:textId="77777777" w:rsidR="007825CF" w:rsidRPr="005C4CA5" w:rsidRDefault="007825CF" w:rsidP="007825CF">
      <w:pPr>
        <w:rPr>
          <w:rFonts w:ascii="Times New Roman" w:hAnsi="Times New Roman" w:cs="Times New Roman"/>
        </w:rPr>
      </w:pPr>
    </w:p>
    <w:p w14:paraId="56FDE282" w14:textId="77777777" w:rsidR="007825CF" w:rsidRPr="00FF0101" w:rsidRDefault="007825CF" w:rsidP="007825CF">
      <w:pPr>
        <w:rPr>
          <w:rFonts w:ascii="Times New Roman" w:hAnsi="Times New Roman" w:cs="Times New Roman"/>
        </w:rPr>
      </w:pPr>
    </w:p>
    <w:p w14:paraId="143A35A6" w14:textId="77777777" w:rsidR="0025770E" w:rsidRDefault="0025770E"/>
    <w:p w14:paraId="7A16F12B" w14:textId="2CB4E25F" w:rsidR="007825CF" w:rsidRDefault="007825CF"/>
    <w:sectPr w:rsidR="007825CF" w:rsidSect="0056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CF"/>
    <w:rsid w:val="0007460F"/>
    <w:rsid w:val="000F7EE0"/>
    <w:rsid w:val="0025770E"/>
    <w:rsid w:val="00564798"/>
    <w:rsid w:val="005A7C68"/>
    <w:rsid w:val="007825CF"/>
    <w:rsid w:val="00EB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345E8"/>
  <w15:chartTrackingRefBased/>
  <w15:docId w15:val="{4C836796-1060-2C47-BB23-2A5F8293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CF"/>
  </w:style>
  <w:style w:type="paragraph" w:styleId="Heading1">
    <w:name w:val="heading 1"/>
    <w:basedOn w:val="Normal"/>
    <w:next w:val="Normal"/>
    <w:link w:val="Heading1Char"/>
    <w:uiPriority w:val="9"/>
    <w:qFormat/>
    <w:rsid w:val="00782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CF"/>
    <w:rPr>
      <w:rFonts w:eastAsiaTheme="majorEastAsia" w:cstheme="majorBidi"/>
      <w:color w:val="272727" w:themeColor="text1" w:themeTint="D8"/>
    </w:rPr>
  </w:style>
  <w:style w:type="paragraph" w:styleId="Title">
    <w:name w:val="Title"/>
    <w:basedOn w:val="Normal"/>
    <w:next w:val="Normal"/>
    <w:link w:val="TitleChar"/>
    <w:uiPriority w:val="10"/>
    <w:qFormat/>
    <w:rsid w:val="007825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5CF"/>
    <w:rPr>
      <w:i/>
      <w:iCs/>
      <w:color w:val="404040" w:themeColor="text1" w:themeTint="BF"/>
    </w:rPr>
  </w:style>
  <w:style w:type="paragraph" w:styleId="ListParagraph">
    <w:name w:val="List Paragraph"/>
    <w:basedOn w:val="Normal"/>
    <w:uiPriority w:val="34"/>
    <w:qFormat/>
    <w:rsid w:val="007825CF"/>
    <w:pPr>
      <w:ind w:left="720"/>
      <w:contextualSpacing/>
    </w:pPr>
  </w:style>
  <w:style w:type="character" w:styleId="IntenseEmphasis">
    <w:name w:val="Intense Emphasis"/>
    <w:basedOn w:val="DefaultParagraphFont"/>
    <w:uiPriority w:val="21"/>
    <w:qFormat/>
    <w:rsid w:val="007825CF"/>
    <w:rPr>
      <w:i/>
      <w:iCs/>
      <w:color w:val="0F4761" w:themeColor="accent1" w:themeShade="BF"/>
    </w:rPr>
  </w:style>
  <w:style w:type="paragraph" w:styleId="IntenseQuote">
    <w:name w:val="Intense Quote"/>
    <w:basedOn w:val="Normal"/>
    <w:next w:val="Normal"/>
    <w:link w:val="IntenseQuoteChar"/>
    <w:uiPriority w:val="30"/>
    <w:qFormat/>
    <w:rsid w:val="00782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CF"/>
    <w:rPr>
      <w:i/>
      <w:iCs/>
      <w:color w:val="0F4761" w:themeColor="accent1" w:themeShade="BF"/>
    </w:rPr>
  </w:style>
  <w:style w:type="character" w:styleId="IntenseReference">
    <w:name w:val="Intense Reference"/>
    <w:basedOn w:val="DefaultParagraphFont"/>
    <w:uiPriority w:val="32"/>
    <w:qFormat/>
    <w:rsid w:val="00782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Shalah Dean Thomas</dc:creator>
  <cp:keywords/>
  <dc:description/>
  <cp:lastModifiedBy>Shalah Dean Thomas</cp:lastModifiedBy>
  <cp:revision>1</cp:revision>
  <dcterms:created xsi:type="dcterms:W3CDTF">2024-11-25T23:17:00Z</dcterms:created>
  <dcterms:modified xsi:type="dcterms:W3CDTF">2024-11-25T23:29:00Z</dcterms:modified>
</cp:coreProperties>
</file>