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0052FF"/>
          <w:sz w:val="48"/>
          <w:szCs w:val="48"/>
        </w:rPr>
        <w:t xml:space="preserve">ARCTURA × BASE</w:t>
      </w:r>
    </w:p>
    <w:p>
      <w:pPr>
        <w:spacing w:after="80" w:before="0"/>
      </w:pPr>
      <w:r>
        <w:rPr>
          <w:rFonts w:ascii="Arial" w:cs="Arial" w:eastAsia="Arial" w:hAnsi="Arial"/>
          <w:color w:val="4A5F8A"/>
          <w:sz w:val="28"/>
          <w:szCs w:val="28"/>
        </w:rPr>
        <w:t xml:space="preserve">Grant Application &amp; Project Brief</w:t>
      </w:r>
    </w:p>
    <w:p>
      <w:pPr>
        <w:spacing w:after="200" w:before="0"/>
      </w:pPr>
      <w:r>
        <w:rPr>
          <w:rFonts w:ascii="Arial" w:cs="Arial" w:eastAsia="Arial" w:hAnsi="Arial"/>
          <w:b/>
          <w:bCs/>
          <w:color w:val="111111"/>
          <w:sz w:val="36"/>
          <w:szCs w:val="36"/>
        </w:rPr>
        <w:t xml:space="preserve">The First Base Subnet on Bittensor</w:t>
      </w:r>
    </w:p>
    <w:tbl>
      <w:tblPr>
        <w:tblW w:type="dxa" w:w="9360"/>
        <w:tblBorders>
          <w:top w:val="single" w:color="EEEEEE" w:sz="1"/>
          <w:left w:val="single" w:color="EEEEEE" w:sz="1"/>
          <w:bottom w:val="single" w:color="EEEEEE" w:sz="1"/>
          <w:right w:val="single" w:color="EEEEEE" w:sz="1"/>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Project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arctura-base-subnet — First open-source Bittensor subnet bridging Base chain intelligence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URL</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base.arctura.network</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Repository</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github.com/virtualmase/arctura-base-subnet</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Parent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arctura.network — Arctura Collective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License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Apache-2.0 (open source, fully forkable)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Chain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Base Mainnet (8453) + Base Sepolia (84532)</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Network</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Bittensor Finney Mainnet</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Contact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learn@arctura.network</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Status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Phase 0 — Building — Weeks 1–2</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Prepared</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May 2026</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FF" w:sz="6"/>
              <w:left w:val="none" w:color="FFFFFF" w:sz="0"/>
              <w:bottom w:val="none" w:color="FFFFFF" w:sz="0"/>
              <w:right w:val="none" w:color="FFFFFF" w:sz="0"/>
            </w:tcBorders>
            <w:shd w:fill="F0F4FF" w:val="clear"/>
            <w:tcMar>
              <w:top w:type="dxa" w:w="160"/>
              <w:left w:type="dxa" w:w="240"/>
              <w:bottom w:type="dxa" w:w="160"/>
              <w:right w:type="dxa" w:w="240"/>
            </w:tcMar>
          </w:tcPr>
          <w:p>
            <w:pPr>
              <w:spacing w:after="40" w:before="40"/>
            </w:pPr>
            <w:r>
              <w:rPr>
                <w:rFonts w:ascii="Arial" w:cs="Arial" w:eastAsia="Arial" w:hAnsi="Arial"/>
                <w:b w:val="false"/>
                <w:bCs w:val="false"/>
                <w:color w:val="0052FF"/>
                <w:sz w:val="22"/>
                <w:szCs w:val="22"/>
              </w:rPr>
              <w:t xml:space="preserve">One-line pitch:</w:t>
            </w:r>
          </w:p>
          <w:p>
            <w:pPr>
              <w:spacing w:after="40" w:before="40"/>
            </w:pPr>
            <w:r>
              <w:rPr>
                <w:rFonts w:ascii="Arial" w:cs="Arial" w:eastAsia="Arial" w:hAnsi="Arial"/>
                <w:b w:val="false"/>
                <w:bCs w:val="false"/>
                <w:color w:val="0052FF"/>
                <w:sz w:val="22"/>
                <w:szCs w:val="22"/>
              </w:rPr>
              <w:t xml:space="preserve">The first open-source Bittensor subnet purpose-built to bridge Base blockchain intelligence</w:t>
            </w:r>
          </w:p>
          <w:p>
            <w:pPr>
              <w:spacing w:after="40" w:before="40"/>
            </w:pPr>
            <w:r>
              <w:rPr>
                <w:rFonts w:ascii="Arial" w:cs="Arial" w:eastAsia="Arial" w:hAnsi="Arial"/>
                <w:b w:val="false"/>
                <w:bCs w:val="false"/>
                <w:color w:val="0052FF"/>
                <w:sz w:val="22"/>
                <w:szCs w:val="22"/>
              </w:rPr>
              <w:t xml:space="preserve">into the decentralized AI network — funded by Base, owned by no one.</w:t>
            </w:r>
          </w:p>
        </w:tc>
      </w:tr>
    </w:tbl>
    <w:p>
      <w:pPr>
        <w:spacing w:after="0" w:before="200"/>
      </w:pPr>
    </w:p>
    <w:p>
      <w:r>
        <w:br w:type="page"/>
      </w:r>
    </w:p>
    <w:p>
      <w:pPr>
        <w:pStyle w:val="Heading1"/>
        <w:spacing w:after="160" w:before="360"/>
      </w:pPr>
      <w:r>
        <w:rPr>
          <w:rFonts w:ascii="Arial" w:cs="Arial" w:eastAsia="Arial" w:hAnsi="Arial"/>
          <w:b/>
          <w:bCs/>
          <w:color w:val="000000"/>
          <w:sz w:val="32"/>
          <w:szCs w:val="32"/>
        </w:rPr>
        <w:t xml:space="preserve">1. What We Are Building</w:t>
      </w:r>
    </w:p>
    <w:p>
      <w:pPr>
        <w:spacing w:after="80" w:before="60"/>
      </w:pPr>
      <w:r>
        <w:rPr>
          <w:rFonts w:ascii="Arial" w:cs="Arial" w:eastAsia="Arial" w:hAnsi="Arial"/>
          <w:color w:val="333333"/>
          <w:sz w:val="22"/>
          <w:szCs w:val="22"/>
        </w:rPr>
        <w:t xml:space="preserve">arctura-base-subnet is a Bittensor subnet that makes Base chain state a first-class citizen of the decentralized AI network.</w:t>
      </w:r>
    </w:p>
    <w:p>
      <w:pPr>
        <w:spacing w:after="0" w:before="80"/>
      </w:pPr>
    </w:p>
    <w:p>
      <w:pPr>
        <w:pStyle w:val="Heading3"/>
        <w:spacing w:after="100" w:before="200"/>
      </w:pPr>
      <w:r>
        <w:rPr>
          <w:rFonts w:ascii="Arial" w:cs="Arial" w:eastAsia="Arial" w:hAnsi="Arial"/>
          <w:b/>
          <w:bCs/>
          <w:color w:val="333333"/>
          <w:sz w:val="22"/>
          <w:szCs w:val="22"/>
        </w:rPr>
        <w:t xml:space="preserve">Miners</w:t>
      </w:r>
    </w:p>
    <w:p>
      <w:pPr>
        <w:spacing w:after="80" w:before="60"/>
      </w:pPr>
      <w:r>
        <w:rPr>
          <w:rFonts w:ascii="Arial" w:cs="Arial" w:eastAsia="Arial" w:hAnsi="Arial"/>
          <w:color w:val="333333"/>
          <w:sz w:val="22"/>
          <w:szCs w:val="22"/>
        </w:rPr>
        <w:t xml:space="preserve">Read Base blockchain data — contract state, transaction history, event logs, and onchain agent actions via AgentKit — and return Merkle-anchored attestation proofs. Each proof is anchored to a specific Base block hash, making it independently verifiable by any third party.</w:t>
      </w:r>
    </w:p>
    <w:p>
      <w:pPr>
        <w:pStyle w:val="Heading3"/>
        <w:spacing w:after="100" w:before="200"/>
      </w:pPr>
      <w:r>
        <w:rPr>
          <w:rFonts w:ascii="Arial" w:cs="Arial" w:eastAsia="Arial" w:hAnsi="Arial"/>
          <w:b/>
          <w:bCs/>
          <w:color w:val="333333"/>
          <w:sz w:val="22"/>
          <w:szCs w:val="22"/>
        </w:rPr>
        <w:t xml:space="preserve">Validators</w:t>
      </w:r>
    </w:p>
    <w:p>
      <w:pPr>
        <w:spacing w:after="80" w:before="60"/>
      </w:pPr>
      <w:r>
        <w:rPr>
          <w:rFonts w:ascii="Arial" w:cs="Arial" w:eastAsia="Arial" w:hAnsi="Arial"/>
          <w:color w:val="333333"/>
          <w:sz w:val="22"/>
          <w:szCs w:val="22"/>
        </w:rPr>
        <w:t xml:space="preserve">Issue Base chain mandates specifying what data to fetch and attest. Verify miner attestations against live Base block hashes using Resonance BFT scoring. Set weights via Yuma Consensus. TAO emissions flow to miners who prove their work. The incentive is cryptoeconomic.</w:t>
      </w:r>
    </w:p>
    <w:p>
      <w:pPr>
        <w:pStyle w:val="Heading3"/>
        <w:spacing w:after="100" w:before="200"/>
      </w:pPr>
      <w:r>
        <w:rPr>
          <w:rFonts w:ascii="Arial" w:cs="Arial" w:eastAsia="Arial" w:hAnsi="Arial"/>
          <w:b/>
          <w:bCs/>
          <w:color w:val="333333"/>
          <w:sz w:val="22"/>
          <w:szCs w:val="22"/>
        </w:rPr>
        <w:t xml:space="preserve">The bridge in one line</w:t>
      </w:r>
    </w:p>
    <w:p>
      <w:pPr>
        <w:spacing w:after="80" w:before="60"/>
      </w:pPr>
      <w:r>
        <w:rPr>
          <w:rFonts w:ascii="Arial" w:cs="Arial" w:eastAsia="Arial" w:hAnsi="Arial"/>
          <w:color w:val="333333"/>
          <w:sz w:val="22"/>
          <w:szCs w:val="22"/>
        </w:rPr>
        <w:t xml:space="preserve">Base Mainnet state → Bittensor subnet attestation → TAO emissions for verified AI work.</w:t>
      </w:r>
    </w:p>
    <w:p>
      <w:pPr>
        <w:spacing w:after="0" w:before="80"/>
      </w:pPr>
    </w:p>
    <w:p>
      <w:pPr>
        <w:pStyle w:val="Heading2"/>
        <w:spacing w:after="120" w:before="280"/>
      </w:pPr>
      <w:r>
        <w:rPr>
          <w:rFonts w:ascii="Arial" w:cs="Arial" w:eastAsia="Arial" w:hAnsi="Arial"/>
          <w:b/>
          <w:bCs/>
          <w:color w:val="111111"/>
          <w:sz w:val="26"/>
          <w:szCs w:val="26"/>
        </w:rPr>
        <w:t xml:space="preserve">Why this is a public good</w:t>
      </w:r>
    </w:p>
    <w:p>
      <w:pPr>
        <w:spacing w:after="80" w:before="60"/>
      </w:pPr>
      <w:r>
        <w:rPr>
          <w:rFonts w:ascii="Arial" w:cs="Arial" w:eastAsia="Arial" w:hAnsi="Arial"/>
          <w:color w:val="333333"/>
          <w:sz w:val="22"/>
          <w:szCs w:val="22"/>
        </w:rPr>
        <w:t xml:space="preserve">Every file, every doc, every training scenario — Apache-2.0, forkable, permanent open-source infrastructure. The Base community can point to this and say: we funded the first Bittensor bridge. Any developer in the Base ecosystem inherits the architecture.</w:t>
      </w:r>
    </w:p>
    <w:p>
      <w:pPr>
        <w:pBdr>
          <w:bottom w:val="single" w:color="DDDDDD" w:sz="4" w:space="1"/>
        </w:pBdr>
        <w:spacing w:after="160" w:before="160"/>
      </w:pPr>
    </w:p>
    <w:p>
      <w:pPr>
        <w:pStyle w:val="Heading1"/>
        <w:spacing w:after="160" w:before="360"/>
      </w:pPr>
      <w:r>
        <w:rPr>
          <w:rFonts w:ascii="Arial" w:cs="Arial" w:eastAsia="Arial" w:hAnsi="Arial"/>
          <w:b/>
          <w:bCs/>
          <w:color w:val="000000"/>
          <w:sz w:val="32"/>
          <w:szCs w:val="32"/>
        </w:rPr>
        <w:t xml:space="preserve">2. Why This Matters</w:t>
      </w:r>
    </w:p>
    <w:p>
      <w:pPr>
        <w:pStyle w:val="Heading2"/>
        <w:spacing w:after="120" w:before="280"/>
      </w:pPr>
      <w:r>
        <w:rPr>
          <w:rFonts w:ascii="Arial" w:cs="Arial" w:eastAsia="Arial" w:hAnsi="Arial"/>
          <w:b/>
          <w:bCs/>
          <w:color w:val="111111"/>
          <w:sz w:val="26"/>
          <w:szCs w:val="26"/>
        </w:rPr>
        <w:t xml:space="preserve">The gap</w:t>
      </w:r>
    </w:p>
    <w:p>
      <w:pPr>
        <w:spacing w:after="80" w:before="60"/>
      </w:pPr>
      <w:r>
        <w:rPr>
          <w:rFonts w:ascii="Arial" w:cs="Arial" w:eastAsia="Arial" w:hAnsi="Arial"/>
          <w:color w:val="333333"/>
          <w:sz w:val="22"/>
          <w:szCs w:val="22"/>
        </w:rPr>
        <w:t xml:space="preserve">There are 128 subnet slots on Bittensor. There are zero Base subnets. Two of the most active builder ecosystems in crypto — with directly complementary primitives — have no bridge between them.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F4FF" w:val="clear"/>
            <w:tcMar>
              <w:top w:type="dxa" w:w="120"/>
              <w:left w:type="dxa" w:w="160"/>
              <w:bottom w:type="dxa" w:w="120"/>
              <w:right w:type="dxa" w:w="160"/>
            </w:tcMar>
          </w:tcPr>
          <w:p>
            <w:pPr>
              <w:spacing w:after="80"/>
            </w:pPr>
            <w:r>
              <w:rPr>
                <w:rFonts w:ascii="Arial" w:cs="Arial" w:eastAsia="Arial" w:hAnsi="Arial"/>
                <w:b/>
                <w:bCs/>
                <w:color w:val="0052FF"/>
                <w:sz w:val="22"/>
                <w:szCs w:val="22"/>
              </w:rPr>
              <w:t xml:space="preserve">Base brings</w:t>
            </w:r>
          </w:p>
          <w:p>
            <w:pPr>
              <w:pStyle w:val="ListParagraph"/>
              <w:numPr>
                <w:ilvl w:val="0"/>
                <w:numId w:val="2"/>
              </w:numPr>
              <w:spacing w:after="40" w:before="30"/>
            </w:pPr>
            <w:r>
              <w:rPr>
                <w:rFonts w:ascii="Arial" w:cs="Arial" w:eastAsia="Arial" w:hAnsi="Arial"/>
                <w:color w:val="333333"/>
                <w:sz w:val="20"/>
                <w:szCs w:val="20"/>
              </w:rPr>
              <w:t xml:space="preserve">Coinbase L2 — 10M+ daily active addresses</w:t>
            </w:r>
          </w:p>
          <w:p>
            <w:pPr>
              <w:pStyle w:val="ListParagraph"/>
              <w:numPr>
                <w:ilvl w:val="0"/>
                <w:numId w:val="2"/>
              </w:numPr>
              <w:spacing w:after="40" w:before="30"/>
            </w:pPr>
            <w:r>
              <w:rPr>
                <w:rFonts w:ascii="Arial" w:cs="Arial" w:eastAsia="Arial" w:hAnsi="Arial"/>
                <w:color w:val="333333"/>
                <w:sz w:val="20"/>
                <w:szCs w:val="20"/>
              </w:rPr>
              <w:t xml:space="preserve">AgentKit, CDP SDK, MCP server — native AI agent tooling, open source</w:t>
            </w:r>
          </w:p>
          <w:p>
            <w:pPr>
              <w:pStyle w:val="ListParagraph"/>
              <w:numPr>
                <w:ilvl w:val="0"/>
                <w:numId w:val="2"/>
              </w:numPr>
              <w:spacing w:after="40" w:before="30"/>
            </w:pPr>
            <w:r>
              <w:rPr>
                <w:rFonts w:ascii="Arial" w:cs="Arial" w:eastAsia="Arial" w:hAnsi="Arial"/>
                <w:color w:val="333333"/>
                <w:sz w:val="20"/>
                <w:szCs w:val="20"/>
              </w:rPr>
              <w:t xml:space="preserve">Active funding: weekly rewards, builder grants, OP Retro, Base Batches</w:t>
            </w:r>
          </w:p>
          <w:p>
            <w:pPr>
              <w:pStyle w:val="ListParagraph"/>
              <w:numPr>
                <w:ilvl w:val="0"/>
                <w:numId w:val="2"/>
              </w:numPr>
              <w:spacing w:after="40" w:before="30"/>
            </w:pPr>
            <w:r>
              <w:rPr>
                <w:rFonts w:ascii="Arial" w:cs="Arial" w:eastAsia="Arial" w:hAnsi="Arial"/>
                <w:color w:val="333333"/>
                <w:sz w:val="20"/>
                <w:szCs w:val="20"/>
              </w:rPr>
              <w:t xml:space="preserve">Smart wallet infrastructure — gasless, no seed phrase friction</w:t>
            </w:r>
          </w:p>
          <w:p>
            <w:pPr>
              <w:pStyle w:val="ListParagraph"/>
              <w:numPr>
                <w:ilvl w:val="0"/>
                <w:numId w:val="2"/>
              </w:numPr>
              <w:spacing w:after="40" w:before="30"/>
            </w:pPr>
            <w:r>
              <w:rPr>
                <w:rFonts w:ascii="Arial" w:cs="Arial" w:eastAsia="Arial" w:hAnsi="Arial"/>
                <w:color w:val="333333"/>
                <w:sz w:val="20"/>
                <w:szCs w:val="20"/>
              </w:rPr>
              <w:t xml:space="preserve">OnchainKit, Paymaster, Coinbase verified identity</w:t>
            </w:r>
          </w:p>
        </w:tc>
        <w:tc>
          <w:tcPr>
            <w:tcW w:type="dxa" w:w="4680"/>
            <w:tcBorders>
              <w:top w:val="single" w:color="DDDDDD" w:sz="1"/>
              <w:left w:val="single" w:color="DDDDDD" w:sz="1"/>
              <w:bottom w:val="single" w:color="DDDDDD" w:sz="1"/>
              <w:right w:val="single" w:color="DDDDDD" w:sz="1"/>
            </w:tcBorders>
            <w:shd w:fill="F5F3FF" w:val="clear"/>
            <w:tcMar>
              <w:top w:type="dxa" w:w="120"/>
              <w:left w:type="dxa" w:w="160"/>
              <w:bottom w:type="dxa" w:w="120"/>
              <w:right w:type="dxa" w:w="160"/>
            </w:tcMar>
          </w:tcPr>
          <w:p>
            <w:pPr>
              <w:spacing w:after="80"/>
            </w:pPr>
            <w:r>
              <w:rPr>
                <w:rFonts w:ascii="Arial" w:cs="Arial" w:eastAsia="Arial" w:hAnsi="Arial"/>
                <w:b/>
                <w:bCs/>
                <w:color w:val="9B8CFF"/>
                <w:sz w:val="22"/>
                <w:szCs w:val="22"/>
              </w:rPr>
              <w:t xml:space="preserve">Bittensor brings</w:t>
            </w:r>
          </w:p>
          <w:p>
            <w:pPr>
              <w:pStyle w:val="ListParagraph"/>
              <w:numPr>
                <w:ilvl w:val="0"/>
                <w:numId w:val="2"/>
              </w:numPr>
              <w:spacing w:after="40" w:before="30"/>
            </w:pPr>
            <w:r>
              <w:rPr>
                <w:rFonts w:ascii="Arial" w:cs="Arial" w:eastAsia="Arial" w:hAnsi="Arial"/>
                <w:color w:val="333333"/>
                <w:sz w:val="20"/>
                <w:szCs w:val="20"/>
              </w:rPr>
              <w:t xml:space="preserve">Decentralized AI incentive layer — TAO rewards verifiable AI work</w:t>
            </w:r>
          </w:p>
          <w:p>
            <w:pPr>
              <w:pStyle w:val="ListParagraph"/>
              <w:numPr>
                <w:ilvl w:val="0"/>
                <w:numId w:val="2"/>
              </w:numPr>
              <w:spacing w:after="40" w:before="30"/>
            </w:pPr>
            <w:r>
              <w:rPr>
                <w:rFonts w:ascii="Arial" w:cs="Arial" w:eastAsia="Arial" w:hAnsi="Arial"/>
                <w:color w:val="333333"/>
                <w:sz w:val="20"/>
                <w:szCs w:val="20"/>
              </w:rPr>
              <w:t xml:space="preserve">Subnet model — custom incentive mechanisms, own emission slice</w:t>
            </w:r>
          </w:p>
          <w:p>
            <w:pPr>
              <w:pStyle w:val="ListParagraph"/>
              <w:numPr>
                <w:ilvl w:val="0"/>
                <w:numId w:val="2"/>
              </w:numPr>
              <w:spacing w:after="40" w:before="30"/>
            </w:pPr>
            <w:r>
              <w:rPr>
                <w:rFonts w:ascii="Arial" w:cs="Arial" w:eastAsia="Arial" w:hAnsi="Arial"/>
                <w:color w:val="333333"/>
                <w:sz w:val="20"/>
                <w:szCs w:val="20"/>
              </w:rPr>
              <w:t xml:space="preserve">Yuma Consensus — no single party controls reward distribution</w:t>
            </w:r>
          </w:p>
          <w:p>
            <w:pPr>
              <w:pStyle w:val="ListParagraph"/>
              <w:numPr>
                <w:ilvl w:val="0"/>
                <w:numId w:val="2"/>
              </w:numPr>
              <w:spacing w:after="40" w:before="30"/>
            </w:pPr>
            <w:r>
              <w:rPr>
                <w:rFonts w:ascii="Arial" w:cs="Arial" w:eastAsia="Arial" w:hAnsi="Arial"/>
                <w:color w:val="333333"/>
                <w:sz w:val="20"/>
                <w:szCs w:val="20"/>
              </w:rPr>
              <w:t xml:space="preserve">128-subnet limit — first-mover in a category is a durable advantage</w:t>
            </w:r>
          </w:p>
          <w:p>
            <w:pPr>
              <w:pStyle w:val="ListParagraph"/>
              <w:numPr>
                <w:ilvl w:val="0"/>
                <w:numId w:val="2"/>
              </w:numPr>
              <w:spacing w:after="40" w:before="30"/>
            </w:pPr>
            <w:r>
              <w:rPr>
                <w:rFonts w:ascii="Arial" w:cs="Arial" w:eastAsia="Arial" w:hAnsi="Arial"/>
                <w:color w:val="333333"/>
                <w:sz w:val="20"/>
                <w:szCs w:val="20"/>
              </w:rPr>
              <w:t xml:space="preserve">4-month immunity period — protected runway to build validator adoption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FF" w:sz="6"/>
              <w:left w:val="none" w:color="FFFFFF" w:sz="0"/>
              <w:bottom w:val="none" w:color="FFFFFF" w:sz="0"/>
              <w:right w:val="none" w:color="FFFFFF" w:sz="0"/>
            </w:tcBorders>
            <w:shd w:fill="F0F4FF" w:val="clear"/>
            <w:tcMar>
              <w:top w:type="dxa" w:w="160"/>
              <w:left w:type="dxa" w:w="240"/>
              <w:bottom w:type="dxa" w:w="160"/>
              <w:right w:type="dxa" w:w="240"/>
            </w:tcMar>
          </w:tcPr>
          <w:p>
            <w:pPr>
              <w:spacing w:after="40" w:before="40"/>
            </w:pPr>
            <w:r>
              <w:rPr>
                <w:rFonts w:ascii="Arial" w:cs="Arial" w:eastAsia="Arial" w:hAnsi="Arial"/>
                <w:b w:val="false"/>
                <w:bCs w:val="false"/>
                <w:color w:val="0052FF"/>
                <w:sz w:val="22"/>
                <w:szCs w:val="22"/>
              </w:rPr>
              <w:t xml:space="preserve">First-mover position: Zero Base subnets exist on Bittensor today.</w:t>
            </w:r>
          </w:p>
          <w:p>
            <w:pPr>
              <w:spacing w:after="40" w:before="40"/>
            </w:pPr>
            <w:r>
              <w:rPr>
                <w:rFonts w:ascii="Arial" w:cs="Arial" w:eastAsia="Arial" w:hAnsi="Arial"/>
                <w:b w:val="false"/>
                <w:bCs w:val="false"/>
                <w:color w:val="0052FF"/>
                <w:sz w:val="22"/>
                <w:szCs w:val="22"/>
              </w:rPr>
              <w:t xml:space="preserve">Being first in this category — with an open-source, Apache-licensed reference implementation —</w:t>
            </w:r>
          </w:p>
          <w:p>
            <w:pPr>
              <w:spacing w:after="40" w:before="40"/>
            </w:pPr>
            <w:r>
              <w:rPr>
                <w:rFonts w:ascii="Arial" w:cs="Arial" w:eastAsia="Arial" w:hAnsi="Arial"/>
                <w:b w:val="false"/>
                <w:bCs w:val="false"/>
                <w:color w:val="0052FF"/>
                <w:sz w:val="22"/>
                <w:szCs w:val="22"/>
              </w:rPr>
              <w:t xml:space="preserve">creates a durable structural advantage that compounds as both ecosystems grow.</w:t>
            </w:r>
          </w:p>
        </w:tc>
      </w:tr>
    </w:tbl>
    <w:p>
      <w:pPr>
        <w:pBdr>
          <w:bottom w:val="single" w:color="DDDDDD" w:sz="4" w:space="1"/>
        </w:pBdr>
        <w:spacing w:after="160" w:before="160"/>
      </w:pPr>
    </w:p>
    <w:p>
      <w:r>
        <w:br w:type="page"/>
      </w:r>
    </w:p>
    <w:p>
      <w:pPr>
        <w:pStyle w:val="Heading1"/>
        <w:spacing w:after="160" w:before="360"/>
      </w:pPr>
      <w:r>
        <w:rPr>
          <w:rFonts w:ascii="Arial" w:cs="Arial" w:eastAsia="Arial" w:hAnsi="Arial"/>
          <w:b/>
          <w:bCs/>
          <w:color w:val="000000"/>
          <w:sz w:val="32"/>
          <w:szCs w:val="32"/>
        </w:rPr>
        <w:t xml:space="preserve">3. Technical Architecture</w:t>
      </w:r>
    </w:p>
    <w:p>
      <w:pPr>
        <w:spacing w:after="80" w:before="60"/>
      </w:pPr>
      <w:r>
        <w:rPr>
          <w:rFonts w:ascii="Arial" w:cs="Arial" w:eastAsia="Arial" w:hAnsi="Arial"/>
          <w:color w:val="333333"/>
          <w:sz w:val="22"/>
          <w:szCs w:val="22"/>
        </w:rPr>
        <w:t xml:space="preserve">The subnet maps directly to the Arctura six-layer signal stack — a production architecture for autonomous resource management already in active development.</w:t>
      </w:r>
    </w:p>
    <w:p>
      <w:pPr>
        <w:spacing w:after="0" w:before="80"/>
      </w:pPr>
    </w:p>
    <w:p>
      <w:pPr>
        <w:pStyle w:val="Heading2"/>
        <w:spacing w:after="120" w:before="280"/>
      </w:pPr>
      <w:r>
        <w:rPr>
          <w:rFonts w:ascii="Arial" w:cs="Arial" w:eastAsia="Arial" w:hAnsi="Arial"/>
          <w:b/>
          <w:bCs/>
          <w:color w:val="111111"/>
          <w:sz w:val="26"/>
          <w:szCs w:val="26"/>
        </w:rPr>
        <w:t xml:space="preserve">Core protocol — BaseSubnetSynapse</w:t>
      </w:r>
    </w:p>
    <w:p>
      <w:pPr>
        <w:spacing w:after="80" w:before="60"/>
      </w:pPr>
      <w:r>
        <w:rPr>
          <w:rFonts w:ascii="Arial" w:cs="Arial" w:eastAsia="Arial" w:hAnsi="Arial"/>
          <w:color w:val="333333"/>
          <w:sz w:val="22"/>
          <w:szCs w:val="22"/>
        </w:rPr>
        <w:t xml:space="preserve">The synapse is what validators ask and what miners prove. It carries both the mandate (what Base data to fetch) and the attestation (the Merkle-anchored proof of what was found).</w:t>
      </w:r>
    </w:p>
    <w:p>
      <w:pPr>
        <w:spacing w:after="0" w:before="60"/>
      </w:pPr>
    </w:p>
    <w:p>
      <w:pPr>
        <w:spacing w:after="40" w:before="40"/>
        <w:ind w:left="720"/>
      </w:pPr>
      <w:r>
        <w:rPr>
          <w:rFonts w:ascii="Courier New" w:cs="Courier New" w:eastAsia="Courier New" w:hAnsi="Courier New"/>
          <w:color w:val="0052FF"/>
          <w:sz w:val="20"/>
          <w:szCs w:val="20"/>
        </w:rPr>
        <w:t xml:space="preserve"># arctura_base/protocol.py</w:t>
      </w:r>
    </w:p>
    <w:p>
      <w:pPr>
        <w:spacing w:after="40" w:before="40"/>
        <w:ind w:left="720"/>
      </w:pPr>
      <w:r>
        <w:rPr>
          <w:rFonts w:ascii="Courier New" w:cs="Courier New" w:eastAsia="Courier New" w:hAnsi="Courier New"/>
          <w:color w:val="0052FF"/>
          <w:sz w:val="20"/>
          <w:szCs w:val="20"/>
        </w:rPr>
        <w:t xml:space="preserve">class BaseSubnetSynapse(bt.Synapse):</w:t>
      </w:r>
    </w:p>
    <w:p>
      <w:pPr>
        <w:spacing w:after="40" w:before="40"/>
        <w:ind w:left="720"/>
      </w:pPr>
      <w:r>
        <w:rPr>
          <w:rFonts w:ascii="Courier New" w:cs="Courier New" w:eastAsia="Courier New" w:hAnsi="Courier New"/>
          <w:color w:val="0052FF"/>
          <w:sz w:val="20"/>
          <w:szCs w:val="20"/>
        </w:rPr>
        <w:t xml:space="preserve">    # Mandate fields</w:t>
      </w:r>
    </w:p>
    <w:p>
      <w:pPr>
        <w:spacing w:after="40" w:before="40"/>
        <w:ind w:left="720"/>
      </w:pPr>
      <w:r>
        <w:rPr>
          <w:rFonts w:ascii="Courier New" w:cs="Courier New" w:eastAsia="Courier New" w:hAnsi="Courier New"/>
          <w:color w:val="0052FF"/>
          <w:sz w:val="20"/>
          <w:szCs w:val="20"/>
        </w:rPr>
        <w:t xml:space="preserve">    base_block_range: tuple[int, int] = (0, 0)</w:t>
      </w:r>
    </w:p>
    <w:p>
      <w:pPr>
        <w:spacing w:after="40" w:before="40"/>
        <w:ind w:left="720"/>
      </w:pPr>
      <w:r>
        <w:rPr>
          <w:rFonts w:ascii="Courier New" w:cs="Courier New" w:eastAsia="Courier New" w:hAnsi="Courier New"/>
          <w:color w:val="0052FF"/>
          <w:sz w:val="20"/>
          <w:szCs w:val="20"/>
        </w:rPr>
        <w:t xml:space="preserve">    contract_address: Optional[str] = None</w:t>
      </w:r>
    </w:p>
    <w:p>
      <w:pPr>
        <w:spacing w:after="40" w:before="40"/>
        <w:ind w:left="720"/>
      </w:pPr>
      <w:r>
        <w:rPr>
          <w:rFonts w:ascii="Courier New" w:cs="Courier New" w:eastAsia="Courier New" w:hAnsi="Courier New"/>
          <w:color w:val="0052FF"/>
          <w:sz w:val="20"/>
          <w:szCs w:val="20"/>
        </w:rPr>
        <w:t xml:space="preserve">    query_type: str = ''  # balance | events | state | agent_action</w:t>
      </w:r>
    </w:p>
    <w:p>
      <w:pPr>
        <w:spacing w:after="40" w:before="40"/>
        <w:ind w:left="720"/>
      </w:pPr>
      <w:r>
        <w:rPr>
          <w:rFonts w:ascii="Courier New" w:cs="Courier New" w:eastAsia="Courier New" w:hAnsi="Courier New"/>
          <w:color w:val="0052FF"/>
          <w:sz w:val="20"/>
          <w:szCs w:val="20"/>
        </w:rPr>
        <w:t xml:space="preserve">    mandate_payload: dict = {}</w:t>
      </w:r>
    </w:p>
    <w:p>
      <w:pPr>
        <w:spacing w:after="40" w:before="40"/>
        <w:ind w:left="720"/>
      </w:pPr>
      <w:r>
        <w:rPr>
          <w:rFonts w:ascii="Courier New" w:cs="Courier New" w:eastAsia="Courier New" w:hAnsi="Courier New"/>
          <w:color w:val="0052FF"/>
          <w:sz w:val="20"/>
          <w:szCs w:val="20"/>
        </w:rPr>
        <w:t xml:space="preserve"/>
      </w:r>
    </w:p>
    <w:p>
      <w:pPr>
        <w:spacing w:after="40" w:before="40"/>
        <w:ind w:left="720"/>
      </w:pPr>
      <w:r>
        <w:rPr>
          <w:rFonts w:ascii="Courier New" w:cs="Courier New" w:eastAsia="Courier New" w:hAnsi="Courier New"/>
          <w:color w:val="0052FF"/>
          <w:sz w:val="20"/>
          <w:szCs w:val="20"/>
        </w:rPr>
        <w:t xml:space="preserve">    # Attestation fields (miner fills these)</w:t>
      </w:r>
    </w:p>
    <w:p>
      <w:pPr>
        <w:spacing w:after="40" w:before="40"/>
        <w:ind w:left="720"/>
      </w:pPr>
      <w:r>
        <w:rPr>
          <w:rFonts w:ascii="Courier New" w:cs="Courier New" w:eastAsia="Courier New" w:hAnsi="Courier New"/>
          <w:color w:val="0052FF"/>
          <w:sz w:val="20"/>
          <w:szCs w:val="20"/>
        </w:rPr>
        <w:t xml:space="preserve">    base_state_hash: Optional[str] = None</w:t>
      </w:r>
    </w:p>
    <w:p>
      <w:pPr>
        <w:spacing w:after="40" w:before="40"/>
        <w:ind w:left="720"/>
      </w:pPr>
      <w:r>
        <w:rPr>
          <w:rFonts w:ascii="Courier New" w:cs="Courier New" w:eastAsia="Courier New" w:hAnsi="Courier New"/>
          <w:color w:val="0052FF"/>
          <w:sz w:val="20"/>
          <w:szCs w:val="20"/>
        </w:rPr>
        <w:t xml:space="preserve">    merkle_proof: Optional[list] = None</w:t>
      </w:r>
    </w:p>
    <w:p>
      <w:pPr>
        <w:spacing w:after="40" w:before="40"/>
        <w:ind w:left="720"/>
      </w:pPr>
      <w:r>
        <w:rPr>
          <w:rFonts w:ascii="Courier New" w:cs="Courier New" w:eastAsia="Courier New" w:hAnsi="Courier New"/>
          <w:color w:val="0052FF"/>
          <w:sz w:val="20"/>
          <w:szCs w:val="20"/>
        </w:rPr>
        <w:t xml:space="preserve">    block_hash_anchor: Optional[str] = None  # anchored to Base block</w:t>
      </w:r>
    </w:p>
    <w:p>
      <w:pPr>
        <w:spacing w:after="40" w:before="40"/>
        <w:ind w:left="720"/>
      </w:pPr>
      <w:r>
        <w:rPr>
          <w:rFonts w:ascii="Courier New" w:cs="Courier New" w:eastAsia="Courier New" w:hAnsi="Courier New"/>
          <w:color w:val="0052FF"/>
          <w:sz w:val="20"/>
          <w:szCs w:val="20"/>
        </w:rPr>
        <w:t xml:space="preserve">    execution_trace: Optional[dict] = None</w:t>
      </w:r>
    </w:p>
    <w:p>
      <w:pPr>
        <w:spacing w:after="40" w:before="40"/>
        <w:ind w:left="720"/>
      </w:pPr>
      <w:r>
        <w:rPr>
          <w:rFonts w:ascii="Courier New" w:cs="Courier New" w:eastAsia="Courier New" w:hAnsi="Courier New"/>
          <w:color w:val="0052FF"/>
          <w:sz w:val="20"/>
          <w:szCs w:val="20"/>
        </w:rPr>
        <w:t xml:space="preserve">    confidence: float = 0.0  # [0.0, 1.0]</w:t>
      </w:r>
    </w:p>
    <w:p>
      <w:pPr>
        <w:spacing w:after="0" w:before="120"/>
      </w:pPr>
    </w:p>
    <w:p>
      <w:pPr>
        <w:pStyle w:val="Heading2"/>
        <w:spacing w:after="120" w:before="280"/>
      </w:pPr>
      <w:r>
        <w:rPr>
          <w:rFonts w:ascii="Arial" w:cs="Arial" w:eastAsia="Arial" w:hAnsi="Arial"/>
          <w:b/>
          <w:bCs/>
          <w:color w:val="111111"/>
          <w:sz w:val="26"/>
          <w:szCs w:val="26"/>
        </w:rPr>
        <w:t xml:space="preserve">Validator scoring — Resonance BFT</w:t>
      </w:r>
    </w:p>
    <w:p>
      <w:pPr>
        <w:spacing w:after="80" w:before="60"/>
      </w:pPr>
      <w:r>
        <w:rPr>
          <w:rFonts w:ascii="Arial" w:cs="Arial" w:eastAsia="Arial" w:hAnsi="Arial"/>
          <w:color w:val="333333"/>
          <w:sz w:val="22"/>
          <w:szCs w:val="22"/>
        </w:rPr>
        <w:t xml:space="preserve">Validators score miners by verifying the Merkle proof against the live Base block hash. No valid proof = zero weight = no TAO. Fabricated or stale attestations are penalized to zero automatically.</w:t>
      </w:r>
    </w:p>
    <w:p>
      <w:pPr>
        <w:spacing w:after="0" w:before="60"/>
      </w:pPr>
    </w:p>
    <w:p>
      <w:pPr>
        <w:spacing w:after="40" w:before="40"/>
        <w:ind w:left="720"/>
      </w:pPr>
      <w:r>
        <w:rPr>
          <w:rFonts w:ascii="Courier New" w:cs="Courier New" w:eastAsia="Courier New" w:hAnsi="Courier New"/>
          <w:color w:val="0052FF"/>
          <w:sz w:val="20"/>
          <w:szCs w:val="20"/>
        </w:rPr>
        <w:t xml:space="preserve"># neurons/validator.py — scoring logic</w:t>
      </w:r>
    </w:p>
    <w:p>
      <w:pPr>
        <w:spacing w:after="40" w:before="40"/>
        <w:ind w:left="720"/>
      </w:pPr>
      <w:r>
        <w:rPr>
          <w:rFonts w:ascii="Courier New" w:cs="Courier New" w:eastAsia="Courier New" w:hAnsi="Courier New"/>
          <w:color w:val="0052FF"/>
          <w:sz w:val="20"/>
          <w:szCs w:val="20"/>
        </w:rPr>
        <w:t xml:space="preserve">def score_miner_response(response, reference_block_hash):</w:t>
      </w:r>
    </w:p>
    <w:p>
      <w:pPr>
        <w:spacing w:after="40" w:before="40"/>
        <w:ind w:left="720"/>
      </w:pPr>
      <w:r>
        <w:rPr>
          <w:rFonts w:ascii="Courier New" w:cs="Courier New" w:eastAsia="Courier New" w:hAnsi="Courier New"/>
          <w:color w:val="0052FF"/>
          <w:sz w:val="20"/>
          <w:szCs w:val="20"/>
        </w:rPr>
        <w:t xml:space="preserve">    if not response.merkle_proof: return 0.0</w:t>
      </w:r>
    </w:p>
    <w:p>
      <w:pPr>
        <w:spacing w:after="40" w:before="40"/>
        <w:ind w:left="720"/>
      </w:pPr>
      <w:r>
        <w:rPr>
          <w:rFonts w:ascii="Courier New" w:cs="Courier New" w:eastAsia="Courier New" w:hAnsi="Courier New"/>
          <w:color w:val="0052FF"/>
          <w:sz w:val="20"/>
          <w:szCs w:val="20"/>
        </w:rPr>
        <w:t xml:space="preserve">    if not verify_merkle_proof(response.merkle_proof,</w:t>
      </w:r>
    </w:p>
    <w:p>
      <w:pPr>
        <w:spacing w:after="40" w:before="40"/>
        <w:ind w:left="720"/>
      </w:pPr>
      <w:r>
        <w:rPr>
          <w:rFonts w:ascii="Courier New" w:cs="Courier New" w:eastAsia="Courier New" w:hAnsi="Courier New"/>
          <w:color w:val="0052FF"/>
          <w:sz w:val="20"/>
          <w:szCs w:val="20"/>
        </w:rPr>
        <w:t xml:space="preserve">                               response.base_state_hash): return 0.0</w:t>
      </w:r>
    </w:p>
    <w:p>
      <w:pPr>
        <w:spacing w:after="40" w:before="40"/>
        <w:ind w:left="720"/>
      </w:pPr>
      <w:r>
        <w:rPr>
          <w:rFonts w:ascii="Courier New" w:cs="Courier New" w:eastAsia="Courier New" w:hAnsi="Courier New"/>
          <w:color w:val="0052FF"/>
          <w:sz w:val="20"/>
          <w:szCs w:val="20"/>
        </w:rPr>
        <w:t xml:space="preserve">    if response.block_hash_anchor != reference_block_hash: return 0.0</w:t>
      </w:r>
    </w:p>
    <w:p>
      <w:pPr>
        <w:spacing w:after="40" w:before="40"/>
        <w:ind w:left="720"/>
      </w:pPr>
      <w:r>
        <w:rPr>
          <w:rFonts w:ascii="Courier New" w:cs="Courier New" w:eastAsia="Courier New" w:hAnsi="Courier New"/>
          <w:color w:val="0052FF"/>
          <w:sz w:val="20"/>
          <w:szCs w:val="20"/>
        </w:rPr>
        <w:t xml:space="preserve">    return response.confidence  # weighted by proof completeness</w:t>
      </w:r>
    </w:p>
    <w:p>
      <w:pPr>
        <w:spacing w:after="0" w:before="120"/>
      </w:pPr>
    </w:p>
    <w:p>
      <w:pPr>
        <w:pStyle w:val="Heading2"/>
        <w:spacing w:after="120" w:before="280"/>
      </w:pPr>
      <w:r>
        <w:rPr>
          <w:rFonts w:ascii="Arial" w:cs="Arial" w:eastAsia="Arial" w:hAnsi="Arial"/>
          <w:b/>
          <w:bCs/>
          <w:color w:val="111111"/>
          <w:sz w:val="26"/>
          <w:szCs w:val="26"/>
        </w:rPr>
        <w:t xml:space="preserve">Six-layer stack mapping</w:t>
      </w:r>
    </w:p>
    <w:tbl>
      <w:tblPr>
        <w:tblW w:type="dxa" w:w="9360"/>
        <w:tblBorders>
          <w:top w:val="single" w:color="EEEEEE" w:sz="1"/>
          <w:left w:val="single" w:color="EEEEEE" w:sz="1"/>
          <w:bottom w:val="single" w:color="EEEEEE" w:sz="1"/>
          <w:right w:val="single" w:color="EEEEEE" w:sz="1"/>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L0 · Intent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BaseSubnetSynapse — validators issue mandates: block ranges, contracts, events</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L1 · Orchestration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neurons/validator.py — routes mandates, handles retries, escalates failures</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L2 · Sandbox</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Deterministic execution — same Base state in → same output out. Reproducible.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L3 · Cognitive Mesh</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AgentKit adapter — miners can execute onchain agent actions as mandate types</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L4 · Memory Fabric</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Local Base state index — contract state, tx history, event logs. Off-chain, attested.</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L5 · Action Surface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MCP bindings — Axon endpoints expose Base reads to any MCP-compatible AI agent</w:t>
            </w:r>
          </w:p>
        </w:tc>
      </w:tr>
    </w:tbl>
    <w:p>
      <w:pPr>
        <w:spacing w:after="0" w:before="120"/>
      </w:pPr>
    </w:p>
    <w:p>
      <w:pPr>
        <w:pStyle w:val="Heading2"/>
        <w:spacing w:after="120" w:before="280"/>
      </w:pPr>
      <w:r>
        <w:rPr>
          <w:rFonts w:ascii="Arial" w:cs="Arial" w:eastAsia="Arial" w:hAnsi="Arial"/>
          <w:b/>
          <w:bCs/>
          <w:color w:val="111111"/>
          <w:sz w:val="26"/>
          <w:szCs w:val="26"/>
        </w:rPr>
        <w:t xml:space="preserve">Open source deliverables</w:t>
      </w:r>
    </w:p>
    <w:p>
      <w:pPr>
        <w:spacing w:after="80" w:before="60"/>
      </w:pPr>
      <w:r>
        <w:rPr>
          <w:rFonts w:ascii="Arial" w:cs="Arial" w:eastAsia="Arial" w:hAnsi="Arial"/>
          <w:color w:val="333333"/>
          <w:sz w:val="22"/>
          <w:szCs w:val="22"/>
        </w:rPr>
        <w:t xml:space="preserve">Everything below ships Apache-2.0 to github.com/virtualmase/arctura-base-subnet: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File / Module</w:t>
            </w:r>
          </w:p>
        </w:tc>
        <w:tc>
          <w:tcPr>
            <w:tcW w:type="dxa" w:w="612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What it delivers</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arctura_base/protocol.py</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BaseSubnetSynapse — mandate + attestation schema with Base block hash anchoring</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neurons/miner.py</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Base RPC reader — fetches state, builds Merkle proofs, optional AgentKit integration</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neurons/validator.py</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Resonance BFT scoring — verifies against live block hashes, sets Yuma weights</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arctura_base/base_rpc.py</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Base chain client — wraps Coinbase public RPC and CDP SDK</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arctura_base/agentkit.py</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AgentKit adapter — Base onchain actions as mandate types</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docs/BASE_INTEGRATION.md</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guide: Base RPC, AgentKit, MCP bindings, smart wallet support</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docs/FUNDING_GUIDE.md</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Step-by-step for all four Base funding programs</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agent/arctura-base-agent.html</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Claude-powered Base × Bittensor advisor, streaming AI</w:t>
            </w:r>
          </w:p>
        </w:tc>
      </w:tr>
      <w:tr>
        <w:tc>
          <w:tcPr>
            <w:tcW w:type="dxa" w:w="3240"/>
            <w:tcBorders>
              <w:top w:val="single" w:color="DDDDDD" w:sz="1"/>
              <w:left w:val="single" w:color="DDDDDD" w:sz="1"/>
              <w:bottom w:val="single" w:color="DDDDDD" w:sz="1"/>
              <w:right w:val="single" w:color="DDDDDD" w:sz="1"/>
            </w:tcBorders>
            <w:shd w:fill="F5F7FF" w:val="clear"/>
            <w:tcMar>
              <w:top w:type="dxa" w:w="80"/>
              <w:left w:type="dxa" w:w="120"/>
              <w:bottom w:type="dxa" w:w="80"/>
              <w:right w:type="dxa" w:w="120"/>
            </w:tcMar>
          </w:tcPr>
          <w:p>
            <w:r>
              <w:rPr>
                <w:rFonts w:ascii="Courier New" w:cs="Courier New" w:eastAsia="Courier New" w:hAnsi="Courier New"/>
                <w:color w:val="0052FF"/>
                <w:sz w:val="18"/>
                <w:szCs w:val="18"/>
              </w:rPr>
              <w:t xml:space="preserve">training/base_qa_scenarios.json</w:t>
            </w:r>
          </w:p>
        </w:tc>
        <w:tc>
          <w:tcPr>
            <w:tcW w:type="dxa" w:w="6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 Q&amp;A scenarios for agent training and documentation</w:t>
            </w:r>
          </w:p>
        </w:tc>
      </w:tr>
    </w:tbl>
    <w:p>
      <w:pPr>
        <w:pBdr>
          <w:bottom w:val="single" w:color="DDDDDD" w:sz="4" w:space="1"/>
        </w:pBdr>
        <w:spacing w:after="160" w:before="160"/>
      </w:pPr>
    </w:p>
    <w:p>
      <w:r>
        <w:br w:type="page"/>
      </w:r>
    </w:p>
    <w:p>
      <w:pPr>
        <w:pStyle w:val="Heading1"/>
        <w:spacing w:after="160" w:before="360"/>
      </w:pPr>
      <w:r>
        <w:rPr>
          <w:rFonts w:ascii="Arial" w:cs="Arial" w:eastAsia="Arial" w:hAnsi="Arial"/>
          <w:b/>
          <w:bCs/>
          <w:color w:val="000000"/>
          <w:sz w:val="32"/>
          <w:szCs w:val="32"/>
        </w:rPr>
        <w:t xml:space="preserve">4. Launch Plan — 8 Weeks to Mainnet</w:t>
      </w:r>
    </w:p>
    <w:tbl>
      <w:tblPr>
        <w:tblW w:type="dxa" w:w="9360"/>
        <w:tblBorders>
          <w:top w:val="single" w:color="EEEEEE" w:sz="1"/>
          <w:left w:val="single" w:color="EEEEEE" w:sz="1"/>
          <w:bottom w:val="single" w:color="EEEEEE" w:sz="1"/>
          <w:right w:val="single" w:color="EEEEEE" w:sz="1"/>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Phase 0 · Weeks 1–2</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Foundation Signal — Repo live, base.arctura.network up, wallets funded, Base Builder Rewards applied. First public X posts documenting the build.</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Phase 1 · Weeks 3–4</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Protocol Build — protocol.py, miner.py, validator.py working on local chain. Base RPC verified. Merkle attestation loop end-to-end. Ship working code publicly.</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Phase 2 · Weeks 5–6</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Testnet Validation — Register on Bittensor testnet. End-to-end attestation confirmed. Weights set. Builder Grant application submitted with live testnet netuid as proof.</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Phase 3 · Weeks 7–8</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Mainnet Registration — btcli subnet create on Finney. External validators recruited. Immunity period begins. AgentKit integration live.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Phase 4 · Q3 2026</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Base Batches — Deep AgentKit integration, smart wallet mandates, Batches application submitted with live mainnet netuid and validator traction metrics.</w:t>
            </w:r>
          </w:p>
        </w:tc>
      </w:tr>
    </w:tbl>
    <w:p>
      <w:pPr>
        <w:spacing w:after="0" w:before="160"/>
      </w:pPr>
    </w:p>
    <w:p>
      <w:pPr>
        <w:pStyle w:val="Heading2"/>
        <w:spacing w:after="120" w:before="280"/>
      </w:pPr>
      <w:r>
        <w:rPr>
          <w:rFonts w:ascii="Arial" w:cs="Arial" w:eastAsia="Arial" w:hAnsi="Arial"/>
          <w:b/>
          <w:bCs/>
          <w:color w:val="111111"/>
          <w:sz w:val="26"/>
          <w:szCs w:val="26"/>
        </w:rPr>
        <w:t xml:space="preserve">Bittensor wallet setup (for reviewers)</w:t>
      </w:r>
    </w:p>
    <w:p>
      <w:pPr>
        <w:spacing w:after="80" w:before="60"/>
      </w:pPr>
      <w:r>
        <w:rPr>
          <w:rFonts w:ascii="Arial" w:cs="Arial" w:eastAsia="Arial" w:hAnsi="Arial"/>
          <w:color w:val="333333"/>
          <w:sz w:val="22"/>
          <w:szCs w:val="22"/>
        </w:rPr>
        <w:t xml:space="preserve">Three wallets are required. All coldkeys are stored offline. Only hotkeys interact with the network.</w:t>
      </w:r>
    </w:p>
    <w:p>
      <w:pPr>
        <w:spacing w:after="0" w:before="60"/>
      </w:pPr>
    </w:p>
    <w:p>
      <w:pPr>
        <w:spacing w:after="40" w:before="40"/>
        <w:ind w:left="720"/>
      </w:pPr>
      <w:r>
        <w:rPr>
          <w:rFonts w:ascii="Courier New" w:cs="Courier New" w:eastAsia="Courier New" w:hAnsi="Courier New"/>
          <w:color w:val="0052FF"/>
          <w:sz w:val="20"/>
          <w:szCs w:val="20"/>
        </w:rPr>
        <w:t xml:space="preserve"># Check current registration cost (dynamic — always verify before registering)</w:t>
      </w:r>
    </w:p>
    <w:p>
      <w:pPr>
        <w:spacing w:after="40" w:before="40"/>
        <w:ind w:left="720"/>
      </w:pPr>
      <w:r>
        <w:rPr>
          <w:rFonts w:ascii="Courier New" w:cs="Courier New" w:eastAsia="Courier New" w:hAnsi="Courier New"/>
          <w:color w:val="0052FF"/>
          <w:sz w:val="20"/>
          <w:szCs w:val="20"/>
        </w:rPr>
        <w:t xml:space="preserve">btcli subnet burn_cost --subtensor.network finney</w:t>
      </w:r>
    </w:p>
    <w:p>
      <w:pPr>
        <w:spacing w:after="40" w:before="40"/>
        <w:ind w:left="720"/>
      </w:pPr>
      <w:r>
        <w:rPr>
          <w:rFonts w:ascii="Courier New" w:cs="Courier New" w:eastAsia="Courier New" w:hAnsi="Courier New"/>
          <w:color w:val="0052FF"/>
          <w:sz w:val="20"/>
          <w:szCs w:val="20"/>
        </w:rPr>
        <w:t xml:space="preserve"/>
      </w:r>
    </w:p>
    <w:p>
      <w:pPr>
        <w:spacing w:after="40" w:before="40"/>
        <w:ind w:left="720"/>
      </w:pPr>
      <w:r>
        <w:rPr>
          <w:rFonts w:ascii="Courier New" w:cs="Courier New" w:eastAsia="Courier New" w:hAnsi="Courier New"/>
          <w:color w:val="0052FF"/>
          <w:sz w:val="20"/>
          <w:szCs w:val="20"/>
        </w:rPr>
        <w:t xml:space="preserve"># Owner wallet — creates and controls the subnet</w:t>
      </w:r>
    </w:p>
    <w:p>
      <w:pPr>
        <w:spacing w:after="40" w:before="40"/>
        <w:ind w:left="720"/>
      </w:pPr>
      <w:r>
        <w:rPr>
          <w:rFonts w:ascii="Courier New" w:cs="Courier New" w:eastAsia="Courier New" w:hAnsi="Courier New"/>
          <w:color w:val="0052FF"/>
          <w:sz w:val="20"/>
          <w:szCs w:val="20"/>
        </w:rPr>
        <w:t xml:space="preserve">btcli wallet new_coldkey --wallet.name owner</w:t>
      </w:r>
    </w:p>
    <w:p>
      <w:pPr>
        <w:spacing w:after="40" w:before="40"/>
        <w:ind w:left="720"/>
      </w:pPr>
      <w:r>
        <w:rPr>
          <w:rFonts w:ascii="Courier New" w:cs="Courier New" w:eastAsia="Courier New" w:hAnsi="Courier New"/>
          <w:color w:val="0052FF"/>
          <w:sz w:val="20"/>
          <w:szCs w:val="20"/>
        </w:rPr>
        <w:t xml:space="preserve">btcli wallet new_hotkey  --wallet.name owner --wallet.hotkey default</w:t>
      </w:r>
    </w:p>
    <w:p>
      <w:pPr>
        <w:spacing w:after="40" w:before="40"/>
        <w:ind w:left="720"/>
      </w:pPr>
      <w:r>
        <w:rPr>
          <w:rFonts w:ascii="Courier New" w:cs="Courier New" w:eastAsia="Courier New" w:hAnsi="Courier New"/>
          <w:color w:val="0052FF"/>
          <w:sz w:val="20"/>
          <w:szCs w:val="20"/>
        </w:rPr>
        <w:t xml:space="preserve"/>
      </w:r>
    </w:p>
    <w:p>
      <w:pPr>
        <w:spacing w:after="40" w:before="40"/>
        <w:ind w:left="720"/>
      </w:pPr>
      <w:r>
        <w:rPr>
          <w:rFonts w:ascii="Courier New" w:cs="Courier New" w:eastAsia="Courier New" w:hAnsi="Courier New"/>
          <w:color w:val="0052FF"/>
          <w:sz w:val="20"/>
          <w:szCs w:val="20"/>
        </w:rPr>
        <w:t xml:space="preserve"># Register subnet on mainnet</w:t>
      </w:r>
    </w:p>
    <w:p>
      <w:pPr>
        <w:spacing w:after="40" w:before="40"/>
        <w:ind w:left="720"/>
      </w:pPr>
      <w:r>
        <w:rPr>
          <w:rFonts w:ascii="Courier New" w:cs="Courier New" w:eastAsia="Courier New" w:hAnsi="Courier New"/>
          <w:color w:val="0052FF"/>
          <w:sz w:val="20"/>
          <w:szCs w:val="20"/>
        </w:rPr>
        <w:t xml:space="preserve">btcli subnet create --wallet.name owner --subtensor.network finney</w:t>
      </w:r>
    </w:p>
    <w:p>
      <w:pPr>
        <w:pBdr>
          <w:bottom w:val="single" w:color="DDDDDD" w:sz="4" w:space="1"/>
        </w:pBdr>
        <w:spacing w:after="160" w:before="160"/>
      </w:pPr>
    </w:p>
    <w:p>
      <w:pPr>
        <w:pStyle w:val="Heading1"/>
        <w:spacing w:after="160" w:before="360"/>
      </w:pPr>
      <w:r>
        <w:rPr>
          <w:rFonts w:ascii="Arial" w:cs="Arial" w:eastAsia="Arial" w:hAnsi="Arial"/>
          <w:b/>
          <w:bCs/>
          <w:color w:val="000000"/>
          <w:sz w:val="32"/>
          <w:szCs w:val="32"/>
        </w:rPr>
        <w:t xml:space="preserve">5. Funding Strategy</w:t>
      </w:r>
    </w:p>
    <w:p>
      <w:pPr>
        <w:spacing w:after="80" w:before="60"/>
      </w:pPr>
      <w:r>
        <w:rPr>
          <w:rFonts w:ascii="Arial" w:cs="Arial" w:eastAsia="Arial" w:hAnsi="Arial"/>
          <w:color w:val="333333"/>
          <w:sz w:val="22"/>
          <w:szCs w:val="22"/>
        </w:rPr>
        <w:t xml:space="preserve">The project is designed to layer multiple non-dilutive funding streams, each triggered by shipped milestones rather than proposals.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c>
          <w:tcPr>
            <w:tcW w:type="dxa" w:w="234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Program</w:t>
            </w:r>
          </w:p>
        </w:tc>
        <w:tc>
          <w:tcPr>
            <w:tcW w:type="dxa" w:w="234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Amount</w:t>
            </w:r>
          </w:p>
        </w:tc>
        <w:tc>
          <w:tcPr>
            <w:tcW w:type="dxa" w:w="234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Timing</w:t>
            </w:r>
          </w:p>
        </w:tc>
        <w:tc>
          <w:tcPr>
            <w:tcW w:type="dxa" w:w="2340"/>
            <w:tcBorders>
              <w:top w:val="single" w:color="DDDDDD" w:sz="1"/>
              <w:left w:val="single" w:color="DDDDDD" w:sz="1"/>
              <w:bottom w:val="single" w:color="DDDDDD" w:sz="1"/>
              <w:right w:val="single" w:color="DDDDDD" w:sz="1"/>
            </w:tcBorders>
            <w:shd w:fill="051433" w:val="clear"/>
            <w:tcMar>
              <w:top w:type="dxa" w:w="80"/>
              <w:left w:type="dxa" w:w="120"/>
              <w:bottom w:type="dxa" w:w="80"/>
              <w:right w:type="dxa" w:w="120"/>
            </w:tcMar>
          </w:tcPr>
          <w:p>
            <w:r>
              <w:rPr>
                <w:rFonts w:ascii="Arial" w:cs="Arial" w:eastAsia="Arial" w:hAnsi="Arial"/>
                <w:b/>
                <w:bCs/>
                <w:color w:val="E8EEFF"/>
                <w:sz w:val="18"/>
                <w:szCs w:val="18"/>
              </w:rPr>
              <w:t xml:space="preserve">Action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52FF"/>
                <w:sz w:val="20"/>
                <w:szCs w:val="20"/>
              </w:rPr>
              <w:t xml:space="preserve">Base Builder Rewards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C47A"/>
                <w:sz w:val="20"/>
                <w:szCs w:val="20"/>
              </w:rPr>
              <w:t xml:space="preserve">2 ETH/week</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5F8A"/>
                <w:sz w:val="20"/>
                <w:szCs w:val="20"/>
              </w:rPr>
              <w:t xml:space="preserve">Weeks 1+</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Apply builderscore.xyz — active builds, public X posts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52FF"/>
                <w:sz w:val="20"/>
                <w:szCs w:val="20"/>
              </w:rPr>
              <w:t xml:space="preserve">Base Builder Grants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C47A"/>
                <w:sz w:val="20"/>
                <w:szCs w:val="20"/>
              </w:rPr>
              <w:t xml:space="preserve">1–5 ETH</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5F8A"/>
                <w:sz w:val="20"/>
                <w:szCs w:val="20"/>
              </w:rPr>
              <w:t xml:space="preserve">Post-ship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Shipped code on Base → retroactive. Nominate self on paragraph.com/@grants.base.eth</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52FF"/>
                <w:sz w:val="20"/>
                <w:szCs w:val="20"/>
              </w:rPr>
              <w:t xml:space="preserve">OP Retro Funding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C47A"/>
                <w:sz w:val="20"/>
                <w:szCs w:val="20"/>
              </w:rPr>
              <w:t xml:space="preserve">Variable OP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5F8A"/>
                <w:sz w:val="20"/>
                <w:szCs w:val="20"/>
              </w:rPr>
              <w:t xml:space="preserve">Quarterly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Open-source public good on Base/OP Superchain. Track on Atlas.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52FF"/>
                <w:sz w:val="20"/>
                <w:szCs w:val="20"/>
              </w:rPr>
              <w:t xml:space="preserve">Base Batches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C47A"/>
                <w:sz w:val="20"/>
                <w:szCs w:val="20"/>
              </w:rPr>
              <w:t xml:space="preserve">Significant + VC</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5F8A"/>
                <w:sz w:val="20"/>
                <w:szCs w:val="20"/>
              </w:rPr>
              <w:t xml:space="preserve">Phase 2–3</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Live testnet netuid as application proof. basebatches.xyz</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52FF"/>
                <w:sz w:val="20"/>
                <w:szCs w:val="20"/>
              </w:rPr>
              <w:t xml:space="preserve">TAO Subnet Emissions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C47A"/>
                <w:sz w:val="20"/>
                <w:szCs w:val="20"/>
              </w:rPr>
              <w:t xml:space="preserve">Ongoing TAO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5F8A"/>
                <w:sz w:val="20"/>
                <w:szCs w:val="20"/>
              </w:rPr>
              <w:t xml:space="preserve">Post-mainnet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Yuma Consensus emissions to validators + miners after 7-day activation</w:t>
            </w:r>
          </w:p>
        </w:tc>
      </w:tr>
    </w:tbl>
    <w:p>
      <w:pPr>
        <w:spacing w:after="0" w:before="160"/>
      </w:pPr>
    </w:p>
    <w:p>
      <w:pPr>
        <w:pStyle w:val="Heading2"/>
        <w:spacing w:after="120" w:before="280"/>
      </w:pPr>
      <w:r>
        <w:rPr>
          <w:rFonts w:ascii="Arial" w:cs="Arial" w:eastAsia="Arial" w:hAnsi="Arial"/>
          <w:b/>
          <w:bCs/>
          <w:color w:val="111111"/>
          <w:sz w:val="26"/>
          <w:szCs w:val="26"/>
        </w:rPr>
        <w:t xml:space="preserve">Base Builder Grants — primary application</w:t>
      </w:r>
    </w:p>
    <w:p>
      <w:pPr>
        <w:spacing w:after="80" w:before="60"/>
      </w:pPr>
      <w:r>
        <w:rPr>
          <w:rFonts w:ascii="Arial" w:cs="Arial" w:eastAsia="Arial" w:hAnsi="Arial"/>
          <w:color w:val="333333"/>
          <w:sz w:val="22"/>
          <w:szCs w:val="22"/>
        </w:rPr>
        <w:t xml:space="preserve">This document is the formal application artifact. Key facts for the review team:</w:t>
      </w:r>
    </w:p>
    <w:p>
      <w:pPr>
        <w:spacing w:after="0" w:before="60"/>
      </w:pPr>
    </w:p>
    <w:p>
      <w:pPr>
        <w:pStyle w:val="ListParagraph"/>
        <w:numPr>
          <w:ilvl w:val="0"/>
          <w:numId w:val="2"/>
        </w:numPr>
        <w:spacing w:after="60" w:before="40"/>
      </w:pPr>
      <w:r>
        <w:rPr>
          <w:rFonts w:ascii="Arial" w:cs="Arial" w:eastAsia="Arial" w:hAnsi="Arial"/>
          <w:b/>
          <w:bCs/>
          <w:color w:val="111111"/>
          <w:sz w:val="22"/>
          <w:szCs w:val="22"/>
        </w:rPr>
        <w:t xml:space="preserve">Open source: </w:t>
      </w:r>
      <w:r>
        <w:rPr>
          <w:rFonts w:ascii="Arial" w:cs="Arial" w:eastAsia="Arial" w:hAnsi="Arial"/>
          <w:color w:val="333333"/>
          <w:sz w:val="22"/>
          <w:szCs w:val="22"/>
        </w:rPr>
        <w:t xml:space="preserve"> All code is Apache-2.0. Every file ships to a public GitHub repo.</w:t>
      </w:r>
    </w:p>
    <w:p>
      <w:pPr>
        <w:pStyle w:val="ListParagraph"/>
        <w:numPr>
          <w:ilvl w:val="0"/>
          <w:numId w:val="2"/>
        </w:numPr>
        <w:spacing w:after="60" w:before="40"/>
      </w:pPr>
      <w:r>
        <w:rPr>
          <w:rFonts w:ascii="Arial" w:cs="Arial" w:eastAsia="Arial" w:hAnsi="Arial"/>
          <w:b/>
          <w:bCs/>
          <w:color w:val="111111"/>
          <w:sz w:val="22"/>
          <w:szCs w:val="22"/>
        </w:rPr>
        <w:t xml:space="preserve">Deployed URL: </w:t>
      </w:r>
      <w:r>
        <w:rPr>
          <w:rFonts w:ascii="Arial" w:cs="Arial" w:eastAsia="Arial" w:hAnsi="Arial"/>
          <w:color w:val="333333"/>
          <w:sz w:val="22"/>
          <w:szCs w:val="22"/>
        </w:rPr>
        <w:t xml:space="preserve"> base.arctura.network is live. github.com/virtualmase/arctura-base-subnet is the canonical repo.</w:t>
      </w:r>
    </w:p>
    <w:p>
      <w:pPr>
        <w:pStyle w:val="ListParagraph"/>
        <w:numPr>
          <w:ilvl w:val="0"/>
          <w:numId w:val="2"/>
        </w:numPr>
        <w:spacing w:after="60" w:before="40"/>
      </w:pPr>
      <w:r>
        <w:rPr>
          <w:rFonts w:ascii="Arial" w:cs="Arial" w:eastAsia="Arial" w:hAnsi="Arial"/>
          <w:b/>
          <w:bCs/>
          <w:color w:val="111111"/>
          <w:sz w:val="22"/>
          <w:szCs w:val="22"/>
        </w:rPr>
        <w:t xml:space="preserve">Category novelty: </w:t>
      </w:r>
      <w:r>
        <w:rPr>
          <w:rFonts w:ascii="Arial" w:cs="Arial" w:eastAsia="Arial" w:hAnsi="Arial"/>
          <w:color w:val="333333"/>
          <w:sz w:val="22"/>
          <w:szCs w:val="22"/>
        </w:rPr>
        <w:t xml:space="preserve"> First-ever Base subnet on Bittensor. Zero competitors exist in this specific category.</w:t>
      </w:r>
    </w:p>
    <w:p>
      <w:pPr>
        <w:pStyle w:val="ListParagraph"/>
        <w:numPr>
          <w:ilvl w:val="0"/>
          <w:numId w:val="2"/>
        </w:numPr>
        <w:spacing w:after="60" w:before="40"/>
      </w:pPr>
      <w:r>
        <w:rPr>
          <w:rFonts w:ascii="Arial" w:cs="Arial" w:eastAsia="Arial" w:hAnsi="Arial"/>
          <w:b/>
          <w:bCs/>
          <w:color w:val="111111"/>
          <w:sz w:val="22"/>
          <w:szCs w:val="22"/>
        </w:rPr>
        <w:t xml:space="preserve">Base-native stack: </w:t>
      </w:r>
      <w:r>
        <w:rPr>
          <w:rFonts w:ascii="Arial" w:cs="Arial" w:eastAsia="Arial" w:hAnsi="Arial"/>
          <w:color w:val="333333"/>
          <w:sz w:val="22"/>
          <w:szCs w:val="22"/>
        </w:rPr>
        <w:t xml:space="preserve"> Directly uses Base RPC, CDP SDK, AgentKit, and OnchainKit. Not a peripheral use.</w:t>
      </w:r>
    </w:p>
    <w:p>
      <w:pPr>
        <w:pStyle w:val="ListParagraph"/>
        <w:numPr>
          <w:ilvl w:val="0"/>
          <w:numId w:val="2"/>
        </w:numPr>
        <w:spacing w:after="60" w:before="40"/>
      </w:pPr>
      <w:r>
        <w:rPr>
          <w:rFonts w:ascii="Arial" w:cs="Arial" w:eastAsia="Arial" w:hAnsi="Arial"/>
          <w:b/>
          <w:bCs/>
          <w:color w:val="111111"/>
          <w:sz w:val="22"/>
          <w:szCs w:val="22"/>
        </w:rPr>
        <w:t xml:space="preserve">Public goods value: </w:t>
      </w:r>
      <w:r>
        <w:rPr>
          <w:rFonts w:ascii="Arial" w:cs="Arial" w:eastAsia="Arial" w:hAnsi="Arial"/>
          <w:color w:val="333333"/>
          <w:sz w:val="22"/>
          <w:szCs w:val="22"/>
        </w:rPr>
        <w:t xml:space="preserve"> Entire Base community inherits a working Bittensor bridge they can fork.</w:t>
      </w:r>
    </w:p>
    <w:p>
      <w:pPr>
        <w:pStyle w:val="ListParagraph"/>
        <w:numPr>
          <w:ilvl w:val="0"/>
          <w:numId w:val="2"/>
        </w:numPr>
        <w:spacing w:after="60" w:before="40"/>
      </w:pPr>
      <w:r>
        <w:rPr>
          <w:rFonts w:ascii="Arial" w:cs="Arial" w:eastAsia="Arial" w:hAnsi="Arial"/>
          <w:b/>
          <w:bCs/>
          <w:color w:val="111111"/>
          <w:sz w:val="22"/>
          <w:szCs w:val="22"/>
        </w:rPr>
        <w:t xml:space="preserve">Retroactive principle: </w:t>
      </w:r>
      <w:r>
        <w:rPr>
          <w:rFonts w:ascii="Arial" w:cs="Arial" w:eastAsia="Arial" w:hAnsi="Arial"/>
          <w:color w:val="333333"/>
          <w:sz w:val="22"/>
          <w:szCs w:val="22"/>
        </w:rPr>
        <w:t xml:space="preserve"> Each phase completes before the next funding tier is applied for.</w:t>
      </w:r>
    </w:p>
    <w:p>
      <w:pPr>
        <w:spacing w:after="0" w:before="80"/>
      </w:pPr>
    </w:p>
    <w:p>
      <w:pPr>
        <w:spacing w:after="80" w:before="60"/>
      </w:pPr>
      <w:r>
        <w:rPr>
          <w:rFonts w:ascii="Arial" w:cs="Arial" w:eastAsia="Arial" w:hAnsi="Arial"/>
          <w:color w:val="333333"/>
          <w:sz w:val="22"/>
          <w:szCs w:val="22"/>
        </w:rPr>
        <w:t xml:space="preserve">Grant contact: paragraph.com/@grants.base.eth · Nomination form submission on builderscore.xyz · Direct X/Farcaster visibility via @buildonbase</w:t>
      </w:r>
    </w:p>
    <w:p>
      <w:pPr>
        <w:spacing w:after="0" w:before="120"/>
      </w:pPr>
    </w:p>
    <w:p>
      <w:pPr>
        <w:pStyle w:val="Heading2"/>
        <w:spacing w:after="120" w:before="280"/>
      </w:pPr>
      <w:r>
        <w:rPr>
          <w:rFonts w:ascii="Arial" w:cs="Arial" w:eastAsia="Arial" w:hAnsi="Arial"/>
          <w:b/>
          <w:bCs/>
          <w:color w:val="111111"/>
          <w:sz w:val="26"/>
          <w:szCs w:val="26"/>
        </w:rPr>
        <w:t xml:space="preserve">OP Retro Funding eligibility</w:t>
      </w:r>
    </w:p>
    <w:p>
      <w:pPr>
        <w:spacing w:after="80" w:before="60"/>
      </w:pPr>
      <w:r>
        <w:rPr>
          <w:rFonts w:ascii="Arial" w:cs="Arial" w:eastAsia="Arial" w:hAnsi="Arial"/>
          <w:color w:val="333333"/>
          <w:sz w:val="22"/>
          <w:szCs w:val="22"/>
        </w:rPr>
        <w:t xml:space="preserve">arctura-base-subnet qualifies as an OP Superchain public good because:</w:t>
      </w:r>
    </w:p>
    <w:p>
      <w:pPr>
        <w:pStyle w:val="ListParagraph"/>
        <w:numPr>
          <w:ilvl w:val="0"/>
          <w:numId w:val="2"/>
        </w:numPr>
        <w:spacing w:after="60" w:before="40"/>
      </w:pPr>
      <w:r>
        <w:rPr>
          <w:rFonts w:ascii="Arial" w:cs="Arial" w:eastAsia="Arial" w:hAnsi="Arial"/>
          <w:color w:val="333333"/>
          <w:sz w:val="22"/>
          <w:szCs w:val="22"/>
        </w:rPr>
        <w:t xml:space="preserve">Base is an OP Stack chain and member of the Optimism Superchain.</w:t>
      </w:r>
    </w:p>
    <w:p>
      <w:pPr>
        <w:pStyle w:val="ListParagraph"/>
        <w:numPr>
          <w:ilvl w:val="0"/>
          <w:numId w:val="2"/>
        </w:numPr>
        <w:spacing w:after="60" w:before="40"/>
      </w:pPr>
      <w:r>
        <w:rPr>
          <w:rFonts w:ascii="Arial" w:cs="Arial" w:eastAsia="Arial" w:hAnsi="Arial"/>
          <w:color w:val="333333"/>
          <w:sz w:val="22"/>
          <w:szCs w:val="22"/>
        </w:rPr>
        <w:t xml:space="preserve">The subnet is Apache-2.0 — all outputs publicly accessible.</w:t>
      </w:r>
    </w:p>
    <w:p>
      <w:pPr>
        <w:pStyle w:val="ListParagraph"/>
        <w:numPr>
          <w:ilvl w:val="0"/>
          <w:numId w:val="2"/>
        </w:numPr>
        <w:spacing w:after="60" w:before="40"/>
      </w:pPr>
      <w:r>
        <w:rPr>
          <w:rFonts w:ascii="Arial" w:cs="Arial" w:eastAsia="Arial" w:hAnsi="Arial"/>
          <w:color w:val="333333"/>
          <w:sz w:val="22"/>
          <w:szCs w:val="22"/>
        </w:rPr>
        <w:t xml:space="preserve">It creates infrastructure that benefits the entire Base/OP developer ecosystem, not just Arctura.</w:t>
      </w:r>
    </w:p>
    <w:p>
      <w:pPr>
        <w:pStyle w:val="ListParagraph"/>
        <w:numPr>
          <w:ilvl w:val="0"/>
          <w:numId w:val="2"/>
        </w:numPr>
        <w:spacing w:after="60" w:before="40"/>
      </w:pPr>
      <w:r>
        <w:rPr>
          <w:rFonts w:ascii="Arial" w:cs="Arial" w:eastAsia="Arial" w:hAnsi="Arial"/>
          <w:color w:val="333333"/>
          <w:sz w:val="22"/>
          <w:szCs w:val="22"/>
        </w:rPr>
        <w:t xml:space="preserve">Impact can be tracked on Atlas (atlas.optimism.io) once deployed on Base mainnet.</w:t>
      </w:r>
    </w:p>
    <w:p>
      <w:pPr>
        <w:pBdr>
          <w:bottom w:val="single" w:color="DDDDDD" w:sz="4" w:space="1"/>
        </w:pBdr>
        <w:spacing w:after="160" w:before="160"/>
      </w:pPr>
    </w:p>
    <w:p>
      <w:pPr>
        <w:pStyle w:val="Heading1"/>
        <w:spacing w:after="160" w:before="360"/>
      </w:pPr>
      <w:r>
        <w:rPr>
          <w:rFonts w:ascii="Arial" w:cs="Arial" w:eastAsia="Arial" w:hAnsi="Arial"/>
          <w:b/>
          <w:bCs/>
          <w:color w:val="000000"/>
          <w:sz w:val="32"/>
          <w:szCs w:val="32"/>
        </w:rPr>
        <w:t xml:space="preserve">6. Team &amp; Context</w:t>
      </w:r>
    </w:p>
    <w:p>
      <w:pPr>
        <w:spacing w:after="80" w:before="60"/>
      </w:pPr>
      <w:r>
        <w:rPr>
          <w:rFonts w:ascii="Arial" w:cs="Arial" w:eastAsia="Arial" w:hAnsi="Arial"/>
          <w:color w:val="333333"/>
          <w:sz w:val="22"/>
          <w:szCs w:val="22"/>
        </w:rPr>
        <w:t xml:space="preserve">The Arctura Collective is the team behind arctura.network — the parent autonomous resource management (ARM) subnet and protocol. arctura-base-subnet is a purposeful extension of that architecture, not a new project.</w:t>
      </w:r>
    </w:p>
    <w:p>
      <w:pPr>
        <w:spacing w:after="0" w:before="80"/>
      </w:pPr>
    </w:p>
    <w:tbl>
      <w:tblPr>
        <w:tblW w:type="dxa" w:w="9360"/>
        <w:tblBorders>
          <w:top w:val="single" w:color="EEEEEE" w:sz="1"/>
          <w:left w:val="single" w:color="EEEEEE" w:sz="1"/>
          <w:bottom w:val="single" w:color="EEEEEE" w:sz="1"/>
          <w:right w:val="single" w:color="EEEEEE" w:sz="1"/>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Parent project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arctura.network — ARM protocol, Resonance BFT, Truth Ledger, six-layer signal stack</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Academy</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academy.arctura.network — five tracks, 24 modules on ARM, BFT, protocol engineering, GEO</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GitHub</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github.com/virtualmase/arctura (parent) · github.com/virtualmase/arctura.network</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Base integration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Uses Base RPC, CDP SDK, AgentKit, OnchainKit, smart wallets</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Bittensor work</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Registered subnet development underway. Resonance BFT validator logic in active build.</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License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Apache-2.0 across all repositories</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Contact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learn@arctura.network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FF" w:sz="6"/>
              <w:left w:val="none" w:color="FFFFFF" w:sz="0"/>
              <w:bottom w:val="none" w:color="FFFFFF" w:sz="0"/>
              <w:right w:val="none" w:color="FFFFFF" w:sz="0"/>
            </w:tcBorders>
            <w:shd w:fill="F0FFF7" w:val="clear"/>
            <w:tcMar>
              <w:top w:type="dxa" w:w="160"/>
              <w:left w:type="dxa" w:w="240"/>
              <w:bottom w:type="dxa" w:w="160"/>
              <w:right w:type="dxa" w:w="240"/>
            </w:tcMar>
          </w:tcPr>
          <w:p>
            <w:pPr>
              <w:spacing w:after="40" w:before="40"/>
            </w:pPr>
            <w:r>
              <w:rPr>
                <w:rFonts w:ascii="Arial" w:cs="Arial" w:eastAsia="Arial" w:hAnsi="Arial"/>
                <w:b w:val="false"/>
                <w:bCs w:val="false"/>
                <w:color w:val="00C47A"/>
                <w:sz w:val="22"/>
                <w:szCs w:val="22"/>
              </w:rPr>
              <w:t xml:space="preserve">This is not a speculative application.</w:t>
            </w:r>
          </w:p>
          <w:p>
            <w:pPr>
              <w:spacing w:after="40" w:before="40"/>
            </w:pPr>
            <w:r>
              <w:rPr>
                <w:rFonts w:ascii="Arial" w:cs="Arial" w:eastAsia="Arial" w:hAnsi="Arial"/>
                <w:b w:val="false"/>
                <w:bCs w:val="false"/>
                <w:color w:val="00C47A"/>
                <w:sz w:val="22"/>
                <w:szCs w:val="22"/>
              </w:rPr>
              <w:t xml:space="preserve">The codebase exists. The architecture is proven on the parent subnet.</w:t>
            </w:r>
          </w:p>
          <w:p>
            <w:pPr>
              <w:spacing w:after="40" w:before="40"/>
            </w:pPr>
            <w:r>
              <w:rPr>
                <w:rFonts w:ascii="Arial" w:cs="Arial" w:eastAsia="Arial" w:hAnsi="Arial"/>
                <w:b w:val="false"/>
                <w:bCs w:val="false"/>
                <w:color w:val="00C47A"/>
                <w:sz w:val="22"/>
                <w:szCs w:val="22"/>
              </w:rPr>
              <w:t xml:space="preserve">base.arctura.network is live. The repo is public.</w:t>
            </w:r>
          </w:p>
          <w:p>
            <w:pPr>
              <w:spacing w:after="40" w:before="40"/>
            </w:pPr>
            <w:r>
              <w:rPr>
                <w:rFonts w:ascii="Arial" w:cs="Arial" w:eastAsia="Arial" w:hAnsi="Arial"/>
                <w:b w:val="false"/>
                <w:bCs w:val="false"/>
                <w:color w:val="00C47A"/>
                <w:sz w:val="22"/>
                <w:szCs w:val="22"/>
              </w:rPr>
              <w:t xml:space="preserve">We are applying retroactively for work already in progress — exactly as Base Builder Grants intends.</w:t>
            </w:r>
          </w:p>
        </w:tc>
      </w:tr>
    </w:tbl>
    <w:p>
      <w:pPr>
        <w:pBdr>
          <w:bottom w:val="single" w:color="DDDDDD" w:sz="4" w:space="1"/>
        </w:pBdr>
        <w:spacing w:after="160" w:before="160"/>
      </w:pPr>
    </w:p>
    <w:p>
      <w:pPr>
        <w:pStyle w:val="Heading1"/>
        <w:spacing w:after="160" w:before="360"/>
      </w:pPr>
      <w:r>
        <w:rPr>
          <w:rFonts w:ascii="Arial" w:cs="Arial" w:eastAsia="Arial" w:hAnsi="Arial"/>
          <w:b/>
          <w:bCs/>
          <w:color w:val="000000"/>
          <w:sz w:val="32"/>
          <w:szCs w:val="32"/>
        </w:rPr>
        <w:t xml:space="preserve">7. Grant Asks — Summary</w:t>
      </w:r>
    </w:p>
    <w:tbl>
      <w:tblPr>
        <w:tblW w:type="dxa" w:w="9360"/>
        <w:tblBorders>
          <w:top w:val="single" w:color="EEEEEE" w:sz="1"/>
          <w:left w:val="single" w:color="EEEEEE" w:sz="1"/>
          <w:bottom w:val="single" w:color="EEEEEE" w:sz="1"/>
          <w:right w:val="single" w:color="EEEEEE" w:sz="1"/>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Base Builder Rewards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Apply now at builderscore.xyz — 2 ETH/week pool. Active builds documented publicly on X every week from Phase 0.</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Base Builder Grant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1–5 ETH retroactive. Submit nomination + this document after Phase 1 (first working code on Base). Target: end of Week 4.</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OP Retro Funding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Submit after Base mainnet deployment with Atlas impact tracking. Public goods track. No fixed deadline.</w:t>
            </w:r>
          </w:p>
        </w:tc>
      </w:tr>
      <w:tr>
        <w:tc>
          <w:tcPr>
            <w:tcW w:type="dxa" w:w="2880"/>
            <w:tcBorders>
              <w:top w:val="single" w:color="DDDDDD" w:sz="1"/>
              <w:left w:val="single" w:color="DDDDDD" w:sz="1"/>
              <w:bottom w:val="single" w:color="DDDDDD" w:sz="1"/>
              <w:right w:val="single" w:color="DDDDDD" w:sz="1"/>
            </w:tcBorders>
            <w:shd w:fill="F5F7FF" w:val="clear"/>
            <w:tcMar>
              <w:top w:type="dxa" w:w="80"/>
              <w:left w:type="dxa" w:w="160"/>
              <w:bottom w:type="dxa" w:w="80"/>
              <w:right w:type="dxa" w:w="120"/>
            </w:tcMar>
          </w:tcPr>
          <w:p>
            <w:r>
              <w:rPr>
                <w:rFonts w:ascii="Arial" w:cs="Arial" w:eastAsia="Arial" w:hAnsi="Arial"/>
                <w:b/>
                <w:bCs/>
                <w:color w:val="555555"/>
                <w:sz w:val="20"/>
                <w:szCs w:val="20"/>
              </w:rPr>
              <w:t xml:space="preserve">Base Batches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20"/>
                <w:szCs w:val="20"/>
              </w:rPr>
              <w:t xml:space="preserve">Apply in H2 2026 with live mainnet netuid, validator traction, and AgentKit integration complete as proof.</w:t>
            </w:r>
          </w:p>
        </w:tc>
      </w:tr>
    </w:tbl>
    <w:p>
      <w:pPr>
        <w:spacing w:after="0" w:before="200"/>
      </w:pPr>
    </w:p>
    <w:p>
      <w:pPr>
        <w:spacing w:after="60" w:before="160"/>
        <w:jc w:val="center"/>
      </w:pPr>
      <w:r>
        <w:rPr>
          <w:rFonts w:ascii="Arial" w:cs="Arial" w:eastAsia="Arial" w:hAnsi="Arial"/>
          <w:b/>
          <w:bCs/>
          <w:color w:val="111111"/>
          <w:sz w:val="28"/>
          <w:szCs w:val="28"/>
        </w:rPr>
        <w:t xml:space="preserve">There are 128 subnet slots on Bittensor.</w:t>
      </w:r>
    </w:p>
    <w:p>
      <w:pPr>
        <w:spacing w:after="60" w:before="0"/>
        <w:jc w:val="center"/>
      </w:pPr>
      <w:r>
        <w:rPr>
          <w:rFonts w:ascii="Arial" w:cs="Arial" w:eastAsia="Arial" w:hAnsi="Arial"/>
          <w:b/>
          <w:bCs/>
          <w:color w:val="0052FF"/>
          <w:sz w:val="28"/>
          <w:szCs w:val="28"/>
        </w:rPr>
        <w:t xml:space="preserve">There are zero Base subnets.</w:t>
      </w:r>
    </w:p>
    <w:p>
      <w:pPr>
        <w:spacing w:after="120" w:before="0"/>
        <w:jc w:val="center"/>
      </w:pPr>
      <w:r>
        <w:rPr>
          <w:rFonts w:ascii="Arial" w:cs="Arial" w:eastAsia="Arial" w:hAnsi="Arial"/>
          <w:color w:val="4A5F8A"/>
          <w:sz w:val="22"/>
          <w:szCs w:val="22"/>
        </w:rPr>
        <w:t xml:space="preserve">Base funds the build. Bittensor sustains it. Apache-2.0 owns it.</w:t>
      </w:r>
    </w:p>
    <w:p>
      <w:pPr>
        <w:spacing w:after="0" w:before="80"/>
      </w:pPr>
    </w:p>
    <w:p>
      <w:pPr>
        <w:spacing w:after="0" w:before="80"/>
        <w:jc w:val="center"/>
      </w:pPr>
      <w:r>
        <w:rPr>
          <w:rFonts w:ascii="Arial" w:cs="Arial" w:eastAsia="Arial" w:hAnsi="Arial"/>
          <w:color w:val="8FA8D8"/>
          <w:sz w:val="18"/>
          <w:szCs w:val="18"/>
        </w:rPr>
        <w:t xml:space="preserve">Transmitted by the Arcturian Council · base.arctura.network · Apache-2.0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11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2026-05-03T20:05:25.802Z</dcterms:created>
  <dcterms:modified xsi:type="dcterms:W3CDTF">2026-05-03T20:05:25.803Z</dcterms:modified>
</cp:coreProperties>
</file>

<file path=docProps/custom.xml><?xml version="1.0" encoding="utf-8"?>
<Properties xmlns="http://schemas.openxmlformats.org/officeDocument/2006/custom-properties" xmlns:vt="http://schemas.openxmlformats.org/officeDocument/2006/docPropsVTypes"/>
</file>