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spacing w:after="200"/>
      </w:pPr>
      <w:r>
        <w:rPr>
          <w:b/>
          <w:bCs/>
          <w:color w:val="1C7293"/>
          <w:spacing w:val="40"/>
          <w:sz w:val="19"/>
          <w:szCs w:val="19"/>
        </w:rPr>
        <w:t xml:space="preserve">GOVERNED AGENTIC AI · AMAZON BEDROCK AGENTCORE</w:t>
      </w:r>
    </w:p>
    <w:p>
      <w:pPr>
        <w:pStyle w:val="Title"/>
      </w:pPr>
      <w:r>
        <w:t xml:space="preserve">Financial Aid Agent</w:t>
      </w:r>
    </w:p>
    <w:p>
      <w:pPr>
        <w:pStyle w:val="Title"/>
      </w:pPr>
      <w:r>
        <w:t xml:space="preserve">on Amazon Bedrock AgentCore</w:t>
      </w:r>
    </w:p>
    <w:p>
      <w:pPr>
        <w:pStyle w:val="Subtitle"/>
        <w:spacing w:after="500" w:before="120"/>
      </w:pPr>
      <w:r>
        <w:t xml:space="preserve">Solution Architect Deployment Runbook</w:t>
      </w:r>
    </w:p>
    <w:p>
      <w:pPr>
        <w:pBdr>
          <w:top w:val="single" w:color="0B8F72" w:sz="6"/>
          <w:bottom w:val="single" w:color="0B8F72" w:sz="6"/>
        </w:pBdr>
        <w:shd w:fill="EEF3F7" w:val="clear"/>
        <w:spacing w:after="60" w:before="60" w:line="260"/>
      </w:pPr>
      <w:r>
        <w:rPr>
          <w:i/>
          <w:iCs/>
          <w:color w:val="1A2733"/>
          <w:sz w:val="19"/>
          <w:szCs w:val="19"/>
        </w:rPr>
        <w:t xml:space="preserve">Step-by-step deployment of the governed Title IV financial-aid accelerator into an AWS account — identity, governance spine, tools, and the Runtime agent — from one manifest. Region: us-east-1. Every command in this runbook was run end to end to stand the agent up and prove 21/21 in ENFORCE. Accelerator reference; not production-certified. Version 1.0 · 2026.</w:t>
      </w:r>
    </w:p>
    <w:p>
      <w:r>
        <w:br w:type="page"/>
      </w:r>
    </w:p>
    <w:p>
      <w:pPr>
        <w:pStyle w:val="Heading1"/>
      </w:pPr>
      <w:r>
        <w:t xml:space="preserve">Contents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1.	Overview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2.	Prerequisites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3.	What gets deployed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4.	Deployment procedure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5.	Configuration reference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6.	Validation checklist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7.	Teardown</w:t>
      </w:r>
    </w:p>
    <w:p>
      <w:pPr>
        <w:tabs>
          <w:tab w:val="left" w:pos="520"/>
        </w:tabs>
        <w:spacing w:after="90" w:line="260"/>
      </w:pPr>
      <w:r>
        <w:rPr>
          <w:b/>
          <w:bCs/>
          <w:color w:val="1A2733"/>
          <w:sz w:val="21"/>
          <w:szCs w:val="21"/>
        </w:rPr>
        <w:t xml:space="preserve">8.	Windows / Git-Bash operational notes</w:t>
      </w:r>
    </w:p>
    <w:p>
      <w:r>
        <w:br w:type="page"/>
      </w:r>
    </w:p>
    <w:p>
      <w:pPr>
        <w:pStyle w:val="Heading1"/>
      </w:pPr>
      <w:r>
        <w:t xml:space="preserve">1. Overview</w:t>
      </w:r>
    </w:p>
    <w:p>
      <w:r>
        <w:t xml:space="preserve">This runbook stands up the governed Title IV financial-aid agent in an AWS account. The agent is defined by a single manifest and produced from the reusable governed-hero-agent template; the deployment has three lifecycles that are managed independently: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Identity stack </w:t>
      </w:r>
      <w:r>
        <w:t xml:space="preserve">— a stable Amazon Cognito user pool, app client, and test users. Long-lived; created (or reused) by the spine deploy and not torn down with 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Governance spine </w:t>
      </w:r>
      <w:r>
        <w:t xml:space="preserve">— the Cedar policy engine, AgentCore Gateway, tool Lambdas, Bedrock Guardrail, WORM audit stores, and the Step Functions human sign-off gate. Reproducible; stood up and torn down as a unit.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Runtime agent </w:t>
      </w:r>
      <w:r>
        <w:t xml:space="preserve">— the generic Strands agent, containerized (ARM64 via CodeBuild) and deployed to AgentCore Runtime with a Cognito JWT inbound authorizer; its workflow prompt is rendered from the manifest.</w:t>
      </w:r>
    </w:p>
    <w:p>
      <w:r>
        <w:t xml:space="preserve">The whole spine deploys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(it also creates the stable identity), proves itself with a 21-check governance demo, and tears down with zero residual. Everything is driven from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agents/financial-aid/manifest.yaml</w:t>
      </w:r>
      <w:r>
        <w:t xml:space="preserve"> — the engine, control library, and runtime are shared across agents.</w:t>
      </w:r>
    </w:p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Honesty boundary</w:t>
            </w:r>
          </w:p>
          <w:p>
            <w:pPr>
              <w:spacing w:after="20" w:line="258"/>
            </w:pPr>
            <w:r>
              <w:t xml:space="preserve">This is an accelerator, not a production-certified system. Title IV program participation, IdP federation, validated connectors to the SIS / COD, the authoritative award rules, and compliance review of notices are institution responsibilities. See the Regulatory-Adherence Guide.</w:t>
            </w:r>
          </w:p>
        </w:tc>
      </w:tr>
    </w:tbl>
    <w:p>
      <w:pPr>
        <w:pStyle w:val="Heading1"/>
      </w:pPr>
      <w:r>
        <w:t xml:space="preserve">2. Prerequisites</w:t>
      </w:r>
    </w:p>
    <w:p>
      <w:pPr>
        <w:pStyle w:val="Heading2"/>
      </w:pPr>
      <w:r>
        <w:t xml:space="preserve">2.1 AWS account &amp; access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An AWS account </w:t>
      </w:r>
      <w:r>
        <w:t xml:space="preserve">with administrative credentials configured for the AWS CLI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aws sts get-caller-identity</w:t>
      </w:r>
      <w:r>
        <w:t xml:space="preserve"> must succeed).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Region </w:t>
      </w:r>
      <w:r>
        <w:t xml:space="preserve">— us-east-1 (the reference deployment; Comprehend, Bedrock models, and AgentCore are all available there).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Model access </w:t>
      </w:r>
      <w:r>
        <w:t xml:space="preserve">— enable the Anthropic Claude models in Amazon Bedrock (the notice-drafting tool defaults to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us.anthropic.claude-sonnet-4-5</w:t>
      </w:r>
      <w:r>
        <w:t xml:space="preserve"> cross-region inference profile).</w:t>
      </w:r>
    </w:p>
    <w:p>
      <w:pPr>
        <w:pStyle w:val="Heading2"/>
      </w:pPr>
      <w:r>
        <w:t xml:space="preserve">2.2 Tooling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600"/>
        <w:gridCol w:w="7840"/>
      </w:tblGrid>
      <w:tr>
        <w:trPr>
          <w:tblHeader/>
        </w:trPr>
        <w:tc>
          <w:tcPr>
            <w:tcW w:type="dxa" w:w="26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Tool</w:t>
            </w:r>
          </w:p>
        </w:tc>
        <w:tc>
          <w:tcPr>
            <w:tcW w:type="dxa" w:w="78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Version / note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aws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AWS CLI v2.30+ (validated on 2.33)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python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3.12 (Lambda runtime is python3.12; the Runtime toolkit needs a 3.12 venv). Confirm python --version resolves to 3.12.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pyyaml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for render.py: pip install pyyaml (confirm with pip show pyyaml)</w:t>
            </w:r>
          </w:p>
        </w:tc>
      </w:tr>
      <w:tr>
        <w:tc>
          <w:tcPr>
            <w:tcW w:type="dxa" w:w="26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bash</w:t>
            </w:r>
          </w:p>
        </w:tc>
        <w:tc>
          <w:tcPr>
            <w:tcW w:type="dxa" w:w="78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Any POSIX shell. On Windows, use Git-Bash (see §8)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agentcore</w:t>
            </w:r>
          </w:p>
        </w:tc>
        <w:tc>
          <w:tcPr>
            <w:tcW w:type="dxa" w:w="78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bedrock-agentcore-starter-toolkit (installed into the Runtime venv by setup_venv.sh in Step 4)</w:t>
            </w:r>
          </w:p>
        </w:tc>
      </w:tr>
    </w:tbl>
    <w:p>
      <w:pPr>
        <w:pStyle w:val="Heading2"/>
      </w:pPr>
      <w:r>
        <w:t xml:space="preserve">2.3 Project layout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lib/engine/ </w:t>
      </w:r>
      <w:r>
        <w:t xml:space="preserve">— the manifest-driven engine: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plus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destroy.sh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deploy_identity.sh</w:t>
      </w:r>
      <w:r>
        <w:t xml:space="preserve"> (a helper the spine calls) and the sign-off state-machine template.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lib/controls/ </w:t>
      </w:r>
      <w:r>
        <w:t xml:space="preserve">— the shared control library: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mask_pii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write_audit</w:t>
      </w:r>
      <w:r>
        <w:t xml:space="preserve">, the sign-off Lambdas, and the MCP client. Reused by every agent.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lib/runtime/ </w:t>
      </w:r>
      <w:r>
        <w:t xml:space="preserve">— the generic Strands agent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Dockerfile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requirements.txt</w:t>
      </w:r>
      <w:r>
        <w:t xml:space="preserve">) and the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 / _obs_setup / _configure / _launch / _invoke</w:t>
      </w:r>
      <w:r>
        <w:t xml:space="preserve"> helper scripts (self-locating; run from a fresh clone).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agents/financial-aid/ </w:t>
      </w:r>
      <w:r>
        <w:t xml:space="preserve">— the only agent-specific part: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manifest.yaml</w:t>
      </w:r>
      <w:r>
        <w:t xml:space="preserve"> (single source of truth),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tools/</w:t>
      </w:r>
      <w:r>
        <w:t xml:space="preserve">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intake_fafsa.py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assess_aid.py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aid_core.py</w:t>
      </w:r>
      <w:r>
        <w:t xml:space="preserve">),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demo_extra.sh</w:t>
      </w:r>
      <w:r>
        <w:t xml:space="preserve">.</w:t>
      </w:r>
    </w:p>
    <w:p>
      <w:pPr>
        <w:pStyle w:val="Heading1"/>
      </w:pPr>
      <w:r>
        <w:t xml:space="preserve">3. What gets deployed</w:t>
      </w:r>
    </w:p>
    <w:tbl>
      <w:tblPr>
        <w:tblW w:type="dxa" w:w="9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1700"/>
        <w:gridCol w:w="6300"/>
        <w:gridCol w:w="1440"/>
      </w:tblGrid>
      <w:tr>
        <w:trPr>
          <w:tblHeader/>
        </w:trPr>
        <w:tc>
          <w:tcPr>
            <w:tcW w:type="dxa" w:w="17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</w:t>
            </w:r>
          </w:p>
        </w:tc>
        <w:tc>
          <w:tcPr>
            <w:tcW w:type="dxa" w:w="63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AWS resource(s)</w:t>
            </w:r>
          </w:p>
        </w:tc>
        <w:tc>
          <w:tcPr>
            <w:tcW w:type="dxa" w:w="14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Lifecycle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Identity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 pool fa-financial-aid, app client fa-gw, users aid_officer / approver / outsider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Stable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Policy engine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Policy engine fa_financial_aid_authz (Cedar, deny-by-default)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Gateway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Gateway fa-financial-aid-gw (MCP, CUSTOM_JWT, ENFORCE)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Tools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Lambdas: fa-intake-fafsa, fa-mask-pii, fa-assess-aid, fa-core-tools, fa-write-audit, fa-request-signoff (+ 3 sign-off Lambdas)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Guardrail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Bedrock Guardrail fa-financial-aid-guardrail (PII anonymize + prompt-attack)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WORM audit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(append-only) + S3 Object Lock bucket fa-audit-worm-&lt;acct&gt;-&lt;region&gt;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Human gate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Step Functions fa-signoff + DynamoDB fa-pending-approvals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Discovery</w:t>
            </w:r>
          </w:p>
        </w:tc>
        <w:tc>
          <w:tcPr>
            <w:tcW w:type="dxa" w:w="63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parameter /fa-financial-aid/gateway-url</w:t>
            </w:r>
          </w:p>
        </w:tc>
        <w:tc>
          <w:tcPr>
            <w:tcW w:type="dxa" w:w="14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Spine</w:t>
            </w:r>
          </w:p>
        </w:tc>
      </w:tr>
      <w:tr>
        <w:tc>
          <w:tcPr>
            <w:tcW w:type="dxa" w:w="17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b/>
                <w:bCs/>
                <w:sz w:val="19"/>
                <w:szCs w:val="19"/>
              </w:rPr>
              <w:t xml:space="preserve">Runtime</w:t>
            </w:r>
          </w:p>
        </w:tc>
        <w:tc>
          <w:tcPr>
            <w:tcW w:type="dxa" w:w="63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AgentCore Runtime financial_aid_runtime_agent (ARM64 container via CodeBuild + ECR)</w:t>
            </w:r>
          </w:p>
        </w:tc>
        <w:tc>
          <w:tcPr>
            <w:tcW w:type="dxa" w:w="14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Runtime</w:t>
            </w:r>
          </w:p>
        </w:tc>
      </w:tr>
    </w:tbl>
    <w:p>
      <w:pPr>
        <w:pStyle w:val="Heading1"/>
      </w:pPr>
      <w:r>
        <w:t xml:space="preserve">4. Deployment procedure</w:t>
      </w:r>
    </w:p>
    <w:p>
      <w:r>
        <w:rPr>
          <w:b/>
          <w:bCs/>
        </w:rPr>
        <w:t xml:space="preserve">Run the steps in order. </w:t>
      </w:r>
      <w:r>
        <w:t xml:space="preserve">All commands assume you are in the project root (the folder containing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lib/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agents/</w:t>
      </w:r>
      <w:r>
        <w:t xml:space="preserve">), with the AWS CLI configured for us-east-1. On Windows, read §8 first — a folder path with spaces will break the tooling.</w:t>
      </w:r>
    </w:p>
    <w:p>
      <w:pPr>
        <w:pStyle w:val="Heading2"/>
      </w:pPr>
      <w:r>
        <w:t xml:space="preserve">Step 0 — Confirm the environment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aws sts get-caller-identity          # confirms credentials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aws configure get region             # should print us-east-1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python --version                     # 3.12.x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pip show pyyaml                      # render.py needs pyyaml; pip install pyyaml if missing</w:t>
      </w:r>
    </w:p>
    <w:p>
      <w:pPr>
        <w:pStyle w:val="Heading2"/>
      </w:pPr>
      <w:r>
        <w:t xml:space="preserve">Step 1 — Deploy the governance spine (creates identity + spine)</w:t>
      </w:r>
    </w:p>
    <w:p>
      <w:r>
        <w:t xml:space="preserve">One idempotent command renders the manifest, creates (or reuses) the stable Cognito identity, and builds the entire spine in the proven order: IAM roles → WORM stores → Guardrail → tool Lambdas (with per-agent resource env wired in) → policy engine → Gateway (LOG_ONLY) → targets → Cedar policies → flip to ENFORCE → human-gate Step Functions → publish the gateway URL to SSM. It writes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lib/engine/deploy.sh agents/financial-aid</w:t>
      </w:r>
    </w:p>
    <w:p>
      <w:r>
        <w:rPr>
          <w:b/>
          <w:bCs/>
        </w:rPr>
        <w:t xml:space="preserve">Result: </w:t>
      </w:r>
      <w:r>
        <w:t xml:space="preserve">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[deploy] DONE</w:t>
      </w:r>
      <w:r>
        <w:t xml:space="preserve"> and a line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https://fa-financial-aid-gw-….gateway.bedrock-agentcore.us-east-1.amazonaws.com/mcp   (mode ENFORCE)</w:t>
      </w:r>
      <w:r>
        <w:t xml:space="preserve">. Takes roughly three to four minutes.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Run cycles serialized</w:t>
            </w:r>
          </w:p>
          <w:p>
            <w:pPr>
              <w:spacing w:after="20" w:line="258"/>
            </w:pPr>
            <w:r>
              <w:t xml:space="preserve">Do not run two spine deploys concurrently — overlapping runs collide on the policy-engine name. If a deploy is interrupted, run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 then re-deploy (the deploy is idempotent and re-uses the pool and IAM roles by name).</w:t>
            </w:r>
          </w:p>
        </w:tc>
      </w:tr>
    </w:tbl>
    <w:p>
      <w:pPr>
        <w:pStyle w:val="Heading2"/>
      </w:pPr>
      <w:r>
        <w:t xml:space="preserve">Step 2 — Prove the governance (21 checks)</w:t>
      </w:r>
    </w:p>
    <w:p>
      <w:r>
        <w:t xml:space="preserve">Mints aid-officer and outsider tokens and exercises the full governed workflow live, in ENFORCE mode. Expect 21 passed / 0 failed.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lib/engine/demo.sh agents/financial-aid</w:t>
      </w:r>
    </w:p>
    <w:p>
      <w:r>
        <w:t xml:space="preserve">The demo proves deny-by-default (aid_officer ALLOW / outsider DENY), the mask-before-assess and mask-before-draft forbids and no-self-commit (each denial names the exact Cedar policy), real PII masking (name/SSN redaction), the aid determination (ELIGIBLE, estimated Pell + SAP status + verification track), a real Bedrock award notice through the Guardrail, the immutable WORM audit (write-once + duplicate rejection), and the human sign-off gate (separation of duties + single-use token).</w:t>
      </w:r>
    </w:p>
    <w:p>
      <w:r>
        <w:rPr>
          <w:sz w:val="21"/>
          <w:szCs w:val="21"/>
        </w:rPr>
        <w:t xml:space="preserve">It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=== 21 passed, 0 failed ===   GOVERNANCE DEMO: PASS</w:t>
      </w:r>
      <w:r>
        <w:rPr>
          <w:sz w:val="21"/>
          <w:szCs w:val="21"/>
        </w:rPr>
        <w:t xml:space="preserve">.</w:t>
      </w:r>
    </w:p>
    <w:p>
      <w:pPr>
        <w:pStyle w:val="Heading2"/>
      </w:pPr>
      <w:r>
        <w:t xml:space="preserve">Step 3 — Deploy the Runtime agent</w:t>
      </w:r>
    </w:p>
    <w:p>
      <w:r>
        <w:t xml:space="preserve">Create the Python 3.12 virtual environment and install the toolkit once.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setup_venv.sh</w:t>
      </w:r>
      <w:r>
        <w:t xml:space="preserve"> builds the venv with the correct per-OS layout (on Windows a venv exposes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Scripts/</w:t>
      </w:r>
      <w:r>
        <w:t xml:space="preserve">, not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bin/</w:t>
      </w:r>
      <w:r>
        <w:t xml:space="preserve">) and installs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bedrock-agentcore-starter-toolkit</w:t>
      </w:r>
      <w:r>
        <w:t xml:space="preserve">,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</w:t>
      </w:r>
      <w:r>
        <w:t xml:space="preserve">,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strands-agents-tools</w:t>
      </w:r>
      <w:r>
        <w:t xml:space="preserve"> (a few minutes):</w:t>
      </w:r>
    </w:p>
    <w:p>
      <w:pPr>
        <w:pStyle w:val="Code"/>
        <w:pBdr>
          <w:top w:val="single" w:color="DDE6DE" w:sz="4" w:space="3"/>
          <w:bottom w:val="single" w:color="DDE6DE" w:sz="4" w:space="3"/>
          <w:left w:val="single" w:color="0B8F72" w:sz="18" w:space="6"/>
        </w:pBdr>
        <w:shd w:fill="F0F4F1" w:val="clear"/>
        <w:spacing w:after="14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lib/runtime/setup_venv.sh</w:t>
      </w:r>
    </w:p>
    <w:p>
      <w:r>
        <w:t xml:space="preserve">Grant the Runtime execution role permission to read the gateway-URL parameter, configure the agent with the Cognito JWT inbound authorizer (and the manifest-rendered workflow prompt), and launch it (ARM64 build runs in CodeBuild — no local Docker needed). Each helper takes the agent directory: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lib/runtime/_obs_setup.sh  agents/financial-aid   # grants ssm:GetParameter to the runtime role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lib/runtime/_configure.sh  agents/financial-aid   # agentcore configure -- JWT authorizer (exit 0)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lib/runtime/_launch.sh     agents/financial-aid   # agentcore launch -- CodeBuild ARM64 -&gt; Runtime</w:t>
      </w:r>
    </w:p>
    <w:p>
      <w:r>
        <w:rPr>
          <w:b/>
          <w:bCs/>
        </w:rPr>
        <w:t xml:space="preserve">Result: </w:t>
      </w:r>
      <w:r>
        <w:t xml:space="preserve">an AgentCore Runtime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financial_aid_runtime_agent-&lt;id&gt;</w:t>
      </w:r>
      <w:r>
        <w:t xml:space="preserve"> with a Cognito JWT inbound authorizer, OpenTelemetry observability enabled, and the gateway URL discovered from SSM. The launch log ends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LAUNCH_EXIT=0</w:t>
      </w:r>
      <w:r>
        <w:t xml:space="preserve">.</w:t>
      </w:r>
    </w:p>
    <w:p>
      <w:pPr>
        <w:pStyle w:val="Heading2"/>
      </w:pPr>
      <w:r>
        <w:t xml:space="preserve">Step 4 — Invoke and verify</w:t>
      </w:r>
    </w:p>
    <w:p>
      <w:r>
        <w:t xml:space="preserve">Invoke as an aid officer with sample data (full governed workflow) and as an outsider (access denied):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invoke_demo.sh                                       # aid_officer invoke with a sample FAFSA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bash lib/runtime/_invoke.sh agents/financial-aid outsider ChangeMe-Outsider1!</w:t>
      </w:r>
    </w:p>
    <w:p>
      <w:r>
        <w:t xml:space="preserve">Expected: the aid officer returns a workflow summary (Pell estimate, SAP status, verification track, drafted notice, INTENT audit, PENDING_APPROVAL) and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</w:t>
      </w:r>
      <w:r>
        <w:t xml:space="preserve"> list that does NOT include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— Cedar hides the forbidden tool. The outsider returns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ACCESS DENIED</w:t>
      </w:r>
      <w:r>
        <w:t xml:space="preserve">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tools_available: []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governed: true</w:t>
      </w:r>
      <w:r>
        <w:t xml:space="preserve">.</w:t>
      </w:r>
    </w:p>
    <w:p>
      <w:pPr>
        <w:pStyle w:val="Heading1"/>
      </w:pPr>
      <w:r>
        <w:t xml:space="preserve">5. Configuration reference</w:t>
      </w:r>
    </w:p>
    <w:tbl>
      <w:tblPr>
        <w:tblW w:type="dxa" w:w="10440"/>
        <w:tblBorders>
          <w:top w:val="single" w:color="C9D6DF" w:sz="2"/>
          <w:left w:val="none"/>
          <w:bottom w:val="single" w:color="C9D6DF" w:sz="2"/>
          <w:right w:val="none"/>
          <w:insideH w:val="single" w:color="C9D6DF" w:sz="2"/>
          <w:insideV w:val="single" w:color="E6EDF1" w:sz="2"/>
        </w:tblBorders>
      </w:tblPr>
      <w:tblGrid>
        <w:gridCol w:w="2100"/>
        <w:gridCol w:w="3540"/>
        <w:gridCol w:w="4800"/>
      </w:tblGrid>
      <w:tr>
        <w:trPr>
          <w:tblHeader/>
        </w:trPr>
        <w:tc>
          <w:tcPr>
            <w:tcW w:type="dxa" w:w="21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Setting</w:t>
            </w:r>
          </w:p>
        </w:tc>
        <w:tc>
          <w:tcPr>
            <w:tcW w:type="dxa" w:w="354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Where</w:t>
            </w:r>
          </w:p>
        </w:tc>
        <w:tc>
          <w:tcPr>
            <w:tcW w:type="dxa" w:w="4800"/>
            <w:shd w:fill="0E2A47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Default / value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Region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agent.region in the manifest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us-east-1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Drafting model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model.draft_model_id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us.anthropic.claude-sonnet-4-5-20250929-v1:0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Guardrail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fa-financial-aid-guardrail (created in deploy)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PII=ANONYMIZE + PROMPT_ATTACK HIGH; version DRAFT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 users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identity.users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aid_officer / approver / outsider; passwords via env (placeholder defaults ChangeMe-*1!)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 thresholds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assess_aid.py</w:t>
            </w:r>
          </w:p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 (illustrative)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max Pell 7395, min 740, SAP GPA &gt;= 2.0, pace &gt;= 67%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Gateway URL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SSM /fa-financial-aid/gateway-url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published each spine deploy; read by the Runtime agent</w:t>
            </w:r>
          </w:p>
        </w:tc>
      </w:tr>
      <w:tr>
        <w:tc>
          <w:tcPr>
            <w:tcW w:type="dxa" w:w="21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Aid-officer group</w:t>
            </w:r>
          </w:p>
        </w:tc>
        <w:tc>
          <w:tcPr>
            <w:tcW w:type="dxa" w:w="354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Cedar permit condition</w:t>
            </w:r>
          </w:p>
        </w:tc>
        <w:tc>
          <w:tcPr>
            <w:tcW w:type="dxa" w:w="4800"/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cognito:groups contains aid_officer</w:t>
            </w:r>
          </w:p>
        </w:tc>
      </w:tr>
      <w:tr>
        <w:tc>
          <w:tcPr>
            <w:tcW w:type="dxa" w:w="21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Audit stores</w:t>
            </w:r>
          </w:p>
        </w:tc>
        <w:tc>
          <w:tcPr>
            <w:tcW w:type="dxa" w:w="354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controls + audit in the manifest</w:t>
            </w:r>
          </w:p>
        </w:tc>
        <w:tc>
          <w:tcPr>
            <w:tcW w:type="dxa" w:w="4800"/>
            <w:shd w:fill="F4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line="250"/>
            </w:pPr>
            <w:r>
              <w:rPr>
                <w:sz w:val="19"/>
                <w:szCs w:val="19"/>
              </w:rPr>
              <w:t xml:space="preserve">DynamoDB fa-audit + S3 fa-audit-worm-&lt;acct&gt;-&lt;region&gt; (Object Lock GOVERNANCE 1d)</w:t>
            </w:r>
          </w:p>
        </w:tc>
      </w:tr>
    </w:tbl>
    <w:tbl>
      <w:tblPr>
        <w:tblW w:type="pct" w:w="100%"/>
        <w:tblBorders>
          <w:top w:val="single" w:color="B9791F" w:sz="2"/>
          <w:left w:val="single" w:color="B9791F" w:sz="18"/>
          <w:bottom w:val="single" w:color="B9791F" w:sz="2"/>
          <w:right w:val="single" w:color="B9791F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FBF3E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B9791F"/>
                <w:sz w:val="20"/>
                <w:szCs w:val="20"/>
              </w:rPr>
              <w:t xml:space="preserve">Change the passwords, and configure the real rules, before any shared use</w:t>
            </w:r>
          </w:p>
          <w:p>
            <w:pPr>
              <w:spacing w:after="20" w:line="258"/>
            </w:pPr>
            <w:r>
              <w:t xml:space="preserve">The default test-user passwords are for a private evaluation account only — rotate them (or federate a real IdP) before the environment is shared. The Pell figures and SAP thresholds in assess_aid are illustrative federal defaults — replace them with the authoritative rules for your award year, under compliance review, before any real use.</w:t>
            </w:r>
          </w:p>
        </w:tc>
      </w:tr>
    </w:tbl>
    <w:p>
      <w:pPr>
        <w:pStyle w:val="Heading1"/>
      </w:pPr>
      <w:r>
        <w:t xml:space="preserve">6. Validation checklist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→ ends with a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Gateway URL: … (mode ENFORCE)</w:t>
      </w:r>
      <w:r>
        <w:t xml:space="preserve"> line;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identity-state.env</w:t>
      </w:r>
      <w:r>
        <w:t xml:space="preserve"> +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spine-state.env</w:t>
      </w:r>
      <w:r>
        <w:t xml:space="preserve"> written.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rFonts w:ascii="Consolas" w:cs="Consolas" w:eastAsia="Consolas" w:hAnsi="Consolas"/>
          <w:color w:val="1B3A2B"/>
          <w:sz w:val="18"/>
          <w:szCs w:val="18"/>
        </w:rPr>
        <w:t xml:space="preserve">demo.sh</w:t>
      </w:r>
      <w:r>
        <w:t xml:space="preserve"> →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21 passed, 0 failed</w:t>
      </w:r>
      <w:r>
        <w:t xml:space="preserve"> /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GOVERNANCE DEMO: PASS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SSM parameter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/fa-financial-aid/gateway-url</w:t>
      </w:r>
      <w:r>
        <w:t xml:space="preserve"> exists and matches the live gateway.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Runtime invoke: aid_officer → workflow summary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finalize_award</w:t>
      </w:r>
      <w:r>
        <w:t xml:space="preserve"> absent from tools; outsider → ACCESS DENIED, empty tools.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t xml:space="preserve">CloudWatch log group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/aws/bedrock-agentcore/runtimes/financial_aid_runtime_agent-*-DEFAULT</w:t>
      </w:r>
      <w:r>
        <w:t xml:space="preserve"> shows per-step, identity-tagged logs.</w:t>
      </w:r>
    </w:p>
    <w:p>
      <w:pPr>
        <w:pStyle w:val="Heading1"/>
      </w:pPr>
      <w:r>
        <w:t xml:space="preserve">7. Teardown</w:t>
      </w:r>
    </w:p>
    <w:p>
      <w:r>
        <w:t xml:space="preserve">The spine tears down with zero residual (including the Object-Lock bucket, which requires an admin governance-bypass the tool role does not have). Identity is preserved by design — remove the pool and the Runtime explicitly for a full teardown.</w:t>
      </w:r>
    </w:p>
    <w:p>
      <w:pPr>
        <w:pStyle w:val="Code"/>
        <w:pBdr>
          <w:top w:val="single" w:color="DDE6DE" w:sz="4" w:space="3"/>
          <w:left w:val="single" w:color="0B8F72" w:sz="18" w:space="6"/>
        </w:pBdr>
        <w:shd w:fill="F0F4F1" w:val="clear"/>
        <w:spacing w:after="0" w:before="40" w:line="240"/>
      </w:pPr>
      <w:r>
        <w:rPr>
          <w:rFonts w:ascii="Consolas" w:cs="Consolas" w:eastAsia="Consolas" w:hAnsi="Consolas"/>
          <w:sz w:val="17"/>
          <w:szCs w:val="17"/>
        </w:rPr>
        <w:t xml:space="preserve">bash lib/engine/destroy.sh agents/financial-aid            # spine only; leaves identity + Runtime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full cleanup (from lib/runtime, with the venv active):</w:t>
      </w:r>
    </w:p>
    <w:p>
      <w:pPr>
        <w:pStyle w:val="Code"/>
        <w:pBdr>
          <w:left w:val="single" w:color="0B8F72" w:sz="18" w:space="6"/>
        </w:pBdr>
        <w:shd w:fill="F0F4F1" w:val="clear"/>
        <w:spacing w:after="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agentcore destroy                                       # runtime + ECR + CodeBuild</w:t>
      </w:r>
    </w:p>
    <w:p>
      <w:pPr>
        <w:pStyle w:val="Code"/>
        <w:pBdr>
          <w:bottom w:val="single" w:color="DDE6DE" w:sz="4" w:space="3"/>
          <w:left w:val="single" w:color="0B8F72" w:sz="18" w:space="6"/>
        </w:pBdr>
        <w:shd w:fill="F0F4F1" w:val="clear"/>
        <w:spacing w:after="140" w:before="0" w:line="240"/>
      </w:pPr>
      <w:r>
        <w:rPr>
          <w:rFonts w:ascii="Consolas" w:cs="Consolas" w:eastAsia="Consolas" w:hAnsi="Consolas"/>
          <w:sz w:val="17"/>
          <w:szCs w:val="17"/>
        </w:rPr>
        <w:t xml:space="preserve">#   aws cognito-idp delete-user-pool --user-pool-id &lt;fa-financial-aid pool id&gt; --region us-east-1</w:t>
      </w:r>
    </w:p>
    <w:tbl>
      <w:tblPr>
        <w:tblW w:type="pct" w:w="100%"/>
        <w:tblBorders>
          <w:top w:val="single" w:color="1C7293" w:sz="2"/>
          <w:left w:val="single" w:color="1C7293" w:sz="18"/>
          <w:bottom w:val="single" w:color="1C7293" w:sz="2"/>
          <w:right w:val="single" w:color="1C7293" w:sz="2"/>
          <w:insideH w:val="none"/>
          <w:insideV w:val="none"/>
        </w:tblBorders>
      </w:tblPr>
      <w:tblGrid>
        <w:gridCol w:w="10440"/>
      </w:tblGrid>
      <w:tr>
        <w:tc>
          <w:tcPr>
            <w:tcW w:type="dxa" w:w="10440"/>
            <w:shd w:fill="EEF3F7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C7293"/>
                <w:sz w:val="20"/>
                <w:szCs w:val="20"/>
              </w:rPr>
              <w:t xml:space="preserve">Export evidence first</w:t>
            </w:r>
          </w:p>
          <w:p>
            <w:pPr>
              <w:spacing w:after="20" w:line="258"/>
            </w:pPr>
            <w:r>
              <w:t xml:space="preserve">The WORM audit ledger and bucket are deleted by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destroy.sh</w:t>
            </w:r>
            <w:r>
              <w:t xml:space="preserve">. Export any audit evidence you need to retain before tearing down (scan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</w:t>
            </w:r>
            <w:r>
              <w:t xml:space="preserve"> and sync </w:t>
            </w:r>
            <w:r>
              <w:rPr>
                <w:rFonts w:ascii="Consolas" w:cs="Consolas" w:eastAsia="Consolas" w:hAnsi="Consolas"/>
                <w:color w:val="1B3A2B"/>
                <w:sz w:val="18"/>
                <w:szCs w:val="18"/>
              </w:rPr>
              <w:t xml:space="preserve">fa-audit-worm-…</w:t>
            </w:r>
            <w:r>
              <w:t xml:space="preserve">). See the Maintenance Guide, §5.</w:t>
            </w:r>
          </w:p>
        </w:tc>
      </w:tr>
    </w:tbl>
    <w:p>
      <w:pPr>
        <w:pStyle w:val="Heading1"/>
      </w:pPr>
      <w:r>
        <w:t xml:space="preserve">8. Windows / Git-Bash operational notes</w:t>
      </w:r>
    </w:p>
    <w:p>
      <w:r>
        <w:t xml:space="preserve">The reference environment is Windows with Git-Bash driving the native AWS CLI. These matter (some are handled inside the scripts; the first is on you):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Deploy from a path WITHOUT spaces. </w:t>
      </w:r>
      <w:r>
        <w:t xml:space="preserve">A project path like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 Aid agent</w:t>
      </w:r>
      <w:r>
        <w:t xml:space="preserve"> (with spaces) breaks Git-Bash argument quoting when driven from PowerShell. Put the project in a no-space path such as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C:\...\financial_aid_agent</w:t>
      </w:r>
      <w:r>
        <w:t xml:space="preserve"> before deploying.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Path conversion: </w:t>
      </w:r>
      <w:r>
        <w:t xml:space="preserve">Git-Bash rewrites arguments that start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</w:t>
      </w:r>
      <w:r>
        <w:t xml:space="preserve"> (e.g. the SSM name) into Windows paths. The scripts set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MSYS_NO_PATHCONV=1</w:t>
      </w:r>
      <w:r>
        <w:t xml:space="preserve"> where it matters — but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render.py</w:t>
      </w:r>
      <w:r>
        <w:t xml:space="preserve"> runs under native Python, which cannot take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/c/</w:t>
      </w:r>
      <w:r>
        <w:t xml:space="preserve"> paths, so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deploy.sh</w:t>
      </w:r>
      <w:r>
        <w:t xml:space="preserve"> invokes render in a subshell with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MSYS_NO_PATHCONV</w:t>
      </w:r>
      <w:r>
        <w:t xml:space="preserve"> unset.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Long, unattended runs: </w:t>
      </w:r>
      <w:r>
        <w:t xml:space="preserve">run the 3–4 minute deploy, the venv build, and the CodeBuild launch detached, then poll a log — a foreground shell can be killed before they finish. The pattern that works: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cmd.exe -ArgumentList '/c','"…\bash.exe" -l runner.sh &gt; x.log 2&gt;&amp;1' -WorkingDirectory &lt;no-space dir&gt; -WindowStyle Hidden</w:t>
      </w:r>
      <w:r>
        <w:t xml:space="preserve">, where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runner.sh</w:t>
      </w:r>
      <w:r>
        <w:t xml:space="preserve"> does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cd &lt;no-space dir&gt;</w:t>
      </w:r>
      <w:r>
        <w:t xml:space="preserve"> then the command. Then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Get-Content x.log -Tail 20</w:t>
      </w:r>
      <w:r>
        <w:t xml:space="preserve"> to watch progress. (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Start-Process bash.exe</w:t>
      </w:r>
      <w:r>
        <w:t xml:space="preserve"> directly does not launch reliably; wrap it in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cmd.exe /c</w:t>
      </w:r>
      <w:r>
        <w:t xml:space="preserve">.)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Carriage returns: </w:t>
      </w:r>
      <w:r>
        <w:t xml:space="preserve">the CLI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--output text</w:t>
      </w:r>
      <w:r>
        <w:t xml:space="preserve"> picks up a trailing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\r</w:t>
      </w:r>
      <w:r>
        <w:t xml:space="preserve">; the scripts pipe through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tr -d '\r'</w:t>
      </w:r>
      <w:r>
        <w:t xml:space="preserve"> where it matters.</w:t>
      </w:r>
    </w:p>
    <w:p>
      <w:pPr>
        <w:pStyle w:val="ListParagraph"/>
        <w:numPr>
          <w:ilvl w:val="0"/>
          <w:numId w:val="1"/>
        </w:numPr>
        <w:spacing w:after="70" w:line="260"/>
      </w:pPr>
      <w:r>
        <w:rPr>
          <w:b/>
          <w:bCs/>
        </w:rPr>
        <w:t xml:space="preserve">AgentCore toolkit: </w:t>
      </w:r>
      <w:r>
        <w:t xml:space="preserve">export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PYTHONIOENCODING=utf-8</w:t>
      </w:r>
      <w:r>
        <w:t xml:space="preserve"> and </w:t>
      </w:r>
      <w:r>
        <w:rPr>
          <w:rFonts w:ascii="Consolas" w:cs="Consolas" w:eastAsia="Consolas" w:hAnsi="Consolas"/>
          <w:color w:val="1B3A2B"/>
          <w:sz w:val="18"/>
          <w:szCs w:val="18"/>
        </w:rPr>
        <w:t xml:space="preserve">AGENTCORE_SUPPRESS_RECOMMENDATION=1</w:t>
      </w:r>
      <w:r>
        <w:t xml:space="preserve"> (already set in the helper scripts) so the rich console output does not crash under the Windows codepage.</w:t>
      </w:r>
    </w:p>
    <w:p>
      <w:pPr>
        <w:spacing w:after="80"/>
      </w:pPr>
    </w:p>
    <w:p>
      <w:r>
        <w:rPr>
          <w:i/>
          <w:iCs/>
          <w:color w:val="6B7A8A"/>
        </w:rPr>
        <w:t xml:space="preserve">End of runbook. See the Regulatory-Adherence Guide for the control-to-requirement mapping and the Maintenance Guide for day-two operations.</w:t>
      </w:r>
    </w:p>
    <w:sectPr>
      <w:footerReference w:type="default" r:id="rId7"/>
      <w:pgSz w:w="12240" w:h="15840" w:orient="portrait"/>
      <w:pgMar w:top="1080" w:right="1100" w:bottom="108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6DF" w:sz="4" w:space="6"/>
      </w:pBdr>
      <w:tabs>
        <w:tab w:val="right" w:pos="10040"/>
      </w:tabs>
    </w:pPr>
    <w:r>
      <w:rPr>
        <w:color w:val="6B7A8A"/>
        <w:sz w:val="15"/>
        <w:szCs w:val="15"/>
      </w:rPr>
      <w:t xml:space="preserve">Financial Aid AgentCore · SA Deployment Runbook</w:t>
    </w:r>
    <w:r>
      <w:rPr>
        <w:sz w:val="15"/>
        <w:szCs w:val="15"/>
      </w:rPr>
      <w:t xml:space="preserve">	</w:t>
    </w:r>
    <w:r>
      <w:rPr>
        <w:color w:val="6B7A8A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Cambria" w:cs="Cambria" w:eastAsia="Cambria" w:hAnsi="Cambria"/>
      <w:b/>
      <w:bCs/>
      <w:color w:val="0E2A47"/>
      <w:sz w:val="52"/>
      <w:szCs w:val="52"/>
    </w:rPr>
  </w:style>
  <w:style w:type="paragraph" w:styleId="Subtitle">
    <w:name w:val="Subtitle"/>
    <w:basedOn w:val="Normal"/>
    <w:pPr>
      <w:spacing w:after="80"/>
    </w:pPr>
    <w:rPr>
      <w:rFonts w:ascii="Calibri" w:cs="Calibri" w:eastAsia="Calibri" w:hAnsi="Calibri"/>
      <w:color w:val="1C7293"/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spacing w:after="140" w:before="320"/>
      <w:outlineLvl w:val="0"/>
    </w:pPr>
    <w:rPr>
      <w:rFonts w:ascii="Cambria" w:cs="Cambria" w:eastAsia="Cambria" w:hAnsi="Cambria"/>
      <w:b/>
      <w:bCs/>
      <w:color w:val="0E2A47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90" w:before="240"/>
      <w:outlineLvl w:val="1"/>
    </w:pPr>
    <w:rPr>
      <w:rFonts w:ascii="Cambria" w:cs="Cambria" w:eastAsia="Cambria" w:hAnsi="Cambria"/>
      <w:b/>
      <w:bCs/>
      <w:color w:val="1C7293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Calibri" w:cs="Calibri" w:eastAsia="Calibri" w:hAnsi="Calibri"/>
      <w:b/>
      <w:bCs/>
      <w:color w:val="0E2A47"/>
      <w:sz w:val="22"/>
      <w:szCs w:val="22"/>
    </w:rPr>
  </w:style>
  <w:style w:type="paragraph" w:styleId="Normal">
    <w:name w:val="Normal"/>
    <w:pPr>
      <w:spacing w:after="130" w:line="264"/>
    </w:pPr>
    <w:rPr>
      <w:rFonts w:ascii="Calibri" w:cs="Calibri" w:eastAsia="Calibri" w:hAnsi="Calibri"/>
      <w:color w:val="1A2733"/>
      <w:sz w:val="21"/>
      <w:szCs w:val="21"/>
    </w:rPr>
  </w:style>
  <w:style w:type="paragraph" w:styleId="Code">
    <w:name w:val="Code"/>
    <w:basedOn w:val="Normal"/>
    <w:pPr>
      <w:shd w:fill="F0F4F1" w:val="clear"/>
      <w:spacing w:after="20" w:line="240"/>
    </w:pPr>
    <w:rPr>
      <w:rFonts w:ascii="Consolas" w:cs="Consolas" w:eastAsia="Consolas" w:hAnsi="Consolas"/>
      <w:color w:val="1B3A2B"/>
      <w:sz w:val="17"/>
      <w:szCs w:val="17"/>
    </w:rPr>
  </w:style>
  <w:style w:type="paragraph" w:styleId="Caption">
    <w:name w:val="Caption"/>
    <w:basedOn w:val="Normal"/>
    <w:rPr>
      <w:rFonts w:ascii="Calibri" w:cs="Calibri" w:eastAsia="Calibri" w:hAnsi="Calibri"/>
      <w:i/>
      <w:iCs/>
      <w:color w:val="6B7A8A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2026-07-17T03:38:10.584Z</dcterms:created>
  <dcterms:modified xsi:type="dcterms:W3CDTF">2026-07-17T03:38:10.585Z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