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Title IV financial-aid accelerator maps to the Higher Education Act, FERPA, the GLBA Safeguards Rule, and IRS Publication 1075 — the controls it provides, the evidence it produces, and the validation that remains the institution's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Title IV program-integrity mapping</w:t>
      </w:r>
    </w:p>
    <w:p>
      <w:pPr>
        <w:tabs>
          <w:tab w:val="left" w:pos="520"/>
        </w:tabs>
        <w:spacing w:after="90" w:line="260"/>
      </w:pPr>
      <w:r>
        <w:rPr>
          <w:b/>
          <w:bCs/>
          <w:color w:val="1A2733"/>
          <w:sz w:val="21"/>
          <w:szCs w:val="21"/>
        </w:rPr>
        <w:t xml:space="preserve">5.	FERPA mapping</w:t>
      </w:r>
    </w:p>
    <w:p>
      <w:pPr>
        <w:tabs>
          <w:tab w:val="left" w:pos="520"/>
        </w:tabs>
        <w:spacing w:after="90" w:line="260"/>
      </w:pPr>
      <w:r>
        <w:rPr>
          <w:b/>
          <w:bCs/>
          <w:color w:val="1A2733"/>
          <w:sz w:val="21"/>
          <w:szCs w:val="21"/>
        </w:rPr>
        <w:t xml:space="preserve">6.	GLBA Safeguards &amp; IRS Pub 1075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Title IV financial-aid accelerator to the requirements a college or university financial-aid office must satisfy. It is written for the compliance, privacy, information-security, and financial-aid leadership who decide whether an AI-assisted awarding workflow can be adopted.</w:t>
      </w:r>
    </w:p>
    <w:p>
      <w:r>
        <w:rPr>
          <w:b/>
          <w:bCs/>
        </w:rPr>
        <w:t xml:space="preserve">What this guide is: </w:t>
      </w:r>
      <w:r>
        <w:t xml:space="preserve">a control-to-requirement mapping showing how the accelerator supports adherence, what evidence it produces, and where the institution's own validation is required.</w:t>
      </w:r>
    </w:p>
    <w:p>
      <w:r>
        <w:rPr>
          <w:b/>
          <w:bCs/>
        </w:rPr>
        <w:t xml:space="preserve">What this guide is not: </w:t>
      </w:r>
      <w:r>
        <w:t xml:space="preserve">a certification, an attestation, or legal/regulatory advice. Adopting this accelerator does not by itself make a system compliant or an award determination correct. Program participation, the accuracy of award rules, and the lawfulness of the process remain the institution's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financial-aid officer makes the award determination and commits it — the agent intakes, de-identifies, screens, and drafts, but never self-adjudicates. The security design exists to enforce that rule and to produce the program-integrity evidence trail.</w:t>
            </w:r>
          </w:p>
        </w:tc>
      </w:tr>
    </w:tbl>
    <w:p>
      <w:pPr>
        <w:pStyle w:val="Heading1"/>
      </w:pPr>
      <w:r>
        <w:t xml:space="preserve">2. The regulated workflow</w:t>
      </w:r>
    </w:p>
    <w:p>
      <w:r>
        <w:t xml:space="preserve">Title IV awarding decides whether a student qualifies for the Pell Grant and other federal aid, whether they meet Satisfactory Academic Progress (SAP), and how verification is handled. When a FAFSA/ISIR arrives, a regulated workflow runs: intake the application, de-identify PII/education records, determine Pell eligibility, SAP, and the verification track, draft an award/determination notice, obtain a qualified aid officer's review and sign-off, and commit the award to the system of record.</w:t>
      </w:r>
    </w:p>
    <w:p>
      <w:r>
        <w:t xml:space="preserve">The accelerator automates the intake, de-identification, screening, and drafting steps under governance, and pauses at a human sign-off gate before any award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Title IV / Higher Education Act</w:t>
            </w:r>
          </w:p>
        </w:tc>
        <w:tc>
          <w:tcPr>
            <w:tcW w:type="dxa" w:w="7540"/>
            <w:shd w:fill="FFFFFF" w:val="clear"/>
            <w:tcMar>
              <w:top w:type="dxa" w:w="60"/>
              <w:left w:type="dxa" w:w="110"/>
              <w:bottom w:type="dxa" w:w="60"/>
              <w:right w:type="dxa" w:w="110"/>
            </w:tcMar>
          </w:tcPr>
          <w:p>
            <w:pPr>
              <w:spacing w:after="0" w:line="250"/>
            </w:pPr>
            <w:r>
              <w:rPr>
                <w:sz w:val="19"/>
                <w:szCs w:val="19"/>
              </w:rPr>
              <w:t xml:space="preserve">Federal student-aid program rules — Pell need analysis, Satisfactory Academic Progress, and verification (34 CFR Parts 668, 690); the qualified-aid-officer determination and professional judgment.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FERPA</w:t>
            </w:r>
          </w:p>
        </w:tc>
        <w:tc>
          <w:tcPr>
            <w:tcW w:type="dxa" w:w="7540"/>
            <w:shd w:fill="F4F8FA" w:val="clear"/>
            <w:tcMar>
              <w:top w:type="dxa" w:w="60"/>
              <w:left w:type="dxa" w:w="110"/>
              <w:bottom w:type="dxa" w:w="60"/>
              <w:right w:type="dxa" w:w="110"/>
            </w:tcMar>
          </w:tcPr>
          <w:p>
            <w:pPr>
              <w:spacing w:after="0" w:line="250"/>
            </w:pPr>
            <w:r>
              <w:rPr>
                <w:sz w:val="19"/>
                <w:szCs w:val="19"/>
              </w:rPr>
              <w:t xml:space="preserve">The Family Educational Rights and Privacy Act — protection of, and controlled access to, student education records.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GLBA Safeguards Rule</w:t>
            </w:r>
          </w:p>
        </w:tc>
        <w:tc>
          <w:tcPr>
            <w:tcW w:type="dxa" w:w="7540"/>
            <w:shd w:fill="FFFFFF" w:val="clear"/>
            <w:tcMar>
              <w:top w:type="dxa" w:w="60"/>
              <w:left w:type="dxa" w:w="110"/>
              <w:bottom w:type="dxa" w:w="60"/>
              <w:right w:type="dxa" w:w="110"/>
            </w:tcMar>
          </w:tcPr>
          <w:p>
            <w:pPr>
              <w:spacing w:after="0" w:line="250"/>
            </w:pPr>
            <w:r>
              <w:rPr>
                <w:sz w:val="19"/>
                <w:szCs w:val="19"/>
              </w:rPr>
              <w:t xml:space="preserve">The FTC Safeguards Rule — Title IV participants must protect student financial information with a written security program and technical safeguards.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Federal Tax Information where tax data is used for income (e.g. via the FUTURE Act direct data exchange) — access, audit, and disclosure controls.</w:t>
            </w:r>
          </w:p>
        </w:tc>
      </w:tr>
    </w:tbl>
    <w:p>
      <w:pPr>
        <w:pStyle w:val="Heading1"/>
      </w:pPr>
      <w:r>
        <w:t xml:space="preserve">4. Title IV program-integrity mapping</w:t>
      </w:r>
    </w:p>
    <w:p>
      <w:r>
        <w:t xml:space="preserve">Title IV requires accurate need determination, SAP monitoring, verification, and an auditable award trail, with a qualified official making the determination. The accelerator produces the determination and the tamper-evident record a program review or audit depends on; the authoritative rules and their correctness remain the institution's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Title IV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Need determination (Pell)</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computes an estimated Pell award deterministically from the Student Aid Index and cost of attendance, prorated by enrollment intensity, using the AUTHORITATIVE 2026-27 Pell figures (max $7,395 / min $740, FSA DCL 2026-01-30). The cost of attendance is fetched LIVE from the U.S. Dept of Education College Scorecard API (lookup_coa), and its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packaging rules; a free api.data.gov key for College Scorecard.</w:t>
            </w:r>
          </w:p>
        </w:tc>
      </w:tr>
      <w:tr>
        <w:tc>
          <w:tcPr>
            <w:tcW w:type="dxa" w:w="2650"/>
            <w:shd w:fill="F4F8FA" w:val="clear"/>
            <w:tcMar>
              <w:top w:type="dxa" w:w="60"/>
              <w:left w:type="dxa" w:w="110"/>
              <w:bottom w:type="dxa" w:w="60"/>
              <w:right w:type="dxa" w:w="110"/>
            </w:tcMar>
          </w:tcPr>
          <w:p>
            <w:pPr>
              <w:spacing w:after="0" w:line="250"/>
            </w:pPr>
            <w:r>
              <w:rPr>
                <w:sz w:val="19"/>
                <w:szCs w:val="19"/>
              </w:rPr>
              <w:t xml:space="preserve">Satisfactory Academic Progress</w:t>
            </w:r>
          </w:p>
        </w:tc>
        <w:tc>
          <w:tcPr>
            <w:tcW w:type="dxa" w:w="4090"/>
            <w:shd w:fill="F4F8FA" w:val="clear"/>
            <w:tcMar>
              <w:top w:type="dxa" w:w="60"/>
              <w:left w:type="dxa" w:w="110"/>
              <w:bottom w:type="dxa" w:w="60"/>
              <w:right w:type="dxa" w:w="110"/>
            </w:tcMar>
          </w:tcPr>
          <w:p>
            <w:pPr>
              <w:spacing w:after="0" w:line="250"/>
            </w:pPr>
            <w:r>
              <w:rPr>
                <w:sz w:val="19"/>
                <w:szCs w:val="19"/>
              </w:rPr>
              <w:t xml:space="preserve">assess_aid evaluates SAP (cumulative GPA and completion pace) and returns SATISFACTORY / NOT_SATISFACTORY, holding aid and routing to review when SAP is not met.</w:t>
            </w:r>
          </w:p>
        </w:tc>
        <w:tc>
          <w:tcPr>
            <w:tcW w:type="dxa" w:w="3700"/>
            <w:shd w:fill="F4F8FA" w:val="clear"/>
            <w:tcMar>
              <w:top w:type="dxa" w:w="60"/>
              <w:left w:type="dxa" w:w="110"/>
              <w:bottom w:type="dxa" w:w="60"/>
              <w:right w:type="dxa" w:w="110"/>
            </w:tcMar>
          </w:tcPr>
          <w:p>
            <w:pPr>
              <w:spacing w:after="0" w:line="250"/>
            </w:pPr>
            <w:r>
              <w:rPr>
                <w:sz w:val="19"/>
                <w:szCs w:val="19"/>
              </w:rPr>
              <w:t xml:space="preserve">The SAP status output; institution owns its published SAP policy and appeal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Verification (34 CFR 668.51-.61)</w:t>
            </w:r>
          </w:p>
        </w:tc>
        <w:tc>
          <w:tcPr>
            <w:tcW w:type="dxa" w:w="4090"/>
            <w:shd w:fill="FFFFFF" w:val="clear"/>
            <w:tcMar>
              <w:top w:type="dxa" w:w="60"/>
              <w:left w:type="dxa" w:w="110"/>
              <w:bottom w:type="dxa" w:w="60"/>
              <w:right w:type="dxa" w:w="110"/>
            </w:tcMar>
          </w:tcPr>
          <w:p>
            <w:pPr>
              <w:spacing w:after="0" w:line="250"/>
            </w:pPr>
            <w:r>
              <w:rPr>
                <w:sz w:val="19"/>
                <w:szCs w:val="19"/>
              </w:rPr>
              <w:t xml:space="preserve">verify_documents tracks required vs received documents and returns a HOLD while verification is PENDING — no disbursement until it clears. assess_aid also returns the verification track.</w:t>
            </w:r>
          </w:p>
        </w:tc>
        <w:tc>
          <w:tcPr>
            <w:tcW w:type="dxa" w:w="3700"/>
            <w:shd w:fill="FFFFFF" w:val="clear"/>
            <w:tcMar>
              <w:top w:type="dxa" w:w="60"/>
              <w:left w:type="dxa" w:w="110"/>
              <w:bottom w:type="dxa" w:w="60"/>
              <w:right w:type="dxa" w:w="110"/>
            </w:tcMar>
          </w:tcPr>
          <w:p>
            <w:pPr>
              <w:spacing w:after="0" w:line="250"/>
            </w:pPr>
            <w:r>
              <w:rPr>
                <w:sz w:val="19"/>
                <w:szCs w:val="19"/>
              </w:rPr>
              <w:t xml:space="preserve">The document checklist; institution owns its verification procedures and reconciliation.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Professional judgment (HEA 479A)</w:t>
            </w:r>
          </w:p>
        </w:tc>
        <w:tc>
          <w:tcPr>
            <w:tcW w:type="dxa" w:w="4090"/>
            <w:shd w:fill="F4F8FA" w:val="clear"/>
            <w:tcMar>
              <w:top w:type="dxa" w:w="60"/>
              <w:left w:type="dxa" w:w="110"/>
              <w:bottom w:type="dxa" w:w="60"/>
              <w:right w:type="dxa" w:w="110"/>
            </w:tcMar>
          </w:tcPr>
          <w:p>
            <w:pPr>
              <w:spacing w:after="0" w:line="250"/>
            </w:pPr>
            <w:r>
              <w:rPr>
                <w:sz w:val="19"/>
                <w:szCs w:val="19"/>
              </w:rPr>
              <w:t xml:space="preserve">record_professional_judgment PREPARES a documented PJ recommendation — it REQUIRES a written rationale and returns a record a DIFFERENT senior aid officer must approve. commit_professional_judgment is forbidden to the agent (no_self_professional_judgment); a PJ is a senior-human decision.</w:t>
            </w:r>
          </w:p>
        </w:tc>
        <w:tc>
          <w:tcPr>
            <w:tcW w:type="dxa" w:w="3700"/>
            <w:shd w:fill="F4F8FA" w:val="clear"/>
            <w:tcMar>
              <w:top w:type="dxa" w:w="60"/>
              <w:left w:type="dxa" w:w="110"/>
              <w:bottom w:type="dxa" w:w="60"/>
              <w:right w:type="dxa" w:w="110"/>
            </w:tcMar>
          </w:tcPr>
          <w:p>
            <w:pPr>
              <w:spacing w:after="0" w:line="250"/>
            </w:pPr>
            <w:r>
              <w:rPr>
                <w:sz w:val="19"/>
                <w:szCs w:val="19"/>
              </w:rPr>
              <w:t xml:space="preserve">The senior-approval workflow and the documented rationale for the file.</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is a deterministic rules engine (no model) with the stated Pell/SAP basis, so an aid officer can defend it on appeal.</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institution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award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COA source and any PJ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Institution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official</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an aid officer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FERPA mapping</w:t>
      </w:r>
    </w:p>
    <w:p>
      <w:r>
        <w:t xml:space="preserve">FERPA protects student education records and limits their disclosure. The accelerator de-identifies PII/education-record identifiers before the model or the audit sees them, and constrains access by least privilege. The institution's FERPA program and its determination of school officials with a legitimate educational interest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FERPA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education records /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(legitimate educational interest)</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aid officer's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institution maps school-official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fa-audit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aid officer's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institution's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KMS/encryption, network controls, FERPA program &amp; annual notification.</w:t>
            </w:r>
          </w:p>
        </w:tc>
      </w:tr>
    </w:tbl>
    <w:p>
      <w:pPr>
        <w:pStyle w:val="Heading1"/>
      </w:pPr>
      <w:r>
        <w:t xml:space="preserve">6. GLBA Safeguards &amp; IRS Pub 1075 mapping</w:t>
      </w:r>
    </w:p>
    <w:p>
      <w:r>
        <w:t xml:space="preserve">The GLBA Safeguards Rule requires Title IV participants to protect student financial information with technical safeguards; where Federal Tax Information is used for income, Pub 1075 adds strict access and audit controls. The accelerator implements the access-control, audit, and de-identification safeguards; the written information-security program and the safeguard security report are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Safeguards / 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Access controls</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aid-officer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institution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Encryption &amp; data protection</w:t>
            </w:r>
          </w:p>
        </w:tc>
        <w:tc>
          <w:tcPr>
            <w:tcW w:type="dxa" w:w="4240"/>
            <w:shd w:fill="F4F8FA"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institution's account.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 keys, TLS, and network segmentation.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&amp; monitoring</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FFFFF" w:val="clear"/>
            <w:tcMar>
              <w:top w:type="dxa" w:w="60"/>
              <w:left w:type="dxa" w:w="110"/>
              <w:bottom w:type="dxa" w:w="60"/>
              <w:right w:type="dxa" w:w="110"/>
            </w:tcMar>
          </w:tcPr>
          <w:p>
            <w:pPr>
              <w:spacing w:after="0" w:line="250"/>
            </w:pPr>
            <w:r>
              <w:rPr>
                <w:sz w:val="19"/>
                <w:szCs w:val="19"/>
              </w:rPr>
              <w:t xml:space="preserve">Live; institution sets retention and log aggregation.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Minimize / safeguard FTI</w:t>
            </w:r>
          </w:p>
        </w:tc>
        <w:tc>
          <w:tcPr>
            <w:tcW w:type="dxa" w:w="4240"/>
            <w:shd w:fill="F4F8FA" w:val="clear"/>
            <w:tcMar>
              <w:top w:type="dxa" w:w="60"/>
              <w:left w:type="dxa" w:w="110"/>
              <w:bottom w:type="dxa" w:w="60"/>
              <w:right w:type="dxa" w:w="110"/>
            </w:tcMar>
          </w:tcPr>
          <w:p>
            <w:pPr>
              <w:spacing w:after="0" w:line="250"/>
            </w:pPr>
            <w:r>
              <w:rPr>
                <w:sz w:val="19"/>
                <w:szCs w:val="19"/>
              </w:rPr>
              <w:t xml:space="preserve">mask_pii removes SSN and other identifiers before the model and the audit; least-privilege limits who and what can process it.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Pub 1075 safeguarding program and safeguard security report, where FTI is used.</w:t>
            </w:r>
          </w:p>
        </w:tc>
      </w:tr>
      <w:tr>
        <w:tc>
          <w:tcPr>
            <w:tcW w:type="dxa" w:w="2500"/>
            <w:shd w:fill="FFFFFF" w:val="clear"/>
            <w:tcMar>
              <w:top w:type="dxa" w:w="60"/>
              <w:left w:type="dxa" w:w="110"/>
              <w:bottom w:type="dxa" w:w="60"/>
              <w:right w:type="dxa" w:w="110"/>
            </w:tcMar>
          </w:tcPr>
          <w:p>
            <w:pPr>
              <w:spacing w:after="0" w:line="250"/>
            </w:pPr>
            <w:r>
              <w:rPr>
                <w:sz w:val="19"/>
                <w:szCs w:val="19"/>
              </w:rPr>
              <w:t xml:space="preserve">Written security program &amp; assessment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31-check governance test harness that runs in enforcement mode.</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WISP, risk assessment, and qualified individual per the Safeguards Rule.</w:t>
            </w:r>
          </w:p>
        </w:tc>
      </w:tr>
    </w:tbl>
    <w:p>
      <w:pPr>
        <w:pStyle w:val="Heading1"/>
      </w:pPr>
      <w:r>
        <w:t xml:space="preserve">7. Separation of duties &amp; the human sign-off gate</w:t>
      </w:r>
    </w:p>
    <w:p>
      <w:r>
        <w:t xml:space="preserve">The single most important control for Title IV program integrity is that a qualified financial-aid officer — not the agent — makes and commits the award. The accelerator enforces this structurally:</w:t>
      </w:r>
    </w:p>
    <w:p>
      <w:pPr>
        <w:pStyle w:val="ListParagraph"/>
        <w:numPr>
          <w:ilvl w:val="0"/>
          <w:numId w:val="1"/>
        </w:numPr>
        <w:spacing w:after="70" w:line="260"/>
      </w:pPr>
      <w:r>
        <w:rPr>
          <w:b/>
          <w:bCs/>
        </w:rPr>
        <w:t xml:space="preserve">The agent cannot commit. </w:t>
      </w:r>
      <w:r>
        <w:t xml:space="preserve">The finalize_award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an aid officer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award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an aid officer's request to self-approve is blocked as a separation-of-duties violation; a different qualified aid officer's approval succeeds; the award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institution's real systems and rules remain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institution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Title IV program participation and authorization to operate</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aid-officer role mapping to school officials</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SIS / Common Origination &amp; Disbursement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aid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award rules/thresholds and their compliance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IaC + the 31-check governance harness</w:t>
            </w:r>
          </w:p>
        </w:tc>
        <w:tc>
          <w:tcPr>
            <w:tcW w:type="dxa" w:w="5220"/>
            <w:shd w:fill="F4F8FA" w:val="clear"/>
            <w:tcMar>
              <w:top w:type="dxa" w:w="60"/>
              <w:left w:type="dxa" w:w="110"/>
              <w:bottom w:type="dxa" w:w="60"/>
              <w:right w:type="dxa" w:w="110"/>
            </w:tcMar>
          </w:tcPr>
          <w:p>
            <w:pPr>
              <w:spacing w:after="0" w:line="250"/>
            </w:pPr>
            <w:r>
              <w:rPr>
                <w:sz w:val="19"/>
                <w:szCs w:val="19"/>
              </w:rPr>
              <w:t xml:space="preserve">The GLBA written information-security program and Pub 1075 SSR (where FTI is used)</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SAP appeal rights, and the student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Title IV of the Higher Education Act, FERPA, the GLBA Safeguards Rule, IRS Publication 1075, or any other authority. Award determinations have direct consequences for students; the correctness of award rules, thresholds, and notices, and the lawfulness of the process, depend on the institution's validated implementation, policies, compliance review, and use. The Pell figures and SAP thresholds shipped with the accelerator are illustrative federal defaults, not authoritative award rules. Consult your compliance, privacy, and financial-aid leadership before processing real student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2026-07-17T16:22:11.059Z</dcterms:created>
  <dcterms:modified xsi:type="dcterms:W3CDTF">2026-07-17T16:22:11.073Z</dcterms:modified>
</cp:coreProperties>
</file>

<file path=docProps/custom.xml><?xml version="1.0" encoding="utf-8"?>
<Properties xmlns="http://schemas.openxmlformats.org/officeDocument/2006/custom-properties" xmlns:vt="http://schemas.openxmlformats.org/officeDocument/2006/docPropsVTypes"/>
</file>