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Housing Choice Voucher (Section 8) / public-housing eligibility accelerator maps to the U.S. Housing Act and HUD regulations (24 CFR Parts 5, 960/966, 982), the informal-hearing/due-process requirements, the Privacy Act, and StateRAMP / NIST SP 800-53 — the controls it provides, the evidence it produces, and the validation that remains the housing authority's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Housing program-integrity mapping</w:t>
      </w:r>
    </w:p>
    <w:p>
      <w:pPr>
        <w:tabs>
          <w:tab w:val="left" w:pos="520"/>
        </w:tabs>
        <w:spacing w:after="90" w:line="260"/>
      </w:pPr>
      <w:r>
        <w:rPr>
          <w:b/>
          <w:bCs/>
          <w:color w:val="1A2733"/>
          <w:sz w:val="21"/>
          <w:szCs w:val="21"/>
        </w:rPr>
        <w:t xml:space="preserve">5.	Privacy Act &amp; PII-safeguarding mapping</w:t>
      </w:r>
    </w:p>
    <w:p>
      <w:pPr>
        <w:tabs>
          <w:tab w:val="left" w:pos="520"/>
        </w:tabs>
        <w:spacing w:after="90" w:line="260"/>
      </w:pPr>
      <w:r>
        <w:rPr>
          <w:b/>
          <w:bCs/>
          <w:color w:val="1A2733"/>
          <w:sz w:val="21"/>
          <w:szCs w:val="21"/>
        </w:rPr>
        <w:t xml:space="preserve">6.	Due process, StateRAMP &amp;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Housing Choice Voucher (Section 8) / public-housing eligibility accelerator to the requirements a Public Housing Agency (PHA) or housing authority must satisfy. It is written for the compliance, privacy, information-security, and housing-program leadership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housing authority's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correct. Program participation, the accuracy of admission rules and local preferences, and the lawfulness of the process remain the housing authority's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housing specialist makes the eligibility determination and commits it — the agent intakes, looks up the authoritative HUD limit,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Housing-assistance intake decides whether a household qualifies for a Housing Choice Voucher or public housing, which HUD income category it falls in against Area Median Income (AMI), and whether an extremely-low-income targeting priority applies. When an application arrives, a regulated workflow runs: intake the application, look up the authoritative HUD income limit for the household's county, de-identify PII, assess the income category and voucher eligibility, draft a determination notice, obtain a qualified housing specialist's review and sign-off, and commit the determination to the system of record.</w:t>
      </w:r>
    </w:p>
    <w:p>
      <w:r>
        <w:t xml:space="preserve">The accelerator automates the intake, authoritative-lookup,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U.S. Housing Act / HUD regulations</w:t>
            </w:r>
          </w:p>
        </w:tc>
        <w:tc>
          <w:tcPr>
            <w:tcW w:type="dxa" w:w="7540"/>
            <w:shd w:fill="FFFFFF" w:val="clear"/>
            <w:tcMar>
              <w:top w:type="dxa" w:w="60"/>
              <w:left w:type="dxa" w:w="110"/>
              <w:bottom w:type="dxa" w:w="60"/>
              <w:right w:type="dxa" w:w="110"/>
            </w:tcMar>
          </w:tcPr>
          <w:p>
            <w:pPr>
              <w:spacing w:after="0" w:line="250"/>
            </w:pPr>
            <w:r>
              <w:rPr>
                <w:sz w:val="19"/>
                <w:szCs w:val="19"/>
              </w:rPr>
              <w:t xml:space="preserve">Federal housing-assistance program rules — income limits and definitions (24 CFR Part 5, §5.603 income categories), the Housing Choice Voucher program (24 CFR Part 982), and public housing (24 CFR Parts 960/966); the extremely-low-income targeting requirement (42 USC 1437n) and the qualified-specialist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Due process / informal hearing</w:t>
            </w:r>
          </w:p>
        </w:tc>
        <w:tc>
          <w:tcPr>
            <w:tcW w:type="dxa" w:w="7540"/>
            <w:shd w:fill="F4F8FA" w:val="clear"/>
            <w:tcMar>
              <w:top w:type="dxa" w:w="60"/>
              <w:left w:type="dxa" w:w="110"/>
              <w:bottom w:type="dxa" w:w="60"/>
              <w:right w:type="dxa" w:w="110"/>
            </w:tcMar>
          </w:tcPr>
          <w:p>
            <w:pPr>
              <w:spacing w:after="0" w:line="250"/>
            </w:pPr>
            <w:r>
              <w:rPr>
                <w:sz w:val="19"/>
                <w:szCs w:val="19"/>
              </w:rPr>
              <w:t xml:space="preserve">Timely written notice and an informal hearing/review right before an adverse action takes effect — 24 CFR 982.555 (HCV informal hearing) and 24 CFR Part 966 (public-housing grievance).</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Privacy Act</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of applicant personally identifiable information — Social Security numbers, income records, and other identifiers — and controlled access to it.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authorization framework for state and local government systems — access control, audit, and reproducible control evidence supporting an authorization to operate (ATO).</w:t>
            </w:r>
          </w:p>
        </w:tc>
      </w:tr>
    </w:tbl>
    <w:p>
      <w:pPr>
        <w:pStyle w:val="Heading1"/>
      </w:pPr>
      <w:r>
        <w:t xml:space="preserve">4. Housing program-integrity mapping</w:t>
      </w:r>
    </w:p>
    <w:p>
      <w:r>
        <w:t xml:space="preserve">The U.S. Housing Act and HUD regulations require an accurate income-category determination against the authoritative area limits, extremely-low-income targeting, re-certification, and an auditable determination trail, with a qualified specialist making the determination. The accelerator produces the determination and the tamper-evident record a program review or audit depends on; the authoritative admission rules, local preferences, and their correctness remain the housing authority's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Housing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Income-category determination (24 CFR 5.603)</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classifies the household deterministically against Area Median Income — EXTREMELY_LOW (≤ 30% AMI), VERY_LOW (≤ 50% AMI), LOW (≤ 80% AMI), or OVER_INCOME. The 30/50/80% AMI limits are fetched LIVE from the HUD USER Income Limits API (lookup_income_limit) on the household's county FIPS, and their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admission policy; a free HUD USER Bearer token (register at huduser.gov).</w:t>
            </w:r>
          </w:p>
        </w:tc>
      </w:tr>
      <w:tr>
        <w:tc>
          <w:tcPr>
            <w:tcW w:type="dxa" w:w="2650"/>
            <w:shd w:fill="F4F8FA" w:val="clear"/>
            <w:tcMar>
              <w:top w:type="dxa" w:w="60"/>
              <w:left w:type="dxa" w:w="110"/>
              <w:bottom w:type="dxa" w:w="60"/>
              <w:right w:type="dxa" w:w="110"/>
            </w:tcMar>
          </w:tcPr>
          <w:p>
            <w:pPr>
              <w:spacing w:after="0" w:line="250"/>
            </w:pPr>
            <w:r>
              <w:rPr>
                <w:sz w:val="19"/>
                <w:szCs w:val="19"/>
              </w:rPr>
              <w:t xml:space="preserve">Voucher/public-housing admission threshold</w:t>
            </w:r>
          </w:p>
        </w:tc>
        <w:tc>
          <w:tcPr>
            <w:tcW w:type="dxa" w:w="4090"/>
            <w:shd w:fill="F4F8FA" w:val="clear"/>
            <w:tcMar>
              <w:top w:type="dxa" w:w="60"/>
              <w:left w:type="dxa" w:w="110"/>
              <w:bottom w:type="dxa" w:w="60"/>
              <w:right w:type="dxa" w:w="110"/>
            </w:tcMar>
          </w:tcPr>
          <w:p>
            <w:pPr>
              <w:spacing w:after="0" w:line="250"/>
            </w:pPr>
            <w:r>
              <w:rPr>
                <w:sz w:val="19"/>
                <w:szCs w:val="19"/>
              </w:rPr>
              <w:t xml:space="preserve">assess_housing_eligibility returns ELIGIBLE / INELIGIBLE / NEEDS_REVIEW: HCV/public-housing admission generally requires very-low income (≤ 50% AMI); households between 50% and 80% (low income) route to NEEDS_REVIEW; above 80% is over-income.</w:t>
            </w:r>
          </w:p>
        </w:tc>
        <w:tc>
          <w:tcPr>
            <w:tcW w:type="dxa" w:w="3700"/>
            <w:shd w:fill="F4F8FA" w:val="clear"/>
            <w:tcMar>
              <w:top w:type="dxa" w:w="60"/>
              <w:left w:type="dxa" w:w="110"/>
              <w:bottom w:type="dxa" w:w="60"/>
              <w:right w:type="dxa" w:w="110"/>
            </w:tcMar>
          </w:tcPr>
          <w:p>
            <w:pPr>
              <w:spacing w:after="0" w:line="250"/>
            </w:pPr>
            <w:r>
              <w:rPr>
                <w:sz w:val="19"/>
                <w:szCs w:val="19"/>
              </w:rPr>
              <w:t xml:space="preserve">The eligibility output; authority owns its published admission policy and local preferences.</w:t>
            </w:r>
          </w:p>
        </w:tc>
      </w:tr>
      <w:tr>
        <w:tc>
          <w:tcPr>
            <w:tcW w:type="dxa" w:w="2650"/>
            <w:shd w:fill="FFFFFF" w:val="clear"/>
            <w:tcMar>
              <w:top w:type="dxa" w:w="60"/>
              <w:left w:type="dxa" w:w="110"/>
              <w:bottom w:type="dxa" w:w="60"/>
              <w:right w:type="dxa" w:w="110"/>
            </w:tcMar>
          </w:tcPr>
          <w:p>
            <w:pPr>
              <w:spacing w:after="0" w:line="250"/>
            </w:pPr>
            <w:r>
              <w:rPr>
                <w:sz w:val="19"/>
                <w:szCs w:val="19"/>
              </w:rPr>
              <w:t xml:space="preserve">Extremely-low-income targeting (42 USC 1437n)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raises the extremely-low-income targeting flag for a ≤ 30% AMI household — by statute at least 75% of new HCV admissions must go to extremely-low-income families.</w:t>
            </w:r>
          </w:p>
        </w:tc>
        <w:tc>
          <w:tcPr>
            <w:tcW w:type="dxa" w:w="3700"/>
            <w:shd w:fill="FFFFFF" w:val="clear"/>
            <w:tcMar>
              <w:top w:type="dxa" w:w="60"/>
              <w:left w:type="dxa" w:w="110"/>
              <w:bottom w:type="dxa" w:w="60"/>
              <w:right w:type="dxa" w:w="110"/>
            </w:tcMar>
          </w:tcPr>
          <w:p>
            <w:pPr>
              <w:spacing w:after="0" w:line="250"/>
            </w:pPr>
            <w:r>
              <w:rPr>
                <w:sz w:val="19"/>
                <w:szCs w:val="19"/>
              </w:rPr>
              <w:t xml:space="preserve">The targeting-priority flag; authority owns its targeting monitoring and waitlist administration.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Annual/interim re-certification</w:t>
            </w:r>
          </w:p>
        </w:tc>
        <w:tc>
          <w:tcPr>
            <w:tcW w:type="dxa" w:w="4090"/>
            <w:shd w:fill="F4F8FA" w:val="clear"/>
            <w:tcMar>
              <w:top w:type="dxa" w:w="60"/>
              <w:left w:type="dxa" w:w="110"/>
              <w:bottom w:type="dxa" w:w="60"/>
              <w:right w:type="dxa" w:w="110"/>
            </w:tcMar>
          </w:tcPr>
          <w:p>
            <w:pPr>
              <w:spacing w:after="0" w:line="250"/>
            </w:pPr>
            <w:r>
              <w:rPr>
                <w:sz w:val="19"/>
                <w:szCs w:val="19"/>
              </w:rPr>
              <w:t xml:space="preserve">recertify re-runs the income rules on new facts and classifies the change; an ADVERSE change (subsidy reduction or termination) flags that advance written notice and an informal hearing/review right are required BEFORE it takes effect (24 CFR 982.555 / 966). It never commits.</w:t>
            </w:r>
          </w:p>
        </w:tc>
        <w:tc>
          <w:tcPr>
            <w:tcW w:type="dxa" w:w="3700"/>
            <w:shd w:fill="F4F8FA" w:val="clear"/>
            <w:tcMar>
              <w:top w:type="dxa" w:w="60"/>
              <w:left w:type="dxa" w:w="110"/>
              <w:bottom w:type="dxa" w:w="60"/>
              <w:right w:type="dxa" w:w="110"/>
            </w:tcMar>
          </w:tcPr>
          <w:p>
            <w:pPr>
              <w:spacing w:after="0" w:line="250"/>
            </w:pPr>
            <w:r>
              <w:rPr>
                <w:sz w:val="19"/>
                <w:szCs w:val="19"/>
              </w:rPr>
              <w:t xml:space="preserve">The re-certification schedule and hearing procedures; authority owns the notice language and hearing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is a deterministic rules engine (no model) with the stated AMI basis and HUD provenance, so a housing specialist can defend it at an informal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authority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determination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HUD income-limit source and any recertification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Authority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specialist</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housing specialist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Privacy Act &amp; PII-safeguarding mapping</w:t>
      </w:r>
    </w:p>
    <w:p>
      <w:r>
        <w:t xml:space="preserve">The Privacy Act and HUD's own safeguarding requirements protect applicant PII — Social Security numbers, income records, addresses — and limit its disclosure. The accelerator de-identifies PII before the model or the audit sees it, and constrains access by least privilege. The housing authority's privacy program and its determination of who has a need to know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Privacy Act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applicant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 The non-PII county FIPS used for the HUD lookup is deliberately handled before masking.</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(need to know)</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housing specialist's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authority maps housing-specialist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hou-audit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housing specialist's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authority's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KMS/encryption, network controls, the Privacy Act system-of-records notice &amp; routine-use review.</w:t>
            </w:r>
          </w:p>
        </w:tc>
      </w:tr>
    </w:tbl>
    <w:p>
      <w:pPr>
        <w:pStyle w:val="Heading1"/>
      </w:pPr>
      <w:r>
        <w:t xml:space="preserve">6. Due process, StateRAMP &amp; NIST SP 800-53 mapping</w:t>
      </w:r>
    </w:p>
    <w:p>
      <w:r>
        <w:t xml:space="preserve">Due process requires timely written notice and an informal hearing/review right before an adverse action takes effect; StateRAMP / NIST SP 800-53 add the access-control, audit, and control-evidence discipline a state/local authorization to operate depends on. The accelerator implements the notice-generation, access-control, audit, and de-identification safeguards; the authoritative notice language, the hearing process, and the ATO package are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Due process / 800-53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Timely written notice + informal hearing</w:t>
            </w:r>
          </w:p>
        </w:tc>
        <w:tc>
          <w:tcPr>
            <w:tcW w:type="dxa" w:w="424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on masked data only; recertify flags that advance notice and an informal hearing/review right (24 CFR 982.555 / 966) are required before an adverse action takes effect. The WORM record preserves the notice and its basis.</w:t>
            </w:r>
          </w:p>
        </w:tc>
        <w:tc>
          <w:tcPr>
            <w:tcW w:type="dxa" w:w="3700"/>
            <w:shd w:fill="FFFFFF" w:val="clear"/>
            <w:tcMar>
              <w:top w:type="dxa" w:w="60"/>
              <w:left w:type="dxa" w:w="110"/>
              <w:bottom w:type="dxa" w:w="60"/>
              <w:right w:type="dxa" w:w="110"/>
            </w:tcMar>
          </w:tcPr>
          <w:p>
            <w:pPr>
              <w:spacing w:after="0" w:line="250"/>
            </w:pPr>
            <w:r>
              <w:rPr>
                <w:sz w:val="19"/>
                <w:szCs w:val="19"/>
              </w:rPr>
              <w:t xml:space="preserve">The authoritative notice language and hearing procedures; authority owns the informal-hearing process.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controls (AC family)</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housing-specialist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in ENFORCE; authority federates its IdP and maps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Encryption &amp; data protection (SC family)</w:t>
            </w:r>
          </w:p>
        </w:tc>
        <w:tc>
          <w:tcPr>
            <w:tcW w:type="dxa" w:w="4240"/>
            <w:shd w:fill="FFFFFF"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authority's account.</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 keys, TLS, and network segmentation.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Audit &amp; accountability (AU family)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authority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Reproducible control evidence (CA/SA)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30-check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the StateRAMP / NIST 800-53 control set, the SSP, and the authorization to operate.</w:t>
            </w:r>
          </w:p>
        </w:tc>
      </w:tr>
    </w:tbl>
    <w:p>
      <w:pPr>
        <w:pStyle w:val="Heading1"/>
      </w:pPr>
      <w:r>
        <w:t xml:space="preserve">7. Separation of duties &amp; the human sign-off gate</w:t>
      </w:r>
    </w:p>
    <w:p>
      <w:r>
        <w:t xml:space="preserve">The single most important control for housing program integrity and due process is that a qualified housing specialist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housing specialist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p>
      <w:pPr>
        <w:pStyle w:val="ListParagraph"/>
        <w:numPr>
          <w:ilvl w:val="0"/>
          <w:numId w:val="1"/>
        </w:numPr>
        <w:spacing w:after="70" w:line="260"/>
      </w:pPr>
      <w:r>
        <w:rPr>
          <w:b/>
          <w:bCs/>
        </w:rPr>
        <w:t xml:space="preserve">A fraud referral is never the agent's. </w:t>
      </w:r>
      <w:r>
        <w:t xml:space="preserve">refer_fraud is a consequential, human-only action, forbidden outright by no_self_fraud_referral — the same deny-by-default pattern as no-self-commit.</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housing specialist's request to self-approve is blocked as a separation-of-duties violation; a different qualified housing specialist's approval succeeds; the determination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housing authority's real systems and rules remain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housing authority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Program participation and authorization to operate (StateRAMP / ATO)</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housing-specialist role mapping</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PHA system of record (EIV / PIC / HMIS)</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admission rules, local preferences,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live HUD income-limit integration + 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 hearing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30-check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Computer-system validation and the StateRAMP / NIST 800-53 control package</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informal-hearing rights, and the applicant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U.S. Housing Act, 24 CFR Parts 5, 960, 966, or 982, 42 USC 1437n, the informal-hearing/due-process requirements, the Privacy Act, StateRAMP / NIST SP 800-53, or any other authority. Eligibility determinations have direct consequences for households; the correctness of admission rules, income limits, local preferences, and notices, and the lawfulness of the process, depend on the housing authority's validated implementation, policies, legal review, and use. The income limits are fetched live from HUD, but the program-admission rules, thresholds, and preferences shipped with the accelerator are illustrative configuration, not authoritative program rules. Consult your compliance, privacy, and housing-program leadership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2026-07-17T18:40:57.922Z</dcterms:created>
  <dcterms:modified xsi:type="dcterms:W3CDTF">2026-07-17T18:40:57.925Z</dcterms:modified>
</cp:coreProperties>
</file>

<file path=docProps/custom.xml><?xml version="1.0" encoding="utf-8"?>
<Properties xmlns="http://schemas.openxmlformats.org/officeDocument/2006/custom-properties" xmlns:vt="http://schemas.openxmlformats.org/officeDocument/2006/docPropsVTypes"/>
</file>