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1F3864"/>
          <w:sz w:val="56"/>
          <w:szCs w:val="56"/>
        </w:rPr>
        <w:t xml:space="preserve">AEGIS</w:t>
      </w:r>
    </w:p>
    <w:p>
      <w:pPr>
        <w:spacing w:after="60"/>
      </w:pPr>
      <w:r>
        <w:rPr>
          <w:rFonts w:ascii="Arial" w:cs="Arial" w:eastAsia="Arial" w:hAnsi="Arial"/>
          <w:color w:val="2E5496"/>
          <w:sz w:val="30"/>
          <w:szCs w:val="30"/>
        </w:rPr>
        <w:t xml:space="preserve">Governed Agent Platform</w:t>
      </w:r>
    </w:p>
    <w:p>
      <w:pPr>
        <w:pBdr>
          <w:bottom w:val="single" w:color="2E75B6" w:sz="12" w:space="2"/>
        </w:pBdr>
        <w:spacing w:after="200"/>
      </w:pPr>
      <w:r>
        <w:t xml:space="preserve"/>
      </w:r>
    </w:p>
    <w:p>
      <w:pPr>
        <w:spacing w:after="40"/>
      </w:pPr>
      <w:r>
        <w:rPr>
          <w:rFonts w:ascii="Arial" w:cs="Arial" w:eastAsia="Arial" w:hAnsi="Arial"/>
          <w:b/>
          <w:bCs/>
          <w:color w:val="1A1A1A"/>
          <w:sz w:val="32"/>
          <w:szCs w:val="32"/>
        </w:rPr>
        <w:t xml:space="preserve">Leadership Status Brief</w:t>
      </w:r>
    </w:p>
    <w:p>
      <w:pPr>
        <w:spacing w:after="40"/>
      </w:pPr>
      <w:r>
        <w:rPr>
          <w:rFonts w:ascii="Arial" w:cs="Arial" w:eastAsia="Arial" w:hAnsi="Arial"/>
          <w:i/>
          <w:iCs/>
          <w:color w:val="595959"/>
          <w:sz w:val="22"/>
          <w:szCs w:val="22"/>
        </w:rPr>
        <w:t xml:space="preserve">Live-validated on AWS · not yet an authorized product</w:t>
      </w:r>
    </w:p>
    <w:p>
      <w:pPr>
        <w:spacing w:after="240"/>
      </w:pPr>
      <w:r>
        <w:rPr>
          <w:rFonts w:ascii="Arial" w:cs="Arial" w:eastAsia="Arial" w:hAnsi="Arial"/>
          <w:color w:val="595959"/>
          <w:sz w:val="20"/>
          <w:szCs w:val="20"/>
        </w:rPr>
        <w:t xml:space="preserve">Status as of 2026-07-01  ·  AWS account 864217980669 (us-east-1)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single" w:color="C9D6E5" w:sz="4"/>
            </w:tcBorders>
            <w:shd w:fill="F2F6FB" w:val="clear"/>
            <w:tcMar>
              <w:top w:type="dxa" w:w="100"/>
              <w:left w:type="dxa" w:w="160"/>
              <w:bottom w:type="dxa" w:w="100"/>
              <w:right w:type="dxa" w:w="160"/>
            </w:tcMar>
            <w:vAlign w:val="center"/>
          </w:tcPr>
          <w:p>
            <w:pPr>
              <w:spacing w:after="20"/>
            </w:pPr>
            <w:r>
              <w:rPr>
                <w:rFonts w:ascii="Arial" w:cs="Arial" w:eastAsia="Arial" w:hAnsi="Arial"/>
                <w:b/>
                <w:bCs/>
                <w:color w:val="1F3864"/>
                <w:sz w:val="30"/>
                <w:szCs w:val="30"/>
              </w:rPr>
              <w:t xml:space="preserve">9</w:t>
            </w:r>
          </w:p>
          <w:p>
            <w:r>
              <w:rPr>
                <w:rFonts w:ascii="Arial" w:cs="Arial" w:eastAsia="Arial" w:hAnsi="Arial"/>
                <w:color w:val="595959"/>
                <w:sz w:val="16"/>
                <w:szCs w:val="16"/>
              </w:rPr>
              <w:t xml:space="preserve">live AWS runs, each deployed then torn down</w:t>
            </w:r>
          </w:p>
        </w:tc>
        <w:tc>
          <w:tcPr>
            <w:tcW w:type="dxa" w:w="3120"/>
            <w:tcBorders>
              <w:top w:val="none"/>
              <w:left w:val="none"/>
              <w:bottom w:val="none"/>
              <w:right w:val="single" w:color="C9D6E5" w:sz="4"/>
            </w:tcBorders>
            <w:shd w:fill="F2F6FB" w:val="clear"/>
            <w:tcMar>
              <w:top w:type="dxa" w:w="100"/>
              <w:left w:type="dxa" w:w="160"/>
              <w:bottom w:type="dxa" w:w="100"/>
              <w:right w:type="dxa" w:w="160"/>
            </w:tcMar>
            <w:vAlign w:val="center"/>
          </w:tcPr>
          <w:p>
            <w:pPr>
              <w:spacing w:after="20"/>
            </w:pPr>
            <w:r>
              <w:rPr>
                <w:rFonts w:ascii="Arial" w:cs="Arial" w:eastAsia="Arial" w:hAnsi="Arial"/>
                <w:b/>
                <w:bCs/>
                <w:color w:val="1F3864"/>
                <w:sz w:val="30"/>
                <w:szCs w:val="30"/>
              </w:rPr>
              <w:t xml:space="preserve">18 / 18</w:t>
            </w:r>
          </w:p>
          <w:p>
            <w:r>
              <w:rPr>
                <w:rFonts w:ascii="Arial" w:cs="Arial" w:eastAsia="Arial" w:hAnsi="Arial"/>
                <w:color w:val="595959"/>
                <w:sz w:val="16"/>
                <w:szCs w:val="16"/>
              </w:rPr>
              <w:t xml:space="preserve">green on the laptop-only control-plane demo</w:t>
            </w:r>
          </w:p>
        </w:tc>
        <w:tc>
          <w:tcPr>
            <w:tcW w:type="dxa" w:w="3120"/>
            <w:tcBorders>
              <w:top w:val="none"/>
              <w:left w:val="none"/>
              <w:bottom w:val="none"/>
              <w:right w:val="none"/>
            </w:tcBorders>
            <w:shd w:fill="F2F6FB" w:val="clear"/>
            <w:tcMar>
              <w:top w:type="dxa" w:w="100"/>
              <w:left w:type="dxa" w:w="160"/>
              <w:bottom w:type="dxa" w:w="100"/>
              <w:right w:type="dxa" w:w="160"/>
            </w:tcMar>
            <w:vAlign w:val="center"/>
          </w:tcPr>
          <w:p>
            <w:pPr>
              <w:spacing w:after="20"/>
            </w:pPr>
            <w:r>
              <w:rPr>
                <w:rFonts w:ascii="Arial" w:cs="Arial" w:eastAsia="Arial" w:hAnsi="Arial"/>
                <w:b/>
                <w:bCs/>
                <w:color w:val="1F3864"/>
                <w:sz w:val="30"/>
                <w:szCs w:val="30"/>
              </w:rPr>
              <w:t xml:space="preserve">Not yet</w:t>
            </w:r>
          </w:p>
          <w:p>
            <w:r>
              <w:rPr>
                <w:rFonts w:ascii="Arial" w:cs="Arial" w:eastAsia="Arial" w:hAnsi="Arial"/>
                <w:color w:val="595959"/>
                <w:sz w:val="16"/>
                <w:szCs w:val="16"/>
              </w:rPr>
              <w:t xml:space="preserve">an authorized (ATO / FedRAMP) product</w:t>
            </w:r>
          </w:p>
        </w:tc>
      </w:tr>
    </w:tbl>
    <w:p>
      <w:pPr>
        <w:spacing w:after="60"/>
      </w:pPr>
      <w:r>
        <w:t xml:space="preserve"/>
      </w:r>
    </w:p>
    <w:p>
      <w:pPr>
        <w:pStyle w:val="Heading1"/>
        <w:pBdr>
          <w:bottom w:val="single" w:color="2E75B6" w:sz="8" w:space="4"/>
        </w:pBdr>
        <w:spacing w:after="100" w:before="60"/>
      </w:pPr>
      <w:r>
        <w:rPr>
          <w:rFonts w:ascii="Arial" w:cs="Arial" w:eastAsia="Arial" w:hAnsi="Arial"/>
          <w:b/>
          <w:bCs/>
          <w:color w:val="1F3864"/>
          <w:sz w:val="28"/>
          <w:szCs w:val="28"/>
        </w:rPr>
        <w:t xml:space="preserve">Bottom line up front</w:t>
      </w:r>
    </w:p>
    <w:tbl>
      <w:tblPr>
        <w:tblW w:type="dxa" w:w="9360"/>
        <w:tblBorders>
          <w:top w:val="single" w:color="E8F0FA" w:sz="2"/>
          <w:left w:val="single" w:color="2E75B6" w:sz="30"/>
          <w:bottom w:val="single" w:color="E8F0FA" w:sz="2"/>
          <w:right w:val="single" w:color="E8F0FA" w:sz="2"/>
          <w:insideH w:val="none"/>
          <w:insideV w:val="none"/>
        </w:tblBorders>
      </w:tblPr>
      <w:tblGrid>
        <w:gridCol w:w="9360"/>
      </w:tblGrid>
      <w:tr>
        <w:tc>
          <w:tcPr>
            <w:tcW w:type="dxa" w:w="9360"/>
            <w:shd w:fill="E8F0FA" w:val="clear"/>
            <w:tcMar>
              <w:top w:type="dxa" w:w="110"/>
              <w:left w:type="dxa" w:w="220"/>
              <w:bottom w:type="dxa" w:w="110"/>
              <w:right w:type="dxa" w:w="200"/>
            </w:tcMar>
          </w:tcPr>
          <w:p>
            <w:pPr>
              <w:spacing w:after="0" w:line="276"/>
            </w:pPr>
            <w:r>
              <w:rPr>
                <w:color w:val="222222"/>
                <w:sz w:val="21"/>
                <w:szCs w:val="21"/>
              </w:rPr>
              <w:t xml:space="preserve">Aegis is the </w:t>
            </w:r>
            <w:r>
              <w:rPr>
                <w:b/>
                <w:bCs/>
                <w:color w:val="1A1A1A"/>
                <w:sz w:val="21"/>
                <w:szCs w:val="21"/>
              </w:rPr>
              <w:t xml:space="preserve">governance layer that makes any AI agent deployable in a regulated environment</w:t>
            </w:r>
            <w:r>
              <w:rPr>
                <w:color w:val="222222"/>
                <w:sz w:val="21"/>
                <w:szCs w:val="21"/>
              </w:rPr>
              <w:t xml:space="preserve">: build the paved road once on AWS, and every agent, model, and tool inherits identity, authorization, audit, compliance, hallucination control, and departmental chargeback. Over the past cycle we took it from a documented reference to a </w:t>
            </w:r>
            <w:r>
              <w:rPr>
                <w:b/>
                <w:bCs/>
                <w:color w:val="1A1A1A"/>
                <w:sz w:val="21"/>
                <w:szCs w:val="21"/>
              </w:rPr>
              <w:t xml:space="preserve">live-validated control platform</w:t>
            </w:r>
            <w:r>
              <w:rPr>
                <w:color w:val="222222"/>
                <w:sz w:val="21"/>
                <w:szCs w:val="21"/>
              </w:rPr>
              <w:t xml:space="preserve"> — the hard controls a CISO and an auditor ask about have each been </w:t>
            </w:r>
            <w:r>
              <w:rPr>
                <w:b/>
                <w:bCs/>
                <w:color w:val="1A1A1A"/>
                <w:sz w:val="21"/>
                <w:szCs w:val="21"/>
              </w:rPr>
              <w:t xml:space="preserve">deployed to AWS, exercised with real requests, and torn down</w:t>
            </w:r>
            <w:r>
              <w:rPr>
                <w:color w:val="222222"/>
                <w:sz w:val="21"/>
                <w:szCs w:val="21"/>
              </w:rPr>
              <w:t xml:space="preserve"> across </w:t>
            </w:r>
            <w:r>
              <w:rPr>
                <w:b/>
                <w:bCs/>
                <w:color w:val="1A1A1A"/>
                <w:sz w:val="21"/>
                <w:szCs w:val="21"/>
              </w:rPr>
              <w:t xml:space="preserve">nine documented runs</w:t>
            </w:r>
            <w:r>
              <w:rPr>
                <w:color w:val="222222"/>
                <w:sz w:val="21"/>
                <w:szCs w:val="21"/>
              </w:rPr>
              <w:t xml:space="preserve"> — and the security and operations review package is written. It is </w:t>
            </w:r>
            <w:r>
              <w:rPr>
                <w:b/>
                <w:bCs/>
                <w:color w:val="1A1A1A"/>
                <w:sz w:val="21"/>
                <w:szCs w:val="21"/>
              </w:rPr>
              <w:t xml:space="preserve">not yet an authorized (ATO'd) product</w:t>
            </w:r>
            <w:r>
              <w:rPr>
                <w:color w:val="222222"/>
                <w:sz w:val="21"/>
                <w:szCs w:val="21"/>
              </w:rPr>
              <w:t xml:space="preserve">; the remaining work is scoped and customer- or engagement-owned.</w:t>
            </w:r>
          </w:p>
          <w:p>
            <w:pPr>
              <w:spacing w:after="0" w:before="120" w:line="262"/>
            </w:pPr>
            <w:r>
              <w:rPr>
                <w:color w:val="595959"/>
                <w:sz w:val="19"/>
                <w:szCs w:val="19"/>
              </w:rPr>
              <w:t xml:space="preserve">The full deck is </w:t>
            </w:r>
            <w:r>
              <w:rPr>
                <w:rFonts w:ascii="Consolas" w:cs="Consolas" w:eastAsia="Consolas" w:hAnsi="Consolas"/>
                <w:color w:val="1F3864"/>
                <w:sz w:val="18"/>
                <w:szCs w:val="18"/>
              </w:rPr>
              <w:t xml:space="preserve">Aegis-Master-Deck.pptx</w:t>
            </w:r>
            <w:r>
              <w:rPr>
                <w:color w:val="595959"/>
                <w:sz w:val="19"/>
                <w:szCs w:val="19"/>
              </w:rPr>
              <w:t xml:space="preserve">; the GTM narrative is </w:t>
            </w:r>
            <w:r>
              <w:rPr>
                <w:rFonts w:ascii="Consolas" w:cs="Consolas" w:eastAsia="Consolas" w:hAnsi="Consolas"/>
                <w:color w:val="1F3864"/>
                <w:sz w:val="18"/>
                <w:szCs w:val="18"/>
              </w:rPr>
              <w:t xml:space="preserve">docs/08-GTM-AND-POSITIONING.md</w:t>
            </w:r>
            <w:r>
              <w:rPr>
                <w:color w:val="595959"/>
                <w:sz w:val="19"/>
                <w:szCs w:val="19"/>
              </w:rPr>
              <w:t xml:space="preserve">; the evidence log is </w:t>
            </w:r>
            <w:r>
              <w:rPr>
                <w:rFonts w:ascii="Consolas" w:cs="Consolas" w:eastAsia="Consolas" w:hAnsi="Consolas"/>
                <w:color w:val="1F3864"/>
                <w:sz w:val="18"/>
                <w:szCs w:val="18"/>
              </w:rPr>
              <w:t xml:space="preserve">DEPLOYED-AND-VALIDATED.md</w:t>
            </w:r>
            <w:r>
              <w:rPr>
                <w:color w:val="595959"/>
                <w:sz w:val="19"/>
                <w:szCs w:val="19"/>
              </w:rPr>
              <w:t xml:space="preserve">; the honest gap plan is </w:t>
            </w:r>
            <w:r>
              <w:rPr>
                <w:rFonts w:ascii="Consolas" w:cs="Consolas" w:eastAsia="Consolas" w:hAnsi="Consolas"/>
                <w:color w:val="1F3864"/>
                <w:sz w:val="18"/>
                <w:szCs w:val="18"/>
              </w:rPr>
              <w:t xml:space="preserve">docs/GAP-CLOSURE-BACKLOG.md</w:t>
            </w:r>
            <w:r>
              <w:rPr>
                <w:color w:val="595959"/>
                <w:sz w:val="19"/>
                <w:szCs w:val="19"/>
              </w:rPr>
              <w:t xml:space="preserve">.</w:t>
            </w:r>
          </w:p>
        </w:tc>
      </w:tr>
    </w:tbl>
    <w:p>
      <w:pPr>
        <w:pStyle w:val="Heading1"/>
        <w:pBdr>
          <w:bottom w:val="single" w:color="2E75B6" w:sz="8" w:space="4"/>
        </w:pBdr>
        <w:spacing w:after="100" w:before="200"/>
      </w:pPr>
      <w:r>
        <w:rPr>
          <w:rFonts w:ascii="Arial" w:cs="Arial" w:eastAsia="Arial" w:hAnsi="Arial"/>
          <w:b/>
          <w:bCs/>
          <w:color w:val="1F3864"/>
          <w:sz w:val="28"/>
          <w:szCs w:val="28"/>
        </w:rPr>
        <w:t xml:space="preserve">What is proven on AWS: nine live runs</w:t>
      </w:r>
    </w:p>
    <w:p>
      <w:pPr>
        <w:spacing w:after="140" w:line="262"/>
      </w:pPr>
      <w:r>
        <w:rPr>
          <w:color w:val="222222"/>
          <w:sz w:val="21"/>
          <w:szCs w:val="21"/>
        </w:rPr>
        <w:t xml:space="preserve">Each control a CISO and an auditor ask about was deployed to the account, exercised with real requests, and then torn down. Every run is documented in the evidence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C9D6E5" w:sz="1"/>
              <w:left w:val="single" w:color="C9D6E5" w:sz="1"/>
              <w:bottom w:val="single" w:color="C9D6E5" w:sz="1"/>
              <w:right w:val="single" w:color="C9D6E5"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Run # · Capability</w:t>
            </w:r>
          </w:p>
        </w:tc>
        <w:tc>
          <w:tcPr>
            <w:tcW w:type="dxa" w:w="4800"/>
            <w:tcBorders>
              <w:top w:val="single" w:color="C9D6E5" w:sz="1"/>
              <w:left w:val="single" w:color="C9D6E5" w:sz="1"/>
              <w:bottom w:val="single" w:color="C9D6E5" w:sz="1"/>
              <w:right w:val="single" w:color="C9D6E5"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Result (deployed live, then torn down)</w:t>
            </w:r>
          </w:p>
        </w:tc>
      </w:tr>
      <w:tr>
        <w:tc>
          <w:tcPr>
            <w:tcW w:type="dxa" w:w="456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b/>
                <w:bCs/>
                <w:color w:val="2E75B6"/>
                <w:sz w:val="20"/>
                <w:szCs w:val="20"/>
              </w:rPr>
              <w:t xml:space="preserve">1.  </w:t>
            </w:r>
            <w:r>
              <w:rPr>
                <w:color w:val="222222"/>
                <w:sz w:val="20"/>
                <w:szCs w:val="20"/>
              </w:rPr>
              <w:t xml:space="preserve">Governance core — KMS CMK, append-only audit, WORM, Guardrail, Cognito, gateway</w:t>
            </w:r>
          </w:p>
        </w:tc>
        <w:tc>
          <w:tcPr>
            <w:tcW w:type="dxa" w:w="480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color w:val="222222"/>
                <w:sz w:val="20"/>
                <w:szCs w:val="20"/>
              </w:rPr>
              <w:t xml:space="preserve">CREATE_COMPLETE; caught a real Guardrail-limit bug that cfn-lint missed.</w:t>
            </w:r>
          </w:p>
        </w:tc>
      </w:tr>
      <w:tr>
        <w:tc>
          <w:tcPr>
            <w:tcW w:type="dxa" w:w="456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b/>
                <w:bCs/>
                <w:color w:val="2E75B6"/>
                <w:sz w:val="20"/>
                <w:szCs w:val="20"/>
              </w:rPr>
              <w:t xml:space="preserve">2.  </w:t>
            </w:r>
            <w:r>
              <w:rPr>
                <w:color w:val="222222"/>
                <w:sz w:val="20"/>
                <w:szCs w:val="20"/>
              </w:rPr>
              <w:t xml:space="preserve">Human gate — Step Functions waitForTaskToken</w:t>
            </w:r>
          </w:p>
        </w:tc>
        <w:tc>
          <w:tcPr>
            <w:tcW w:type="dxa" w:w="480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color w:val="222222"/>
                <w:sz w:val="20"/>
                <w:szCs w:val="20"/>
              </w:rPr>
              <w:t xml:space="preserve">Paused before the consequential step; ran only after approval.</w:t>
            </w:r>
          </w:p>
        </w:tc>
      </w:tr>
      <w:tr>
        <w:tc>
          <w:tcPr>
            <w:tcW w:type="dxa" w:w="456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b/>
                <w:bCs/>
                <w:color w:val="2E75B6"/>
                <w:sz w:val="20"/>
                <w:szCs w:val="20"/>
              </w:rPr>
              <w:t xml:space="preserve">3.  </w:t>
            </w:r>
            <w:r>
              <w:rPr>
                <w:color w:val="222222"/>
                <w:sz w:val="20"/>
                <w:szCs w:val="20"/>
              </w:rPr>
              <w:t xml:space="preserve">Cedar authorization on Amazon Verified Permissions + real Bedrock (Haiku 4.5)</w:t>
            </w:r>
          </w:p>
        </w:tc>
        <w:tc>
          <w:tcPr>
            <w:tcW w:type="dxa" w:w="480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color w:val="222222"/>
                <w:sz w:val="20"/>
                <w:szCs w:val="20"/>
              </w:rPr>
              <w:t xml:space="preserve">ALLOW for a legitimate read; DENY for an unpermitted tool and the wrong data class.</w:t>
            </w:r>
          </w:p>
        </w:tc>
      </w:tr>
      <w:tr>
        <w:tc>
          <w:tcPr>
            <w:tcW w:type="dxa" w:w="456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b/>
                <w:bCs/>
                <w:color w:val="2E75B6"/>
                <w:sz w:val="20"/>
                <w:szCs w:val="20"/>
              </w:rPr>
              <w:t xml:space="preserve">4.  </w:t>
            </w:r>
            <w:r>
              <w:rPr>
                <w:color w:val="222222"/>
                <w:sz w:val="20"/>
                <w:szCs w:val="20"/>
              </w:rPr>
              <w:t xml:space="preserve">Identity — hardened Cognito (MFA required) + cryptographic JWT verification</w:t>
            </w:r>
          </w:p>
        </w:tc>
        <w:tc>
          <w:tcPr>
            <w:tcW w:type="dxa" w:w="480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color w:val="222222"/>
                <w:sz w:val="20"/>
                <w:szCs w:val="20"/>
              </w:rPr>
              <w:t xml:space="preserve">Real MFA login; tampered and wrong-audience tokens rejected; verified group mapped to Cedar.</w:t>
            </w:r>
          </w:p>
        </w:tc>
      </w:tr>
      <w:tr>
        <w:tc>
          <w:tcPr>
            <w:tcW w:type="dxa" w:w="456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b/>
                <w:bCs/>
                <w:color w:val="2E75B6"/>
                <w:sz w:val="20"/>
                <w:szCs w:val="20"/>
              </w:rPr>
              <w:t xml:space="preserve">5.  </w:t>
            </w:r>
            <w:r>
              <w:rPr>
                <w:color w:val="222222"/>
                <w:sz w:val="20"/>
                <w:szCs w:val="20"/>
              </w:rPr>
              <w:t xml:space="preserve">Human-approval reviewer service</w:t>
            </w:r>
          </w:p>
        </w:tc>
        <w:tc>
          <w:tcPr>
            <w:tcW w:type="dxa" w:w="480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color w:val="222222"/>
                <w:sz w:val="20"/>
                <w:szCs w:val="20"/>
              </w:rPr>
              <w:t xml:space="preserve">Wrong role and self-approval denied; valid supervisor approval accepted; replay rejected.</w:t>
            </w:r>
          </w:p>
        </w:tc>
      </w:tr>
      <w:tr>
        <w:tc>
          <w:tcPr>
            <w:tcW w:type="dxa" w:w="456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b/>
                <w:bCs/>
                <w:color w:val="2E75B6"/>
                <w:sz w:val="20"/>
                <w:szCs w:val="20"/>
              </w:rPr>
              <w:t xml:space="preserve">6.  </w:t>
            </w:r>
            <w:r>
              <w:rPr>
                <w:color w:val="222222"/>
                <w:sz w:val="20"/>
                <w:szCs w:val="20"/>
              </w:rPr>
              <w:t xml:space="preserve">Immutable evidence — S3 Object Lock retention</w:t>
            </w:r>
          </w:p>
        </w:tc>
        <w:tc>
          <w:tcPr>
            <w:tcW w:type="dxa" w:w="480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color w:val="222222"/>
                <w:sz w:val="20"/>
                <w:szCs w:val="20"/>
              </w:rPr>
              <w:t xml:space="preserve">Locked-object delete denied; break-glass bypass used only for a clean teardown.</w:t>
            </w:r>
          </w:p>
        </w:tc>
      </w:tr>
      <w:tr>
        <w:tc>
          <w:tcPr>
            <w:tcW w:type="dxa" w:w="456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b/>
                <w:bCs/>
                <w:color w:val="2E75B6"/>
                <w:sz w:val="20"/>
                <w:szCs w:val="20"/>
              </w:rPr>
              <w:t xml:space="preserve">7.  </w:t>
            </w:r>
            <w:r>
              <w:rPr>
                <w:color w:val="222222"/>
                <w:sz w:val="20"/>
                <w:szCs w:val="20"/>
              </w:rPr>
              <w:t xml:space="preserve">Reviewer front door — API Gateway + Cognito JWT authorizer</w:t>
            </w:r>
          </w:p>
        </w:tc>
        <w:tc>
          <w:tcPr>
            <w:tcW w:type="dxa" w:w="480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color w:val="222222"/>
                <w:sz w:val="20"/>
                <w:szCs w:val="20"/>
              </w:rPr>
              <w:t xml:space="preserve">401 when unauthenticated; authenticated supervisor approval drove the workflow to SUCCEEDED.</w:t>
            </w:r>
          </w:p>
        </w:tc>
      </w:tr>
      <w:tr>
        <w:tc>
          <w:tcPr>
            <w:tcW w:type="dxa" w:w="456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b/>
                <w:bCs/>
                <w:color w:val="2E75B6"/>
                <w:sz w:val="20"/>
                <w:szCs w:val="20"/>
              </w:rPr>
              <w:t xml:space="preserve">8.  </w:t>
            </w:r>
            <w:r>
              <w:rPr>
                <w:color w:val="222222"/>
                <w:sz w:val="20"/>
                <w:szCs w:val="20"/>
              </w:rPr>
              <w:t xml:space="preserve">Production components — KMS-signed manifests + atomic token-budget reservation</w:t>
            </w:r>
          </w:p>
        </w:tc>
        <w:tc>
          <w:tcPr>
            <w:tcW w:type="dxa" w:w="4800"/>
            <w:tcBorders>
              <w:top w:val="single" w:color="C9D6E5" w:sz="1"/>
              <w:left w:val="single" w:color="C9D6E5" w:sz="1"/>
              <w:bottom w:val="single" w:color="C9D6E5" w:sz="1"/>
              <w:right w:val="single" w:color="C9D6E5" w:sz="1"/>
            </w:tcBorders>
            <w:shd w:fill="F2F6FB" w:val="clear"/>
            <w:tcMar>
              <w:top w:type="dxa" w:w="80"/>
              <w:left w:type="dxa" w:w="130"/>
              <w:bottom w:type="dxa" w:w="80"/>
              <w:right w:type="dxa" w:w="130"/>
            </w:tcMar>
          </w:tcPr>
          <w:p>
            <w:r>
              <w:rPr>
                <w:color w:val="222222"/>
                <w:sz w:val="20"/>
                <w:szCs w:val="20"/>
              </w:rPr>
              <w:t xml:space="preserve">Tamper rejected; over-cap reservation rejected (no oversell).</w:t>
            </w:r>
          </w:p>
        </w:tc>
      </w:tr>
      <w:tr>
        <w:tc>
          <w:tcPr>
            <w:tcW w:type="dxa" w:w="456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b/>
                <w:bCs/>
                <w:color w:val="2E75B6"/>
                <w:sz w:val="20"/>
                <w:szCs w:val="20"/>
              </w:rPr>
              <w:t xml:space="preserve">9.  </w:t>
            </w:r>
            <w:r>
              <w:rPr>
                <w:color w:val="222222"/>
                <w:sz w:val="20"/>
                <w:szCs w:val="20"/>
              </w:rPr>
              <w:t xml:space="preserve">Governed connector — idempotency + saga rollback</w:t>
            </w:r>
          </w:p>
        </w:tc>
        <w:tc>
          <w:tcPr>
            <w:tcW w:type="dxa" w:w="4800"/>
            <w:tcBorders>
              <w:top w:val="single" w:color="C9D6E5" w:sz="1"/>
              <w:left w:val="single" w:color="C9D6E5" w:sz="1"/>
              <w:bottom w:val="single" w:color="C9D6E5" w:sz="1"/>
              <w:right w:val="single" w:color="C9D6E5" w:sz="1"/>
            </w:tcBorders>
            <w:shd w:fill="FFFFFF" w:val="clear"/>
            <w:tcMar>
              <w:top w:type="dxa" w:w="80"/>
              <w:left w:type="dxa" w:w="130"/>
              <w:bottom w:type="dxa" w:w="80"/>
              <w:right w:type="dxa" w:w="130"/>
            </w:tcMar>
          </w:tcPr>
          <w:p>
            <w:r>
              <w:rPr>
                <w:color w:val="222222"/>
                <w:sz w:val="20"/>
                <w:szCs w:val="20"/>
              </w:rPr>
              <w:t xml:space="preserve">Duplicate write prevented; downstream failure auto-compensated (ticket voided).</w:t>
            </w:r>
          </w:p>
        </w:tc>
      </w:tr>
    </w:tbl>
    <w:p>
      <w:pPr>
        <w:spacing w:after="0" w:before="140" w:line="262"/>
      </w:pPr>
      <w:r>
        <w:rPr>
          <w:color w:val="595959"/>
          <w:sz w:val="20"/>
          <w:szCs w:val="20"/>
        </w:rPr>
        <w:t xml:space="preserve">Every run is reproducible from </w:t>
      </w:r>
      <w:r>
        <w:rPr>
          <w:rFonts w:ascii="Consolas" w:cs="Consolas" w:eastAsia="Consolas" w:hAnsi="Consolas"/>
          <w:color w:val="1F3864"/>
          <w:sz w:val="19"/>
          <w:szCs w:val="19"/>
        </w:rPr>
        <w:t xml:space="preserve">infra/</w:t>
      </w:r>
      <w:r>
        <w:rPr>
          <w:color w:val="595959"/>
          <w:sz w:val="20"/>
          <w:szCs w:val="20"/>
        </w:rPr>
        <w:t xml:space="preserve"> (CloudFormation) with deploy, smoke, and teardown scripts; a Terraform module mirrors the core with a GovCloud variant (</w:t>
      </w:r>
      <w:r>
        <w:rPr>
          <w:rFonts w:ascii="Consolas" w:cs="Consolas" w:eastAsia="Consolas" w:hAnsi="Consolas"/>
          <w:color w:val="1F3864"/>
          <w:sz w:val="19"/>
          <w:szCs w:val="19"/>
        </w:rPr>
        <w:t xml:space="preserve">infra/terraform/</w:t>
      </w:r>
      <w:r>
        <w:rPr>
          <w:color w:val="595959"/>
          <w:sz w:val="20"/>
          <w:szCs w:val="20"/>
        </w:rPr>
        <w:t xml:space="preserve">). A laptop-only demo (</w:t>
      </w:r>
      <w:r>
        <w:rPr>
          <w:rFonts w:ascii="Consolas" w:cs="Consolas" w:eastAsia="Consolas" w:hAnsi="Consolas"/>
          <w:color w:val="1F3864"/>
          <w:sz w:val="19"/>
          <w:szCs w:val="19"/>
        </w:rPr>
        <w:t xml:space="preserve">demo/clean_account_acceptance.py</w:t>
      </w:r>
      <w:r>
        <w:rPr>
          <w:color w:val="595959"/>
          <w:sz w:val="20"/>
          <w:szCs w:val="20"/>
        </w:rPr>
        <w:t xml:space="preserve">, no AWS or API key) exercises the same control plane, 18 of 18 green.</w:t>
      </w:r>
    </w:p>
    <w:p>
      <w:pPr>
        <w:pStyle w:val="Heading1"/>
        <w:pBdr>
          <w:bottom w:val="single" w:color="2E75B6" w:sz="8" w:space="4"/>
        </w:pBdr>
        <w:spacing w:after="100" w:before="200"/>
      </w:pPr>
      <w:r>
        <w:rPr>
          <w:rFonts w:ascii="Arial" w:cs="Arial" w:eastAsia="Arial" w:hAnsi="Arial"/>
          <w:b/>
          <w:bCs/>
          <w:color w:val="1F3864"/>
          <w:sz w:val="28"/>
          <w:szCs w:val="28"/>
        </w:rPr>
        <w:t xml:space="preserve">Security and operations package (review-ready)</w:t>
      </w:r>
    </w:p>
    <w:p>
      <w:pPr>
        <w:spacing w:after="120" w:line="262"/>
      </w:pPr>
      <w:r>
        <w:rPr>
          <w:rFonts w:ascii="Consolas" w:cs="Consolas" w:eastAsia="Consolas" w:hAnsi="Consolas"/>
          <w:color w:val="1F3864"/>
          <w:sz w:val="20"/>
          <w:szCs w:val="20"/>
        </w:rPr>
        <w:t xml:space="preserve">docs/security/</w:t>
      </w:r>
      <w:r>
        <w:rPr>
          <w:color w:val="222222"/>
          <w:sz w:val="21"/>
          <w:szCs w:val="21"/>
        </w:rPr>
        <w:t xml:space="preserve"> contains the threat model (STRIDE plus agentic abuse cases), a security architecture with sequence diagrams, an encryption and logging matrix, supply-chain security, and a pen-test scope with an OWASP-LLM and MITRE ATLAS self-assessment. A compliance-evidence index maps each control to NIST 800-53 and to the run that proves it.</w:t>
      </w:r>
    </w:p>
    <w:p>
      <w:pPr>
        <w:spacing w:after="60" w:line="262"/>
      </w:pPr>
      <w:r>
        <w:rPr>
          <w:rFonts w:ascii="Consolas" w:cs="Consolas" w:eastAsia="Consolas" w:hAnsi="Consolas"/>
          <w:color w:val="1F3864"/>
          <w:sz w:val="20"/>
          <w:szCs w:val="20"/>
        </w:rPr>
        <w:t xml:space="preserve">docs/ops/</w:t>
      </w:r>
      <w:r>
        <w:rPr>
          <w:color w:val="222222"/>
          <w:sz w:val="21"/>
          <w:szCs w:val="21"/>
        </w:rPr>
        <w:t xml:space="preserve"> covers SLOs, DR, RTO/RPO, and model fallback, plus an incident-response runbook with key-compromise and prompt-injection playbooks. CI (</w:t>
      </w:r>
      <w:r>
        <w:rPr>
          <w:rFonts w:ascii="Consolas" w:cs="Consolas" w:eastAsia="Consolas" w:hAnsi="Consolas"/>
          <w:color w:val="1F3864"/>
          <w:sz w:val="20"/>
          <w:szCs w:val="20"/>
        </w:rPr>
        <w:t xml:space="preserve">.github/workflows/ci.yml</w:t>
      </w:r>
      <w:r>
        <w:rPr>
          <w:color w:val="222222"/>
          <w:sz w:val="21"/>
          <w:szCs w:val="21"/>
        </w:rPr>
        <w:t xml:space="preserve">) re-runs the tests and lints every template on each push.</w:t>
      </w:r>
    </w:p>
    <w:p>
      <w:pPr>
        <w:pStyle w:val="Heading1"/>
        <w:pBdr>
          <w:bottom w:val="single" w:color="C0561E" w:sz="8" w:space="4"/>
        </w:pBdr>
        <w:spacing w:after="90" w:before="180"/>
      </w:pPr>
      <w:r>
        <w:rPr>
          <w:rFonts w:ascii="Arial" w:cs="Arial" w:eastAsia="Arial" w:hAnsi="Arial"/>
          <w:b/>
          <w:bCs/>
          <w:color w:val="C0561E"/>
          <w:sz w:val="28"/>
          <w:szCs w:val="28"/>
        </w:rPr>
        <w:t xml:space="preserve">Honest status: what is NOT done</w:t>
      </w:r>
    </w:p>
    <w:tbl>
      <w:tblPr>
        <w:tblW w:type="dxa" w:w="9360"/>
        <w:tblBorders>
          <w:top w:val="single" w:color="FBEEE6" w:sz="2"/>
          <w:left w:val="single" w:color="C0561E" w:sz="30"/>
          <w:bottom w:val="single" w:color="FBEEE6" w:sz="2"/>
          <w:right w:val="single" w:color="FBEEE6" w:sz="2"/>
          <w:insideH w:val="none"/>
          <w:insideV w:val="none"/>
        </w:tblBorders>
      </w:tblPr>
      <w:tblGrid>
        <w:gridCol w:w="9360"/>
      </w:tblGrid>
      <w:tr>
        <w:tc>
          <w:tcPr>
            <w:tcW w:type="dxa" w:w="9360"/>
            <w:shd w:fill="FBEEE6" w:val="clear"/>
            <w:tcMar>
              <w:top w:type="dxa" w:w="110"/>
              <w:left w:type="dxa" w:w="220"/>
              <w:bottom w:type="dxa" w:w="110"/>
              <w:right w:type="dxa" w:w="200"/>
            </w:tcMar>
          </w:tcPr>
          <w:p>
            <w:pPr>
              <w:spacing w:after="100" w:line="272"/>
            </w:pPr>
            <w:r>
              <w:rPr>
                <w:color w:val="222222"/>
                <w:sz w:val="21"/>
                <w:szCs w:val="21"/>
              </w:rPr>
              <w:t xml:space="preserve">This is a </w:t>
            </w:r>
            <w:r>
              <w:rPr>
                <w:b/>
                <w:bCs/>
                <w:color w:val="1A1A1A"/>
                <w:sz w:val="21"/>
                <w:szCs w:val="21"/>
              </w:rPr>
              <w:t xml:space="preserve">live-validated reference platform, not an authorized product.</w:t>
            </w:r>
            <w:r>
              <w:rPr>
                <w:color w:val="222222"/>
                <w:sz w:val="21"/>
                <w:szCs w:val="21"/>
              </w:rPr>
              <w:t xml:space="preserve"> The following work is still required and is customer- or engagement-owned:</w:t>
            </w:r>
          </w:p>
          <w:p>
            <w:pPr>
              <w:pStyle w:val="ListParagraph"/>
              <w:numPr>
                <w:ilvl w:val="0"/>
                <w:numId w:val="2"/>
              </w:numPr>
              <w:spacing w:after="80" w:line="256"/>
            </w:pPr>
            <w:r>
              <w:rPr>
                <w:b/>
                <w:bCs/>
                <w:color w:val="1A1A1A"/>
                <w:sz w:val="21"/>
                <w:szCs w:val="21"/>
              </w:rPr>
              <w:t xml:space="preserve">ATO / GovRAMP / FedRAMP</w:t>
            </w:r>
            <w:r>
              <w:rPr>
                <w:color w:val="222222"/>
                <w:sz w:val="21"/>
                <w:szCs w:val="21"/>
              </w:rPr>
              <w:t xml:space="preserve"> authorization</w:t>
            </w:r>
          </w:p>
          <w:p>
            <w:pPr>
              <w:pStyle w:val="ListParagraph"/>
              <w:numPr>
                <w:ilvl w:val="0"/>
                <w:numId w:val="2"/>
              </w:numPr>
              <w:spacing w:after="80" w:line="256"/>
            </w:pPr>
            <w:r>
              <w:rPr>
                <w:color w:val="222222"/>
                <w:sz w:val="21"/>
                <w:szCs w:val="21"/>
              </w:rPr>
              <w:t xml:space="preserve">An </w:t>
            </w:r>
            <w:r>
              <w:rPr>
                <w:b/>
                <w:bCs/>
                <w:color w:val="1A1A1A"/>
                <w:sz w:val="21"/>
                <w:szCs w:val="21"/>
              </w:rPr>
              <w:t xml:space="preserve">independent third-party pen test</w:t>
            </w:r>
          </w:p>
          <w:p>
            <w:pPr>
              <w:pStyle w:val="ListParagraph"/>
              <w:numPr>
                <w:ilvl w:val="0"/>
                <w:numId w:val="2"/>
              </w:numPr>
              <w:spacing w:after="80" w:line="256"/>
            </w:pPr>
            <w:r>
              <w:rPr>
                <w:color w:val="222222"/>
                <w:sz w:val="21"/>
                <w:szCs w:val="21"/>
              </w:rPr>
              <w:t xml:space="preserve">A </w:t>
            </w:r>
            <w:r>
              <w:rPr>
                <w:b/>
                <w:bCs/>
                <w:color w:val="1A1A1A"/>
                <w:sz w:val="21"/>
                <w:szCs w:val="21"/>
              </w:rPr>
              <w:t xml:space="preserve">live connector to a real external SaaS</w:t>
            </w:r>
            <w:r>
              <w:rPr>
                <w:color w:val="222222"/>
                <w:sz w:val="21"/>
                <w:szCs w:val="21"/>
              </w:rPr>
              <w:t xml:space="preserve"> (the connector pattern is proven against a DynamoDB stand-in)</w:t>
            </w:r>
          </w:p>
          <w:p>
            <w:pPr>
              <w:pStyle w:val="ListParagraph"/>
              <w:numPr>
                <w:ilvl w:val="0"/>
                <w:numId w:val="2"/>
              </w:numPr>
              <w:spacing w:after="80" w:line="256"/>
            </w:pPr>
            <w:r>
              <w:rPr>
                <w:color w:val="222222"/>
                <w:sz w:val="21"/>
                <w:szCs w:val="21"/>
              </w:rPr>
              <w:t xml:space="preserve">A deployed </w:t>
            </w:r>
            <w:r>
              <w:rPr>
                <w:b/>
                <w:bCs/>
                <w:color w:val="1A1A1A"/>
                <w:sz w:val="21"/>
                <w:szCs w:val="21"/>
              </w:rPr>
              <w:t xml:space="preserve">multi-account / multi-tenant</w:t>
            </w:r>
            <w:r>
              <w:rPr>
                <w:color w:val="222222"/>
                <w:sz w:val="21"/>
                <w:szCs w:val="21"/>
              </w:rPr>
              <w:t xml:space="preserve"> landing zone</w:t>
            </w:r>
          </w:p>
          <w:p>
            <w:pPr>
              <w:pStyle w:val="ListParagraph"/>
              <w:numPr>
                <w:ilvl w:val="0"/>
                <w:numId w:val="2"/>
              </w:numPr>
              <w:spacing w:after="80" w:line="256"/>
            </w:pPr>
            <w:r>
              <w:rPr>
                <w:b/>
                <w:bCs/>
                <w:color w:val="1A1A1A"/>
                <w:sz w:val="21"/>
                <w:szCs w:val="21"/>
              </w:rPr>
              <w:t xml:space="preserve">Operator dashboards</w:t>
            </w:r>
            <w:r>
              <w:rPr>
                <w:color w:val="222222"/>
                <w:sz w:val="21"/>
                <w:szCs w:val="21"/>
              </w:rPr>
              <w:t xml:space="preserve"> and accessibility CI</w:t>
            </w:r>
          </w:p>
          <w:p>
            <w:pPr>
              <w:pStyle w:val="ListParagraph"/>
              <w:numPr>
                <w:ilvl w:val="0"/>
                <w:numId w:val="2"/>
              </w:numPr>
              <w:spacing w:after="80" w:line="256"/>
            </w:pPr>
            <w:r>
              <w:rPr>
                <w:color w:val="222222"/>
                <w:sz w:val="21"/>
                <w:szCs w:val="21"/>
              </w:rPr>
              <w:t xml:space="preserve">A signed </w:t>
            </w:r>
            <w:r>
              <w:rPr>
                <w:b/>
                <w:bCs/>
                <w:color w:val="1A1A1A"/>
                <w:sz w:val="21"/>
                <w:szCs w:val="21"/>
              </w:rPr>
              <w:t xml:space="preserve">pilot SOW</w:t>
            </w:r>
            <w:r>
              <w:rPr>
                <w:color w:val="222222"/>
                <w:sz w:val="21"/>
                <w:szCs w:val="21"/>
              </w:rPr>
              <w:t xml:space="preserve"> and finalized commercial pricing</w:t>
            </w:r>
          </w:p>
          <w:p>
            <w:pPr>
              <w:spacing w:after="0" w:before="60"/>
            </w:pPr>
            <w:r>
              <w:rPr>
                <w:color w:val="595959"/>
                <w:sz w:val="19"/>
                <w:szCs w:val="19"/>
              </w:rPr>
              <w:t xml:space="preserve">Full detail: </w:t>
            </w:r>
            <w:r>
              <w:rPr>
                <w:rFonts w:ascii="Consolas" w:cs="Consolas" w:eastAsia="Consolas" w:hAnsi="Consolas"/>
                <w:color w:val="1F3864"/>
                <w:sz w:val="18"/>
                <w:szCs w:val="18"/>
              </w:rPr>
              <w:t xml:space="preserve">docs/10-PRODUCTION-READINESS-RACI.md</w:t>
            </w:r>
            <w:r>
              <w:rPr>
                <w:color w:val="595959"/>
                <w:sz w:val="19"/>
                <w:szCs w:val="19"/>
              </w:rPr>
              <w:t xml:space="preserve"> and </w:t>
            </w:r>
            <w:r>
              <w:rPr>
                <w:rFonts w:ascii="Consolas" w:cs="Consolas" w:eastAsia="Consolas" w:hAnsi="Consolas"/>
                <w:color w:val="1F3864"/>
                <w:sz w:val="18"/>
                <w:szCs w:val="18"/>
              </w:rPr>
              <w:t xml:space="preserve">docs/GAP-CLOSURE-BACKLOG.md</w:t>
            </w:r>
            <w:r>
              <w:rPr>
                <w:color w:val="595959"/>
                <w:sz w:val="19"/>
                <w:szCs w:val="19"/>
              </w:rPr>
              <w:t xml:space="preserve">.</w:t>
            </w:r>
          </w:p>
        </w:tc>
      </w:tr>
    </w:tbl>
    <w:p>
      <w:pPr>
        <w:pStyle w:val="Heading1"/>
        <w:pBdr>
          <w:bottom w:val="single" w:color="2E75B6" w:sz="8" w:space="4"/>
        </w:pBdr>
        <w:spacing w:after="100" w:before="200"/>
      </w:pPr>
      <w:r>
        <w:rPr>
          <w:rFonts w:ascii="Arial" w:cs="Arial" w:eastAsia="Arial" w:hAnsi="Arial"/>
          <w:b/>
          <w:bCs/>
          <w:color w:val="1F3864"/>
          <w:sz w:val="28"/>
          <w:szCs w:val="28"/>
        </w:rPr>
        <w:t xml:space="preserve">The ask</w:t>
      </w:r>
    </w:p>
    <w:p>
      <w:pPr>
        <w:spacing w:after="120" w:line="262"/>
      </w:pPr>
      <w:r>
        <w:rPr>
          <w:color w:val="222222"/>
          <w:sz w:val="21"/>
          <w:szCs w:val="21"/>
        </w:rPr>
        <w:t xml:space="preserve">Fund a </w:t>
      </w:r>
      <w:r>
        <w:rPr>
          <w:b/>
          <w:bCs/>
          <w:color w:val="1A1A1A"/>
          <w:sz w:val="21"/>
          <w:szCs w:val="21"/>
        </w:rPr>
        <w:t xml:space="preserve">scoped, low-blast-radius pilot</w:t>
      </w:r>
      <w:r>
        <w:rPr>
          <w:color w:val="222222"/>
          <w:sz w:val="21"/>
          <w:szCs w:val="21"/>
        </w:rPr>
        <w:t xml:space="preserve"> — IT service desk, or resident and customer services: reversible, high-volume, and with a clear ROI — in a customer AWS account. The pilot would:</w:t>
      </w:r>
    </w:p>
    <w:p>
      <w:pPr>
        <w:pStyle w:val="ListParagraph"/>
        <w:numPr>
          <w:ilvl w:val="0"/>
          <w:numId w:val="2"/>
        </w:numPr>
        <w:spacing w:after="80" w:line="256"/>
      </w:pPr>
      <w:r>
        <w:rPr>
          <w:color w:val="222222"/>
          <w:sz w:val="21"/>
          <w:szCs w:val="21"/>
        </w:rPr>
        <w:t xml:space="preserve">Run the discovery and architecture workshop, and select the compliance pack or packs.</w:t>
      </w:r>
    </w:p>
    <w:p>
      <w:pPr>
        <w:pStyle w:val="ListParagraph"/>
        <w:numPr>
          <w:ilvl w:val="0"/>
          <w:numId w:val="2"/>
        </w:numPr>
        <w:spacing w:after="80" w:line="256"/>
      </w:pPr>
      <w:r>
        <w:rPr>
          <w:color w:val="222222"/>
          <w:sz w:val="21"/>
          <w:szCs w:val="21"/>
        </w:rPr>
        <w:t xml:space="preserve">Stand up the governed golden path with synthetic data plus one real connector.</w:t>
      </w:r>
    </w:p>
    <w:p>
      <w:pPr>
        <w:pStyle w:val="ListParagraph"/>
        <w:numPr>
          <w:ilvl w:val="0"/>
          <w:numId w:val="2"/>
        </w:numPr>
        <w:spacing w:after="80" w:line="256"/>
      </w:pPr>
      <w:r>
        <w:rPr>
          <w:color w:val="222222"/>
          <w:sz w:val="21"/>
          <w:szCs w:val="21"/>
        </w:rPr>
        <w:t xml:space="preserve">Prove it against a documented outcome, and sign the shared-responsibility plan so security review has no surprises.</w:t>
      </w:r>
    </w:p>
    <w:p>
      <w:pPr>
        <w:spacing w:after="0" w:before="60"/>
      </w:pPr>
      <w:r>
        <w:rPr>
          <w:color w:val="222222"/>
          <w:sz w:val="21"/>
          <w:szCs w:val="21"/>
        </w:rPr>
        <w:t xml:space="preserve">Then land and expand: add agents one at a time on the same paved road, turn on chargeback, and open the add-on and marketplace motion.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EC" w:sz="4" w:space="4"/>
      </w:pBdr>
      <w:jc w:val="center"/>
    </w:pPr>
    <w:r>
      <w:rPr>
        <w:rFonts w:ascii="Arial" w:cs="Arial" w:eastAsia="Arial" w:hAnsi="Arial"/>
        <w:color w:val="595959"/>
        <w:sz w:val="16"/>
        <w:szCs w:val="16"/>
      </w:rPr>
      <w:t xml:space="preserve">Leadership Status Brief  ·  Confidential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4" w:space="4"/>
      </w:pBdr>
      <w:jc w:val="right"/>
    </w:pPr>
    <w:r>
      <w:rPr>
        <w:rFonts w:ascii="Arial" w:cs="Arial" w:eastAsia="Arial" w:hAnsi="Arial"/>
        <w:color w:val="595959"/>
        <w:sz w:val="16"/>
        <w:szCs w:val="16"/>
      </w:rPr>
      <w:t xml:space="preserve">Aegis — Governed Agent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Governed Agent Platform — Leadership Status Brief</dc:title>
  <dc:subject>Governed Agent Platform on AWS — status as of 2026-07-01 (account 864217980669, us-east-1)</dc:subject>
  <dc:creator>Aegis Program Office</dc:creator>
  <cp:keywords>Aegis, governed agent platform, AWS, AI governance, Cedar, Amazon Verified Permissions, Bedrock, Cognito, KMS, S3 Object Lock, Step Functions, NIST 800-53, FedRAMP, ATO, leadership brief</cp:keywords>
  <dc:description>Leadership status brief for Aegis, the governance layer that makes any AI agent deployable in a regulated environment. Summarizes nine live-validated AWS control runs, the review-ready security and operations package, the honest list of work that is not yet done, and the ask to fund a scoped, low-blast-radius pilot. Aegis is a live-validated reference platform, not yet an authorized (ATO / FedRAMP) product.</dc:description>
  <cp:lastModifiedBy>Aegis Program Office</cp:lastModifiedBy>
  <cp:revision>1</cp:revision>
  <dcterms:created xsi:type="dcterms:W3CDTF">2026-07-01T15:16:08.297Z</dcterms:created>
  <dcterms:modified xsi:type="dcterms:W3CDTF">2026-07-01T15:16:08.298Z</dcterms:modified>
</cp:coreProperties>
</file>

<file path=docProps/custom.xml><?xml version="1.0" encoding="utf-8"?>
<Properties xmlns="http://schemas.openxmlformats.org/officeDocument/2006/custom-properties" xmlns:vt="http://schemas.openxmlformats.org/officeDocument/2006/docPropsVTypes"/>
</file>