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b/>
          <w:bCs/>
          <w:color w:val="232F3E"/>
          <w:sz w:val="33"/>
          <w:szCs w:val="33"/>
        </w:rPr>
        <w:t xml:space="preserve">Aegis Governance Core — Manual Deployment Guide &amp; Cost Model</w:t>
      </w:r>
    </w:p>
    <w:p>
      <w:pPr>
        <w:spacing w:after="60"/>
      </w:pPr>
      <w:r>
        <w:rPr>
          <w:b/>
          <w:bCs/>
          <w:color w:val="007D80"/>
          <w:sz w:val="23"/>
          <w:szCs w:val="23"/>
        </w:rPr>
        <w:t xml:space="preserve">The CDK stack, unrolled: every resource by hand, every dollar accounted for</w:t>
      </w:r>
    </w:p>
    <w:p>
      <w:pPr>
        <w:spacing w:after="100"/>
      </w:pPr>
      <w:r>
        <w:rPr>
          <w:i/>
          <w:iCs/>
          <w:color w:val="545B64"/>
          <w:sz w:val="19"/>
          <w:szCs w:val="19"/>
        </w:rPr>
        <w:t xml:space="preserve">Companion to infra/cdk/ (the recommended deploy path) and SA-DEPLOYMENT-RUNBOOK.md. Every setting below is the exact value the CDK stack deploys; every price cites an AWS pricing page or announcement, us-east-1 list, verified August 2026. Customer-safe: describes an open reference architecture built on AWS (see NOT-CLAIMS.md).</w:t>
      </w:r>
    </w:p>
    <w:p>
      <w:pPr>
        <w:pStyle w:val="Heading1"/>
        <w:spacing w:after="110" w:before="300"/>
      </w:pPr>
      <w:r>
        <w:rPr>
          <w:b/>
          <w:bCs/>
          <w:color w:val="232F3E"/>
        </w:rPr>
        <w:t xml:space="preserve">Why deploy manually at all?</w:t>
      </w:r>
    </w:p>
    <w:p>
      <w:pPr>
        <w:spacing w:after="120" w:line="290"/>
      </w:pPr>
      <w:r>
        <w:t xml:space="preserve">Three legitimate reasons: a change-advisory board that approves console runbooks rather than code; a security team that wants to see each control created before trusting automation to create it; and training — an operator who has built the platform by hand understands every alarm it will ever raise. For everything else, use the CDK app: `cdk deploy aegis-governance-core` creates all of the below, identically, in about ten minutes. This guide IS that stack, unrolled in dependency order — nine services, eleven steps, roughly two hours by hand.</w:t>
      </w:r>
    </w:p>
    <w:p>
      <w:pPr>
        <w:spacing w:after="120" w:line="290"/>
      </w:pPr>
      <w:r>
        <w:rPr>
          <w:b/>
          <w:bCs/>
        </w:rPr>
        <w:t xml:space="preserve">Naming convention used throughout: </w:t>
      </w:r>
      <w:r>
        <w:t xml:space="preserve">app = aegis, data_class = pii, environment = dev → suffix “pii-dev”. Substitute yours consistently; the CDK derives every name from these three values.</w:t>
      </w:r>
    </w:p>
    <w:p>
      <w:pPr>
        <w:pStyle w:val="Heading1"/>
        <w:spacing w:after="110" w:before="300"/>
      </w:pPr>
      <w:r>
        <w:rPr>
          <w:b/>
          <w:bCs/>
          <w:color w:val="232F3E"/>
        </w:rPr>
        <w:t xml:space="preserve">Part 1 · The Eleven Steps</w:t>
      </w:r>
    </w:p>
    <w:p>
      <w:pPr>
        <w:pStyle w:val="Heading2"/>
        <w:spacing w:after="90" w:before="220"/>
      </w:pPr>
      <w:r>
        <w:rPr>
          <w:b/>
          <w:bCs/>
          <w:color w:val="232F3E"/>
        </w:rPr>
        <w:t xml:space="preserve">Step 0 · Prerequisites (10 min)</w:t>
      </w:r>
    </w:p>
    <w:p>
      <w:pPr>
        <w:spacing w:after="120" w:line="290"/>
      </w:pPr>
      <w:r>
        <w:rPr>
          <w:b/>
          <w:bCs/>
        </w:rPr>
        <w:t xml:space="preserve">Console: </w:t>
      </w:r>
      <w:r>
        <w:t xml:space="preserve">Pick the account and region. Bedrock console → Model access → enable the Claude model family you will govern (per-region, per-account). Confirm you hold AdministratorAccess or the equivalent split roles for KMS/IAM/Lambda/DynamoDB/S3/Cognito/Bedrock.</w:t>
      </w:r>
    </w:p>
    <w:p>
      <w:pPr>
        <w:spacing w:after="60"/>
      </w:pPr>
      <w:r>
        <w:rPr>
          <w:b/>
          <w:bCs/>
          <w:color w:val="007D80"/>
        </w:rPr>
        <w:t xml:space="preserve">Why it exists: </w:t>
      </w:r>
      <w:r>
        <w:t xml:space="preserve">Bedrock invocations fail until model access is granted; everything else depends on the region choice.</w:t>
      </w:r>
    </w:p>
    <w:p>
      <w:pPr>
        <w:spacing w:after="60"/>
      </w:pPr>
      <w:r>
        <w:rPr>
          <w:b/>
          <w:bCs/>
          <w:color w:val="B7410E"/>
        </w:rPr>
        <w:t xml:space="preserve">Cost: </w:t>
      </w:r>
      <w:r>
        <w:t xml:space="preserve">$0.</w:t>
      </w:r>
    </w:p>
    <w:p>
      <w:pPr>
        <w:spacing w:after="100"/>
      </w:pPr>
      <w:r>
        <w:rPr>
          <w:i/>
          <w:iCs/>
          <w:color w:val="545B64"/>
          <w:sz w:val="19"/>
          <w:szCs w:val="19"/>
        </w:rPr>
        <w:t xml:space="preserve">Reference: docs.aws.amazon.com/bedrock/latest/userguide/model-access.html</w:t>
      </w:r>
    </w:p>
    <w:p>
      <w:pPr>
        <w:pStyle w:val="Heading2"/>
        <w:spacing w:after="90" w:before="220"/>
      </w:pPr>
      <w:r>
        <w:rPr>
          <w:b/>
          <w:bCs/>
          <w:color w:val="232F3E"/>
        </w:rPr>
        <w:t xml:space="preserve">Step 1 · KMS customer-managed key (10 min)</w:t>
      </w:r>
    </w:p>
    <w:p>
      <w:pPr>
        <w:spacing w:after="120" w:line="290"/>
      </w:pPr>
      <w:r>
        <w:rPr>
          <w:b/>
          <w:bCs/>
        </w:rPr>
        <w:t xml:space="preserve">Console: </w:t>
      </w:r>
      <w:r>
        <w:t xml:space="preserve">KMS → Customer managed keys → Create key → Symmetric, Encrypt/decrypt → name alias/aegis-pii-dev → enable annual rotation → key policy: root admin plus three service statements (DynamoDB, S3, CloudWatch Logs), each conditioned on aws:SourceAccount = this account AND kms:ViaService = that service in this region (the confused-deputy guard).</w:t>
      </w:r>
    </w:p>
    <w:p>
      <w:pPr>
        <w:spacing w:after="60"/>
      </w:pPr>
      <w:r>
        <w:rPr>
          <w:b/>
          <w:bCs/>
          <w:color w:val="007D80"/>
        </w:rPr>
        <w:t xml:space="preserve">Why it exists: </w:t>
      </w:r>
      <w:r>
        <w:t xml:space="preserve">One CMK per data class means one blast radius, one rotation story, and per-class chargeback of every encrypt/decrypt.</w:t>
      </w:r>
    </w:p>
    <w:p>
      <w:pPr>
        <w:spacing w:after="60"/>
      </w:pPr>
      <w:r>
        <w:rPr>
          <w:b/>
          <w:bCs/>
          <w:color w:val="B7410E"/>
        </w:rPr>
        <w:t xml:space="preserve">Cost: </w:t>
      </w:r>
      <w:r>
        <w:t xml:space="preserve">$1.00/month per key + $0.03 per 10,000 requests — the platform's ONLY fixed monthly line.</w:t>
      </w:r>
    </w:p>
    <w:p>
      <w:pPr>
        <w:spacing w:after="100"/>
      </w:pPr>
      <w:r>
        <w:rPr>
          <w:i/>
          <w:iCs/>
          <w:color w:val="545B64"/>
          <w:sz w:val="19"/>
          <w:szCs w:val="19"/>
        </w:rPr>
        <w:t xml:space="preserve">Reference: docs.aws.amazon.com/kms/latest/developerguide/create-keys.html · aws.amazon.com/kms/pricing</w:t>
      </w:r>
    </w:p>
    <w:p>
      <w:pPr>
        <w:pStyle w:val="Heading2"/>
        <w:spacing w:after="90" w:before="220"/>
      </w:pPr>
      <w:r>
        <w:rPr>
          <w:b/>
          <w:bCs/>
          <w:color w:val="232F3E"/>
        </w:rPr>
        <w:t xml:space="preserve">Step 2 · DynamoDB audit table (5 min)</w:t>
      </w:r>
    </w:p>
    <w:p>
      <w:pPr>
        <w:spacing w:after="120" w:line="290"/>
      </w:pPr>
      <w:r>
        <w:rPr>
          <w:b/>
          <w:bCs/>
        </w:rPr>
        <w:t xml:space="preserve">Console: </w:t>
      </w:r>
      <w:r>
        <w:t xml:space="preserve">DynamoDB → Create table → name aegis-audit-pii-dev → partition key request_id (String), sort key seq (Number) → capacity mode On-demand → encryption: customer-managed key (select the CMK) → after creation: Backups tab → enable Point-in-Time Recovery.</w:t>
      </w:r>
    </w:p>
    <w:p>
      <w:pPr>
        <w:spacing w:after="60"/>
      </w:pPr>
      <w:r>
        <w:rPr>
          <w:b/>
          <w:bCs/>
          <w:color w:val="007D80"/>
        </w:rPr>
        <w:t xml:space="preserve">Why it exists: </w:t>
      </w:r>
      <w:r>
        <w:t xml:space="preserve">The append-only audit ledger — every allow/deny/pending decision lands here as a hash-chained record. Append-only is enforced by IAM (Step 9's explicit deny), not by hope.</w:t>
      </w:r>
    </w:p>
    <w:p>
      <w:pPr>
        <w:spacing w:after="60"/>
      </w:pPr>
      <w:r>
        <w:rPr>
          <w:b/>
          <w:bCs/>
          <w:color w:val="B7410E"/>
        </w:rPr>
        <w:t xml:space="preserve">Cost: </w:t>
      </w:r>
      <w:r>
        <w:t xml:space="preserve">$0 idle. On-demand writes ≈ $0.625 per million write-request units (post-Nov-2024 reduction — verify current rate on the pricing page); first 25 GB stored free; PITR $0.20/GB-month on stored data.</w:t>
      </w:r>
    </w:p>
    <w:p>
      <w:pPr>
        <w:spacing w:after="100"/>
      </w:pPr>
      <w:r>
        <w:rPr>
          <w:i/>
          <w:iCs/>
          <w:color w:val="545B64"/>
          <w:sz w:val="19"/>
          <w:szCs w:val="19"/>
        </w:rPr>
        <w:t xml:space="preserve">Reference: docs.aws.amazon.com/amazondynamodb/latest/developerguide/PointInTimeRecovery.html · aws.amazon.com/dynamodb/pricing/on-demand</w:t>
      </w:r>
    </w:p>
    <w:p>
      <w:pPr>
        <w:pStyle w:val="Heading2"/>
        <w:spacing w:after="90" w:before="220"/>
      </w:pPr>
      <w:r>
        <w:rPr>
          <w:b/>
          <w:bCs/>
          <w:color w:val="232F3E"/>
        </w:rPr>
        <w:t xml:space="preserve">Step 3 · DynamoDB approval ledger (5 min)</w:t>
      </w:r>
    </w:p>
    <w:p>
      <w:pPr>
        <w:spacing w:after="120" w:line="290"/>
      </w:pPr>
      <w:r>
        <w:rPr>
          <w:b/>
          <w:bCs/>
        </w:rPr>
        <w:t xml:space="preserve">Console: </w:t>
      </w:r>
      <w:r>
        <w:t xml:space="preserve">Create table aegis-approvals-pii-dev → partition key approval_id (String) → On-demand → CMK encryption → Additional settings → enable TTL on attribute expires_at.</w:t>
      </w:r>
    </w:p>
    <w:p>
      <w:pPr>
        <w:spacing w:after="60"/>
      </w:pPr>
      <w:r>
        <w:rPr>
          <w:b/>
          <w:bCs/>
          <w:color w:val="007D80"/>
        </w:rPr>
        <w:t xml:space="preserve">Why it exists: </w:t>
      </w:r>
      <w:r>
        <w:t xml:space="preserve">Single-use, bound, expiring approvals: the human gate's ledger. TTL makes expiry a property of the record, not a cron job.</w:t>
      </w:r>
    </w:p>
    <w:p>
      <w:pPr>
        <w:spacing w:after="60"/>
      </w:pPr>
      <w:r>
        <w:rPr>
          <w:b/>
          <w:bCs/>
          <w:color w:val="B7410E"/>
        </w:rPr>
        <w:t xml:space="preserve">Cost: </w:t>
      </w:r>
      <w:r>
        <w:t xml:space="preserve">$0 idle; TTL deletions are free.</w:t>
      </w:r>
    </w:p>
    <w:p>
      <w:pPr>
        <w:spacing w:after="100"/>
      </w:pPr>
      <w:r>
        <w:rPr>
          <w:i/>
          <w:iCs/>
          <w:color w:val="545B64"/>
          <w:sz w:val="19"/>
          <w:szCs w:val="19"/>
        </w:rPr>
        <w:t xml:space="preserve">Reference: docs.aws.amazon.com/amazondynamodb/latest/developerguide/TTL.html</w:t>
      </w:r>
    </w:p>
    <w:p>
      <w:pPr>
        <w:pStyle w:val="Heading2"/>
        <w:spacing w:after="90" w:before="220"/>
      </w:pPr>
      <w:r>
        <w:rPr>
          <w:b/>
          <w:bCs/>
          <w:color w:val="232F3E"/>
        </w:rPr>
        <w:t xml:space="preserve">Step 4 · S3 WORM evidence bucket (5 min)</w:t>
      </w:r>
    </w:p>
    <w:p>
      <w:pPr>
        <w:spacing w:after="120" w:line="290"/>
      </w:pPr>
      <w:r>
        <w:rPr>
          <w:b/>
          <w:bCs/>
        </w:rPr>
        <w:t xml:space="preserve">Console: </w:t>
      </w:r>
      <w:r>
        <w:t xml:space="preserve">S3 → Create bucket → name aegis-worm-pii-dev-&lt;account-id&gt; → Block ALL public access ON → Advanced settings → enable Object Lock (this REQUIRES versioning and CANNOT be added later) → after creation: default encryption SSE-KMS with the CMK + enable Bucket Keys. Deliberately NO default retention — WORM is applied per object (Compliance mode in production).</w:t>
      </w:r>
    </w:p>
    <w:p>
      <w:pPr>
        <w:spacing w:after="60"/>
      </w:pPr>
      <w:r>
        <w:rPr>
          <w:b/>
          <w:bCs/>
          <w:color w:val="007D80"/>
        </w:rPr>
        <w:t xml:space="preserve">Why it exists: </w:t>
      </w:r>
      <w:r>
        <w:t xml:space="preserve">Evidence that cannot be edited: acceptance-run outputs, kill-switch drill records, release packets. Object Lock is the same mechanism assessed by Cohasset for SEC 17a-4(f).</w:t>
      </w:r>
    </w:p>
    <w:p>
      <w:pPr>
        <w:spacing w:after="60"/>
      </w:pPr>
      <w:r>
        <w:rPr>
          <w:b/>
          <w:bCs/>
          <w:color w:val="B7410E"/>
        </w:rPr>
        <w:t xml:space="preserve">Cost: </w:t>
      </w:r>
      <w:r>
        <w:t xml:space="preserve">Pennies: $0.023/GB-month; evidence volumes are megabytes.</w:t>
      </w:r>
    </w:p>
    <w:p>
      <w:pPr>
        <w:spacing w:after="100"/>
      </w:pPr>
      <w:r>
        <w:rPr>
          <w:i/>
          <w:iCs/>
          <w:color w:val="545B64"/>
          <w:sz w:val="19"/>
          <w:szCs w:val="19"/>
        </w:rPr>
        <w:t xml:space="preserve">Reference: docs.aws.amazon.com/AmazonS3/latest/userguide/object-lock.html</w:t>
      </w:r>
    </w:p>
    <w:p>
      <w:pPr>
        <w:pStyle w:val="Heading2"/>
        <w:spacing w:after="90" w:before="220"/>
      </w:pPr>
      <w:r>
        <w:rPr>
          <w:b/>
          <w:bCs/>
          <w:color w:val="232F3E"/>
        </w:rPr>
        <w:t xml:space="preserve">Step 5 · Bedrock Guardrail (15 min)</w:t>
      </w:r>
    </w:p>
    <w:p>
      <w:pPr>
        <w:spacing w:after="120" w:line="290"/>
      </w:pPr>
      <w:r>
        <w:rPr>
          <w:b/>
          <w:bCs/>
        </w:rPr>
        <w:t xml:space="preserve">Console: </w:t>
      </w:r>
      <w:r>
        <w:t xml:space="preserve">Bedrock → Guardrails → Create guardrail → name aegis-guardrail-pii-dev → blocked-message texts (“This request was blocked by Aegis governance policy.”) → Sensitive information filters: EMAIL → Anonymize, PHONE → Anonymize, US_SOCIAL_SECURITY_NUMBER → Block → Contextual grounding: grounding 0.80, relevance 0.75 → Denied topic “UngroundedConsequentialAction” with the definition and two example phrases from the stack → create DRAFT version.</w:t>
      </w:r>
    </w:p>
    <w:p>
      <w:pPr>
        <w:spacing w:after="60"/>
      </w:pPr>
      <w:r>
        <w:rPr>
          <w:b/>
          <w:bCs/>
          <w:color w:val="007D80"/>
        </w:rPr>
        <w:t xml:space="preserve">Why it exists: </w:t>
      </w:r>
      <w:r>
        <w:t xml:space="preserve">The model-boundary control: PII anonymization, hallucination thresholds, and a topic-level deny on ungated consequential actions — applied on input AND output by the gateway.</w:t>
      </w:r>
    </w:p>
    <w:p>
      <w:pPr>
        <w:spacing w:after="60"/>
      </w:pPr>
      <w:r>
        <w:rPr>
          <w:b/>
          <w:bCs/>
          <w:color w:val="B7410E"/>
        </w:rPr>
        <w:t xml:space="preserve">Cost: </w:t>
      </w:r>
      <w:r>
        <w:t xml:space="preserve">$0 until applied. In use: content filters $0.15 and denied topics $0.15 per 1,000 text units (a text unit is up to 1,000 characters) — AWS's published prices after the December 2024 reduction.</w:t>
      </w:r>
    </w:p>
    <w:p>
      <w:pPr>
        <w:spacing w:after="100"/>
      </w:pPr>
      <w:r>
        <w:rPr>
          <w:i/>
          <w:iCs/>
          <w:color w:val="545B64"/>
          <w:sz w:val="19"/>
          <w:szCs w:val="19"/>
        </w:rPr>
        <w:t xml:space="preserve">Reference: docs.aws.amazon.com/bedrock/latest/userguide/guardrails-create.html · aws.amazon.com/about-aws/whats-new/2024/12/amazon-bedrock-guardrails-reduces-pricing-85-percent/</w:t>
      </w:r>
    </w:p>
    <w:p>
      <w:pPr>
        <w:pStyle w:val="Heading2"/>
        <w:spacing w:after="90" w:before="220"/>
      </w:pPr>
      <w:r>
        <w:rPr>
          <w:b/>
          <w:bCs/>
          <w:color w:val="232F3E"/>
        </w:rPr>
        <w:t xml:space="preserve">Step 6 · Cognito user pool + operator group (10 min)</w:t>
      </w:r>
    </w:p>
    <w:p>
      <w:pPr>
        <w:spacing w:after="120" w:line="290"/>
      </w:pPr>
      <w:r>
        <w:rPr>
          <w:b/>
          <w:bCs/>
        </w:rPr>
        <w:t xml:space="preserve">Console: </w:t>
      </w:r>
      <w:r>
        <w:t xml:space="preserve">Cognito → Create user pool → name aegis-pool-pii-dev → self-signup OFF (admin-create only) → password policy: 14+ chars, all four character classes → MFA: OFF for the demo profile, REQUIRED (software token) for any regulated deployment → Groups → create aegis-operator, precedence 10.</w:t>
      </w:r>
    </w:p>
    <w:p>
      <w:pPr>
        <w:spacing w:after="60"/>
      </w:pPr>
      <w:r>
        <w:rPr>
          <w:b/>
          <w:bCs/>
          <w:color w:val="007D80"/>
        </w:rPr>
        <w:t xml:space="preserve">Why it exists: </w:t>
      </w:r>
      <w:r>
        <w:t xml:space="preserve">Verified human identity: the JWT the gateway validates, and the role group whose claim drives the least-privilege intersection. Federate to the customer's IdP in production.</w:t>
      </w:r>
    </w:p>
    <w:p>
      <w:pPr>
        <w:spacing w:after="60"/>
      </w:pPr>
      <w:r>
        <w:rPr>
          <w:b/>
          <w:bCs/>
          <w:color w:val="B7410E"/>
        </w:rPr>
        <w:t xml:space="preserve">Cost: </w:t>
      </w:r>
      <w:r>
        <w:t xml:space="preserve">$0 at pilot scale — free through 10,000 monthly active users on the current Lite tier.</w:t>
      </w:r>
    </w:p>
    <w:p>
      <w:pPr>
        <w:spacing w:after="100"/>
      </w:pPr>
      <w:r>
        <w:rPr>
          <w:i/>
          <w:iCs/>
          <w:color w:val="545B64"/>
          <w:sz w:val="19"/>
          <w:szCs w:val="19"/>
        </w:rPr>
        <w:t xml:space="preserve">Reference: docs.aws.amazon.com/cognito/latest/developerguide/cognito-user-pool.html · aws.amazon.com/cognito/pricing</w:t>
      </w:r>
    </w:p>
    <w:p>
      <w:pPr>
        <w:pStyle w:val="Heading2"/>
        <w:spacing w:after="90" w:before="220"/>
      </w:pPr>
      <w:r>
        <w:rPr>
          <w:b/>
          <w:bCs/>
          <w:color w:val="232F3E"/>
        </w:rPr>
        <w:t xml:space="preserve">Step 7 · CloudWatch log group (2 min)</w:t>
      </w:r>
    </w:p>
    <w:p>
      <w:pPr>
        <w:spacing w:after="120" w:line="290"/>
      </w:pPr>
      <w:r>
        <w:rPr>
          <w:b/>
          <w:bCs/>
        </w:rPr>
        <w:t xml:space="preserve">Console: </w:t>
      </w:r>
      <w:r>
        <w:t xml:space="preserve">CloudWatch → Log groups → Create → /aws/lambda/aegis-gateway-pii-dev → retention 7 days (demo) / per record class (production).</w:t>
      </w:r>
    </w:p>
    <w:p>
      <w:pPr>
        <w:spacing w:after="60"/>
      </w:pPr>
      <w:r>
        <w:rPr>
          <w:b/>
          <w:bCs/>
          <w:color w:val="007D80"/>
        </w:rPr>
        <w:t xml:space="preserve">Why it exists: </w:t>
      </w:r>
      <w:r>
        <w:t xml:space="preserve">The gateway's operational telemetry — kept separate from the audit ledger, which is the legal record.</w:t>
      </w:r>
    </w:p>
    <w:p>
      <w:pPr>
        <w:spacing w:after="60"/>
      </w:pPr>
      <w:r>
        <w:rPr>
          <w:b/>
          <w:bCs/>
          <w:color w:val="B7410E"/>
        </w:rPr>
        <w:t xml:space="preserve">Cost: </w:t>
      </w:r>
      <w:r>
        <w:t xml:space="preserve">$0.50/GB ingested after the 5 GB free tier; a pilot gateway emits megabytes.</w:t>
      </w:r>
    </w:p>
    <w:p>
      <w:pPr>
        <w:spacing w:after="100"/>
      </w:pPr>
      <w:r>
        <w:rPr>
          <w:i/>
          <w:iCs/>
          <w:color w:val="545B64"/>
          <w:sz w:val="19"/>
          <w:szCs w:val="19"/>
        </w:rPr>
        <w:t xml:space="preserve">Reference: docs.aws.amazon.com/AmazonCloudWatch/latest/logs/Working-with-log-groups-and-streams.html</w:t>
      </w:r>
    </w:p>
    <w:p>
      <w:pPr>
        <w:pStyle w:val="Heading2"/>
        <w:spacing w:after="90" w:before="220"/>
      </w:pPr>
      <w:r>
        <w:rPr>
          <w:b/>
          <w:bCs/>
          <w:color w:val="232F3E"/>
        </w:rPr>
        <w:t xml:space="preserve">Step 8 · SSM kill-switch parameter (2 min)</w:t>
      </w:r>
    </w:p>
    <w:p>
      <w:pPr>
        <w:spacing w:after="120" w:line="290"/>
      </w:pPr>
      <w:r>
        <w:rPr>
          <w:b/>
          <w:bCs/>
        </w:rPr>
        <w:t xml:space="preserve">Console: </w:t>
      </w:r>
      <w:r>
        <w:t xml:space="preserve">Systems Manager → Parameter Store → Create parameter → name /aegis/kill-switch → type String → standard tier → value {"engaged": false, "actor": "", "reason": ""}.</w:t>
      </w:r>
    </w:p>
    <w:p>
      <w:pPr>
        <w:spacing w:after="60"/>
      </w:pPr>
      <w:r>
        <w:rPr>
          <w:b/>
          <w:bCs/>
          <w:color w:val="007D80"/>
        </w:rPr>
        <w:t xml:space="preserve">Why it exists: </w:t>
      </w:r>
      <w:r>
        <w:t xml:space="preserve">The platform-wide stop control: the gateway checks it before anything else; engaged=true denies every agent action in one write. Engage and release are separate identities (SoD) and both are audited.</w:t>
      </w:r>
    </w:p>
    <w:p>
      <w:pPr>
        <w:spacing w:after="60"/>
      </w:pPr>
      <w:r>
        <w:rPr>
          <w:b/>
          <w:bCs/>
          <w:color w:val="B7410E"/>
        </w:rPr>
        <w:t xml:space="preserve">Cost: </w:t>
      </w:r>
      <w:r>
        <w:t xml:space="preserve">$0 — standard-tier parameters are free.</w:t>
      </w:r>
    </w:p>
    <w:p>
      <w:pPr>
        <w:spacing w:after="100"/>
      </w:pPr>
      <w:r>
        <w:rPr>
          <w:i/>
          <w:iCs/>
          <w:color w:val="545B64"/>
          <w:sz w:val="19"/>
          <w:szCs w:val="19"/>
        </w:rPr>
        <w:t xml:space="preserve">Reference: docs.aws.amazon.com/systems-manager/latest/userguide/systems-manager-parameter-store.html</w:t>
      </w:r>
    </w:p>
    <w:p>
      <w:pPr>
        <w:pStyle w:val="Heading2"/>
        <w:spacing w:after="90" w:before="220"/>
      </w:pPr>
      <w:r>
        <w:rPr>
          <w:b/>
          <w:bCs/>
          <w:color w:val="232F3E"/>
        </w:rPr>
        <w:t xml:space="preserve">Step 9 · IAM gateway role (15 min)</w:t>
      </w:r>
    </w:p>
    <w:p>
      <w:pPr>
        <w:spacing w:after="120" w:line="290"/>
      </w:pPr>
      <w:r>
        <w:rPr>
          <w:b/>
          <w:bCs/>
        </w:rPr>
        <w:t xml:space="preserve">Console: </w:t>
      </w:r>
      <w:r>
        <w:t xml:space="preserve">IAM → Roles → Create role → trusted entity: Lambda → name aegis-gateway-role-pii-dev → attach ONE inline policy with exactly eight statements: audit table PutItem/ConditionCheckItem ALLOW; audit table UpdateItem/DeleteItem explicit DENY; approvals PutItem/ConditionCheckItem; bedrock:ApplyGuardrail on the guardrail ARN only; bedrock:InvokeModel on the single model ARN only (no wildcards); kms:Decrypt/GenerateDataKey on the CMK only; logs to its own log group only; ssm:GetParameter on the kill-switch parameter only.</w:t>
      </w:r>
    </w:p>
    <w:p>
      <w:pPr>
        <w:spacing w:after="60"/>
      </w:pPr>
      <w:r>
        <w:rPr>
          <w:b/>
          <w:bCs/>
          <w:color w:val="007D80"/>
        </w:rPr>
        <w:t xml:space="preserve">Why it exists: </w:t>
      </w:r>
      <w:r>
        <w:t xml:space="preserve">Least privilege made literal: the gateway can write the audit but can NEVER edit or delete it — the explicit deny wins over any future allow. This one policy is most of the compliance story.</w:t>
      </w:r>
    </w:p>
    <w:p>
      <w:pPr>
        <w:spacing w:after="60"/>
      </w:pPr>
      <w:r>
        <w:rPr>
          <w:b/>
          <w:bCs/>
          <w:color w:val="B7410E"/>
        </w:rPr>
        <w:t xml:space="preserve">Cost: </w:t>
      </w:r>
      <w:r>
        <w:t xml:space="preserve">$0 — IAM is free.</w:t>
      </w:r>
    </w:p>
    <w:p>
      <w:pPr>
        <w:spacing w:after="100"/>
      </w:pPr>
      <w:r>
        <w:rPr>
          <w:i/>
          <w:iCs/>
          <w:color w:val="545B64"/>
          <w:sz w:val="19"/>
          <w:szCs w:val="19"/>
        </w:rPr>
        <w:t xml:space="preserve">Reference: docs.aws.amazon.com/IAM/latest/UserGuide/reference_policies_evaluation-logic.html (explicit-deny precedence)</w:t>
      </w:r>
    </w:p>
    <w:p>
      <w:pPr>
        <w:pStyle w:val="Heading2"/>
        <w:spacing w:after="90" w:before="220"/>
      </w:pPr>
      <w:r>
        <w:rPr>
          <w:b/>
          <w:bCs/>
          <w:color w:val="232F3E"/>
        </w:rPr>
        <w:t xml:space="preserve">Step 10 · Gateway Lambda (10 min)</w:t>
      </w:r>
    </w:p>
    <w:p>
      <w:pPr>
        <w:spacing w:after="120" w:line="290"/>
      </w:pPr>
      <w:r>
        <w:rPr>
          <w:b/>
          <w:bCs/>
        </w:rPr>
        <w:t xml:space="preserve">Console: </w:t>
      </w:r>
      <w:r>
        <w:t xml:space="preserve">Lambda → Create function → name aegis-gateway-pii-dev → runtime Python 3.12 → execution role: the Step 9 role → paste platform_core's index.py (79 lines) → memory 128 MB, timeout 30 s → environment variables: AUDIT_TABLE, APPROVAL_LEDGER, GUARDRAIL_ID, GUARDRAIL_VERSION, DATA_CLASS, KILL_SWITCH_PARAM.</w:t>
      </w:r>
    </w:p>
    <w:p>
      <w:pPr>
        <w:spacing w:after="60"/>
      </w:pPr>
      <w:r>
        <w:rPr>
          <w:b/>
          <w:bCs/>
          <w:color w:val="007D80"/>
        </w:rPr>
        <w:t xml:space="preserve">Why it exists: </w:t>
      </w:r>
      <w:r>
        <w:t xml:space="preserve">The choke point: applies the guardrail, allows only on an explicit NONE, writes the append-only audit record with a conditional put. Every agent action crosses this function.</w:t>
      </w:r>
    </w:p>
    <w:p>
      <w:pPr>
        <w:spacing w:after="60"/>
      </w:pPr>
      <w:r>
        <w:rPr>
          <w:b/>
          <w:bCs/>
          <w:color w:val="B7410E"/>
        </w:rPr>
        <w:t xml:space="preserve">Cost: </w:t>
      </w:r>
      <w:r>
        <w:t xml:space="preserve">$0 idle; free tier covers 1M requests + 400,000 GB-seconds monthly; at 128 MB a governed call costs fractions of a cent.</w:t>
      </w:r>
    </w:p>
    <w:p>
      <w:pPr>
        <w:spacing w:after="100"/>
      </w:pPr>
      <w:r>
        <w:rPr>
          <w:i/>
          <w:iCs/>
          <w:color w:val="545B64"/>
          <w:sz w:val="19"/>
          <w:szCs w:val="19"/>
        </w:rPr>
        <w:t xml:space="preserve">Reference: docs.aws.amazon.com/lambda/latest/dg/getting-started.html · aws.amazon.com/lambda/pricing</w:t>
      </w:r>
    </w:p>
    <w:p>
      <w:pPr>
        <w:pStyle w:val="Heading2"/>
        <w:spacing w:after="90" w:before="220"/>
      </w:pPr>
      <w:r>
        <w:rPr>
          <w:b/>
          <w:bCs/>
          <w:color w:val="232F3E"/>
        </w:rPr>
        <w:t xml:space="preserve">Step 11 · Validation drills (30 min — do not skip)</w:t>
      </w:r>
    </w:p>
    <w:p>
      <w:pPr>
        <w:spacing w:after="120" w:line="290"/>
      </w:pPr>
      <w:r>
        <w:rPr>
          <w:b/>
          <w:bCs/>
        </w:rPr>
        <w:t xml:space="preserve">Console: </w:t>
      </w:r>
      <w:r>
        <w:t xml:space="preserve">Three drills, in order. (1) Canary: invoke the gateway with a benign payload → expect ALLOW and a new audit row. (2) Deny-by-default: invoke with an unregistered tool → expect DENY, audit row written. (3) Kill switch: set engaged=true in the parameter → canary now returns DENY with reason KILL_SWITCH_ENGAGED → have a SECOND identity set engaged=false → canary allows again → confirm all three state changes appear in the audit. File the drill outputs in the WORM bucket.</w:t>
      </w:r>
    </w:p>
    <w:p>
      <w:pPr>
        <w:spacing w:after="60"/>
      </w:pPr>
      <w:r>
        <w:rPr>
          <w:b/>
          <w:bCs/>
          <w:color w:val="007D80"/>
        </w:rPr>
        <w:t xml:space="preserve">Why it exists: </w:t>
      </w:r>
      <w:r>
        <w:t xml:space="preserve">A control that has never fired is a diagram. These thirty minutes convert the deployment into evidence.</w:t>
      </w:r>
    </w:p>
    <w:p>
      <w:pPr>
        <w:spacing w:after="60"/>
      </w:pPr>
      <w:r>
        <w:rPr>
          <w:b/>
          <w:bCs/>
          <w:color w:val="B7410E"/>
        </w:rPr>
        <w:t xml:space="preserve">Cost: </w:t>
      </w:r>
      <w:r>
        <w:t xml:space="preserve">Pennies.</w:t>
      </w:r>
    </w:p>
    <w:p>
      <w:pPr>
        <w:spacing w:after="100"/>
      </w:pPr>
      <w:r>
        <w:rPr>
          <w:i/>
          <w:iCs/>
          <w:color w:val="545B64"/>
          <w:sz w:val="19"/>
          <w:szCs w:val="19"/>
        </w:rPr>
        <w:t xml:space="preserve">Reference: docs/ops/KILL-SWITCH.md and RUNTIME-EVIDENCE-RUNBOOK.md in the repo</w:t>
      </w:r>
    </w:p>
    <w:p>
      <w:pPr>
        <w:pStyle w:val="Heading1"/>
        <w:spacing w:after="110" w:before="300"/>
      </w:pPr>
      <w:r>
        <w:rPr>
          <w:b/>
          <w:bCs/>
          <w:color w:val="232F3E"/>
        </w:rPr>
        <w:t xml:space="preserve">Part 2 · Cost Model</w:t>
      </w:r>
    </w:p>
    <w:p>
      <w:pPr>
        <w:pStyle w:val="Heading2"/>
        <w:spacing w:after="90" w:before="220"/>
      </w:pPr>
      <w:r>
        <w:rPr>
          <w:b/>
          <w:bCs/>
          <w:color w:val="232F3E"/>
        </w:rPr>
        <w:t xml:space="preserve">A · Standing still (platform at rest, monthly)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94"/>
        <w:gridCol w:w="1555"/>
        <w:gridCol w:w="4471"/>
      </w:tblGrid>
      <w:tr>
        <w:trPr>
          <w:tblHeader/>
        </w:trPr>
        <w:tc>
          <w:tcPr>
            <w:tcW w:type="dxa" w:w="3694"/>
            <w:shd w:fill="232F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Line</w:t>
            </w:r>
          </w:p>
        </w:tc>
        <w:tc>
          <w:tcPr>
            <w:tcW w:type="dxa" w:w="1555"/>
            <w:shd w:fill="232F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Monthly</w:t>
            </w:r>
          </w:p>
        </w:tc>
        <w:tc>
          <w:tcPr>
            <w:tcW w:type="dxa" w:w="4471"/>
            <w:shd w:fill="232F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Basis</w:t>
            </w:r>
          </w:p>
        </w:tc>
      </w:tr>
      <w:tr>
        <w:tc>
          <w:tcPr>
            <w:tcW w:type="dxa" w:w="36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KMS customer-managed key</w:t>
            </w:r>
          </w:p>
        </w:tc>
        <w:tc>
          <w:tcPr>
            <w:tcW w:type="dxa" w:w="1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$1.00</w:t>
            </w:r>
          </w:p>
        </w:tc>
        <w:tc>
          <w:tcPr>
            <w:tcW w:type="dxa" w:w="44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Fixed per key — aws.amazon.com/kms/pricing</w:t>
            </w:r>
          </w:p>
        </w:tc>
      </w:tr>
      <w:tr>
        <w:tc>
          <w:tcPr>
            <w:tcW w:type="dxa" w:w="3694"/>
            <w:shd w:fill="F2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DynamoDB ×2 (on-demand, idle)</w:t>
            </w:r>
          </w:p>
        </w:tc>
        <w:tc>
          <w:tcPr>
            <w:tcW w:type="dxa" w:w="1555"/>
            <w:shd w:fill="F2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$0.00</w:t>
            </w:r>
          </w:p>
        </w:tc>
        <w:tc>
          <w:tcPr>
            <w:tcW w:type="dxa" w:w="4471"/>
            <w:shd w:fill="F2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 requests = no charge; first 25 GB free</w:t>
            </w:r>
          </w:p>
        </w:tc>
      </w:tr>
      <w:tr>
        <w:tc>
          <w:tcPr>
            <w:tcW w:type="dxa" w:w="36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S3 WORM evidence (≤1 GB)</w:t>
            </w:r>
          </w:p>
        </w:tc>
        <w:tc>
          <w:tcPr>
            <w:tcW w:type="dxa" w:w="1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~$0.02</w:t>
            </w:r>
          </w:p>
        </w:tc>
        <w:tc>
          <w:tcPr>
            <w:tcW w:type="dxa" w:w="44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$0.023/GB-month</w:t>
            </w:r>
          </w:p>
        </w:tc>
      </w:tr>
      <w:tr>
        <w:tc>
          <w:tcPr>
            <w:tcW w:type="dxa" w:w="3694"/>
            <w:shd w:fill="F2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Cognito (≤10,000 MAU)</w:t>
            </w:r>
          </w:p>
        </w:tc>
        <w:tc>
          <w:tcPr>
            <w:tcW w:type="dxa" w:w="1555"/>
            <w:shd w:fill="F2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$0.00</w:t>
            </w:r>
          </w:p>
        </w:tc>
        <w:tc>
          <w:tcPr>
            <w:tcW w:type="dxa" w:w="4471"/>
            <w:shd w:fill="F2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Free tier — aws.amazon.com/cognito/pricing</w:t>
            </w:r>
          </w:p>
        </w:tc>
      </w:tr>
      <w:tr>
        <w:tc>
          <w:tcPr>
            <w:tcW w:type="dxa" w:w="36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Lambda (idle)</w:t>
            </w:r>
          </w:p>
        </w:tc>
        <w:tc>
          <w:tcPr>
            <w:tcW w:type="dxa" w:w="1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$0.00</w:t>
            </w:r>
          </w:p>
        </w:tc>
        <w:tc>
          <w:tcPr>
            <w:tcW w:type="dxa" w:w="44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Pay-per-invoke; 1M free monthly</w:t>
            </w:r>
          </w:p>
        </w:tc>
      </w:tr>
      <w:tr>
        <w:tc>
          <w:tcPr>
            <w:tcW w:type="dxa" w:w="3694"/>
            <w:shd w:fill="F2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CloudWatch Logs (≤5 GB)</w:t>
            </w:r>
          </w:p>
        </w:tc>
        <w:tc>
          <w:tcPr>
            <w:tcW w:type="dxa" w:w="1555"/>
            <w:shd w:fill="F2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~$0–1</w:t>
            </w:r>
          </w:p>
        </w:tc>
        <w:tc>
          <w:tcPr>
            <w:tcW w:type="dxa" w:w="4471"/>
            <w:shd w:fill="F2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 GB ingest free, then $0.50/GB</w:t>
            </w:r>
          </w:p>
        </w:tc>
      </w:tr>
      <w:tr>
        <w:tc>
          <w:tcPr>
            <w:tcW w:type="dxa" w:w="36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SSM parameter (standard)</w:t>
            </w:r>
          </w:p>
        </w:tc>
        <w:tc>
          <w:tcPr>
            <w:tcW w:type="dxa" w:w="1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$0.00</w:t>
            </w:r>
          </w:p>
        </w:tc>
        <w:tc>
          <w:tcPr>
            <w:tcW w:type="dxa" w:w="44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Standard tier free</w:t>
            </w:r>
          </w:p>
        </w:tc>
      </w:tr>
      <w:tr>
        <w:tc>
          <w:tcPr>
            <w:tcW w:type="dxa" w:w="3694"/>
            <w:shd w:fill="F2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Bedrock Guardrail (not invoked)</w:t>
            </w:r>
          </w:p>
        </w:tc>
        <w:tc>
          <w:tcPr>
            <w:tcW w:type="dxa" w:w="1555"/>
            <w:shd w:fill="F2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$0.00</w:t>
            </w:r>
          </w:p>
        </w:tc>
        <w:tc>
          <w:tcPr>
            <w:tcW w:type="dxa" w:w="4471"/>
            <w:shd w:fill="F2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Pay-per-use only</w:t>
            </w:r>
          </w:p>
        </w:tc>
      </w:tr>
      <w:tr>
        <w:tc>
          <w:tcPr>
            <w:tcW w:type="dxa" w:w="36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IAM, groups, policies</w:t>
            </w:r>
          </w:p>
        </w:tc>
        <w:tc>
          <w:tcPr>
            <w:tcW w:type="dxa" w:w="1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$0.00</w:t>
            </w:r>
          </w:p>
        </w:tc>
        <w:tc>
          <w:tcPr>
            <w:tcW w:type="dxa" w:w="44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3694"/>
            <w:shd w:fill="F2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TOTAL AT REST</w:t>
            </w:r>
          </w:p>
        </w:tc>
        <w:tc>
          <w:tcPr>
            <w:tcW w:type="dxa" w:w="1555"/>
            <w:shd w:fill="F2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≈ $1–3</w:t>
            </w:r>
          </w:p>
        </w:tc>
        <w:tc>
          <w:tcPr>
            <w:tcW w:type="dxa" w:w="4471"/>
            <w:shd w:fill="F2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only fixed cost is the key</w:t>
            </w:r>
          </w:p>
        </w:tc>
      </w:tr>
    </w:tbl>
    <w:p>
      <w:pPr>
        <w:spacing w:after="120" w:line="290"/>
      </w:pPr>
      <w:r>
        <w:t xml:space="preserve"/>
      </w:r>
    </w:p>
    <w:p>
      <w:pPr>
        <w:pStyle w:val="Heading2"/>
        <w:spacing w:after="90" w:before="220"/>
      </w:pPr>
      <w:r>
        <w:rPr>
          <w:b/>
          <w:bCs/>
          <w:color w:val="232F3E"/>
        </w:rPr>
        <w:t xml:space="preserve">B · In use (per 1,000 governed agent actions)</w:t>
      </w:r>
    </w:p>
    <w:p>
      <w:pPr>
        <w:spacing w:after="120" w:line="290"/>
      </w:pPr>
      <w:r>
        <w:t xml:space="preserve">Working assumption per action: ~2,000 characters in, ~1,500 out (≈2,000 input + 500 output tokens). Substitute your prompt sizes in the run-cost calculator.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6"/>
        <w:gridCol w:w="1750"/>
        <w:gridCol w:w="5054"/>
      </w:tblGrid>
      <w:tr>
        <w:trPr>
          <w:tblHeader/>
        </w:trPr>
        <w:tc>
          <w:tcPr>
            <w:tcW w:type="dxa" w:w="2916"/>
            <w:shd w:fill="232F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750"/>
            <w:shd w:fill="232F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 1,000 actions</w:t>
            </w:r>
          </w:p>
        </w:tc>
        <w:tc>
          <w:tcPr>
            <w:tcW w:type="dxa" w:w="5054"/>
            <w:shd w:fill="232F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Math</w:t>
            </w:r>
          </w:p>
        </w:tc>
      </w:tr>
      <w:tr>
        <w:tc>
          <w:tcPr>
            <w:tcW w:type="dxa" w:w="29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Model inference (small/Haiku-class)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≈ $4.50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2,000 in ≈ $0.002 + 500 out ≈ $0.0025 per action at ~$1/$5 per million tokens; frontier-class models are ~3–15× — model choice is the biggest lever</w:t>
            </w:r>
          </w:p>
        </w:tc>
      </w:tr>
      <w:tr>
        <w:tc>
          <w:tcPr>
            <w:tcW w:type="dxa" w:w="2916"/>
            <w:shd w:fill="F2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Guardrail checks (in + out)</w:t>
            </w:r>
          </w:p>
        </w:tc>
        <w:tc>
          <w:tcPr>
            <w:tcW w:type="dxa" w:w="1750"/>
            <w:shd w:fill="F2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≈ $1.20</w:t>
            </w:r>
          </w:p>
        </w:tc>
        <w:tc>
          <w:tcPr>
            <w:tcW w:type="dxa" w:w="5054"/>
            <w:shd w:fill="F2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≈4 text units/action × ($0.15 content + $0.15 denied topics)/1,000 units</w:t>
            </w:r>
          </w:p>
        </w:tc>
      </w:tr>
      <w:tr>
        <w:tc>
          <w:tcPr>
            <w:tcW w:type="dxa" w:w="29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DynamoDB audit + approval writes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≈ $0.01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~2 writes/action at ≈$0.625/M WRU</w:t>
            </w:r>
          </w:p>
        </w:tc>
      </w:tr>
      <w:tr>
        <w:tc>
          <w:tcPr>
            <w:tcW w:type="dxa" w:w="2916"/>
            <w:shd w:fill="F2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Lambda gateway</w:t>
            </w:r>
          </w:p>
        </w:tc>
        <w:tc>
          <w:tcPr>
            <w:tcW w:type="dxa" w:w="1750"/>
            <w:shd w:fill="F2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≈ $0.01</w:t>
            </w:r>
          </w:p>
        </w:tc>
        <w:tc>
          <w:tcPr>
            <w:tcW w:type="dxa" w:w="5054"/>
            <w:shd w:fill="F2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128 MB × ~1 s</w:t>
            </w:r>
          </w:p>
        </w:tc>
      </w:tr>
      <w:tr>
        <w:tc>
          <w:tcPr>
            <w:tcW w:type="dxa" w:w="29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CloudWatch Logs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≈ $0.10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~200 KB/action ingested</w:t>
            </w:r>
          </w:p>
        </w:tc>
      </w:tr>
      <w:tr>
        <w:tc>
          <w:tcPr>
            <w:tcW w:type="dxa" w:w="2916"/>
            <w:shd w:fill="F2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TOTAL</w:t>
            </w:r>
          </w:p>
        </w:tc>
        <w:tc>
          <w:tcPr>
            <w:tcW w:type="dxa" w:w="1750"/>
            <w:shd w:fill="F2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≈ $6–8</w:t>
            </w:r>
          </w:p>
        </w:tc>
        <w:tc>
          <w:tcPr>
            <w:tcW w:type="dxa" w:w="5054"/>
            <w:shd w:fill="F2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Inference is 70–85% of every dollar; the governance premium is ≈$1.30</w:t>
            </w:r>
          </w:p>
        </w:tc>
      </w:tr>
    </w:tbl>
    <w:p>
      <w:pPr>
        <w:spacing w:after="120" w:line="290"/>
      </w:pPr>
      <w:r>
        <w:t xml:space="preserve"/>
      </w:r>
    </w:p>
    <w:p>
      <w:pPr>
        <w:pStyle w:val="Heading2"/>
        <w:spacing w:after="90" w:before="220"/>
      </w:pPr>
      <w:r>
        <w:rPr>
          <w:b/>
          <w:bCs/>
          <w:color w:val="232F3E"/>
        </w:rPr>
        <w:t xml:space="preserve">C · Monthly scenarios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1944"/>
        <w:gridCol w:w="1750"/>
        <w:gridCol w:w="3499"/>
      </w:tblGrid>
      <w:tr>
        <w:trPr>
          <w:tblHeader/>
        </w:trPr>
        <w:tc>
          <w:tcPr>
            <w:tcW w:type="dxa" w:w="2527"/>
            <w:shd w:fill="232F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Scale</w:t>
            </w:r>
          </w:p>
        </w:tc>
        <w:tc>
          <w:tcPr>
            <w:tcW w:type="dxa" w:w="1944"/>
            <w:shd w:fill="232F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Governed actions/mo</w:t>
            </w:r>
          </w:p>
        </w:tc>
        <w:tc>
          <w:tcPr>
            <w:tcW w:type="dxa" w:w="1750"/>
            <w:shd w:fill="232F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Approx. monthly</w:t>
            </w:r>
          </w:p>
        </w:tc>
        <w:tc>
          <w:tcPr>
            <w:tcW w:type="dxa" w:w="3499"/>
            <w:shd w:fill="232F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Pilot (one agent, one dept)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5,000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$30–45</w:t>
            </w:r>
          </w:p>
        </w:tc>
        <w:tc>
          <w:tcPr>
            <w:tcW w:type="dxa" w:w="3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Plus the $1–3 floor; well inside most team budgets' rounding error</w:t>
            </w:r>
          </w:p>
        </w:tc>
      </w:tr>
      <w:tr>
        <w:tc>
          <w:tcPr>
            <w:tcW w:type="dxa" w:w="2527"/>
            <w:shd w:fill="F2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Department rollout</w:t>
            </w:r>
          </w:p>
        </w:tc>
        <w:tc>
          <w:tcPr>
            <w:tcW w:type="dxa" w:w="1944"/>
            <w:shd w:fill="F2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100,000</w:t>
            </w:r>
          </w:p>
        </w:tc>
        <w:tc>
          <w:tcPr>
            <w:tcW w:type="dxa" w:w="1750"/>
            <w:shd w:fill="F2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$600–800</w:t>
            </w:r>
          </w:p>
        </w:tc>
        <w:tc>
          <w:tcPr>
            <w:tcW w:type="dxa" w:w="3499"/>
            <w:shd w:fill="F2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Token budgets cap each agent; chargeback attributes it</w:t>
            </w:r>
          </w:p>
        </w:tc>
      </w:tr>
      <w:t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Enterprise (many agents)</w:t>
            </w:r>
          </w:p>
        </w:tc>
        <w:tc>
          <w:tcPr>
            <w:tcW w:type="dxa" w:w="1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1,000,000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$6,000–8,000</w:t>
            </w:r>
          </w:p>
        </w:tc>
        <w:tc>
          <w:tcPr>
            <w:tcW w:type="dxa" w:w="3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Still 70–85% inference — cost that agents incur with or without governance</w:t>
            </w:r>
          </w:p>
        </w:tc>
      </w:tr>
    </w:tbl>
    <w:p>
      <w:pPr>
        <w:spacing w:after="120" w:line="290"/>
      </w:pPr>
      <w:r>
        <w:t xml:space="preserve"/>
      </w:r>
    </w:p>
    <w:p>
      <w:pPr>
        <w:spacing w:after="120" w:line="290"/>
      </w:pPr>
      <w:r>
        <w:rPr>
          <w:b/>
          <w:bCs/>
        </w:rPr>
        <w:t xml:space="preserve">The sentence that kills the sticker shock: </w:t>
      </w:r>
      <w:r>
        <w:rPr>
          <w:i/>
          <w:iCs/>
        </w:rPr>
        <w:t xml:space="preserve">the governance layer adds roughly a dollar per thousand agent actions on top of inference the customer buys anyway — and standing still it costs about as much as one cup of coffee a month.</w:t>
      </w:r>
    </w:p>
    <w:p>
      <w:pPr>
        <w:pStyle w:val="Heading1"/>
        <w:spacing w:after="110" w:before="300"/>
      </w:pPr>
      <w:r>
        <w:rPr>
          <w:b/>
          <w:bCs/>
          <w:color w:val="232F3E"/>
        </w:rPr>
        <w:t xml:space="preserve">Sources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t xml:space="preserve">Bedrock Guardrails pricing reduction (content filters &amp; denied topics $0.15/1K text units) — aws.amazon.com/about-aws/whats-new/2024/12/amazon-bedrock-guardrails-reduces-pricing-85-percent/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t xml:space="preserve">Bedrock model + guardrail pricing — aws.amazon.com/bedrock/pricing/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t xml:space="preserve">KMS pricing — aws.amazon.com/kms/pricing/ · DynamoDB on-demand — aws.amazon.com/dynamodb/pricing/on-demand/ · S3 — aws.amazon.com/s3/pricing/ · Cognito — aws.amazon.com/cognito/pricing/ · Lambda — aws.amazon.com/lambda/pricing/ · CloudWatch — aws.amazon.com/cloudwatch/pricing/ · SSM Parameter Store (standard tier free) — aws.amazon.com/systems-manager/pricing/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t xml:space="preserve">Service configuration references cited per step above. All figures us-east-1 list, verified August 2026; rates marked “verify” should be re-checked at deploy time.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9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232F3E"/>
      <w:sz w:val="27"/>
      <w:szCs w:val="27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32F3E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2026-08-20T21:01:46.984Z</dcterms:created>
  <dcterms:modified xsi:type="dcterms:W3CDTF">2026-08-20T21:01:46.984Z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