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color w:val="1B2A3A"/>
          <w:sz w:val="34"/>
          <w:szCs w:val="34"/>
        </w:rPr>
        <w:t xml:space="preserve">Aegis — Governed AI Agents for Public Sector &amp; Education</w:t>
      </w:r>
    </w:p>
    <w:p>
      <w:pPr>
        <w:spacing w:after="60"/>
      </w:pPr>
      <w:r>
        <w:rPr>
          <w:rFonts w:ascii="Cambria" w:cs="Cambria" w:eastAsia="Cambria" w:hAnsi="Cambria"/>
          <w:b/>
          <w:bCs/>
          <w:color w:val="0B6E4F"/>
          <w:sz w:val="24"/>
          <w:szCs w:val="24"/>
        </w:rPr>
        <w:t xml:space="preserve">How the Cloud Components Become a Governance Platform — and Why to Build It First</w:t>
      </w:r>
    </w:p>
    <w:p>
      <w:pPr>
        <w:spacing w:after="110"/>
      </w:pPr>
      <w:r>
        <w:rPr>
          <w:i/>
          <w:iCs/>
          <w:color w:val="595959"/>
          <w:sz w:val="19"/>
          <w:szCs w:val="19"/>
        </w:rPr>
        <w:t xml:space="preserve">Built on AWS · Reference architecture explainer · Customer-safe edition, August 2026. Aegis is an independent, deployable reference architecture that runs on AWS — it is not an AWS service or an AWS-supported product, and adopting organizations fork, review, and own what they run (see the NOT-CLAIMS boundary in the repository). Companion artifacts: SA-DEPLOYMENT-RUNBOOK, CUSTOMER-DELIVERY-CHECKLIST, AWS-RUN-COST model, ROI worksheet, and four vertical agent packs.</w:t>
      </w:r>
    </w:p>
    <w:p>
      <w:pPr>
        <w:pStyle w:val="Heading1"/>
        <w:spacing w:after="110" w:before="320"/>
      </w:pPr>
      <w:r>
        <w:rPr>
          <w:b/>
          <w:bCs/>
          <w:color w:val="1B2A3A"/>
        </w:rPr>
        <w:t xml:space="preserve">1 · The Problem Every Agency Recognizes</w:t>
      </w:r>
    </w:p>
    <w:p>
      <w:pPr>
        <w:spacing w:after="130" w:line="295"/>
      </w:pPr>
      <w:r>
        <w:rPr>
          <w:b/>
          <w:bCs/>
        </w:rPr>
        <w:t xml:space="preserve">Departments are building AI agents — and deploying them — faster than anyone can govern them. </w:t>
      </w:r>
      <w:r>
        <w:t xml:space="preserve">A benefits office pilots an eligibility screener; a financial-aid office wires a chatbot to student records; a records team automates request triage. Each one works in a demo. Then the questions that decide whether it can touch production data arrive, and they arrive from counsel, auditors, and CISOs, not engineers: Who did the agent act for, and can you prove it? What exactly can it reach, and what stops it reaching more? Who approved the consequential action? Where is the tamper-proof record? Can PII/PHI/FERPA data leak into a model? And the one that ends meetings: </w:t>
      </w:r>
      <w:r>
        <w:rPr>
          <w:b/>
          <w:bCs/>
        </w:rPr>
        <w:t xml:space="preserve">if it misbehaves, can you stop everything, right now?</w:t>
      </w:r>
    </w:p>
    <w:p>
      <w:pPr>
        <w:spacing w:after="130" w:line="295"/>
      </w:pPr>
      <w:r>
        <w:t xml:space="preserve">Agents fail in production not because the models are weak, but because nothing beneath them answers those questions. Every department answers them differently — or not at all — so every deployment is a one-off risk review, every audit is archaeology, and central IT inherits accountability for systems it cannot see.</w:t>
      </w:r>
    </w:p>
    <w:p>
      <w:pPr>
        <w:pBdr>
          <w:left w:val="single" w:color="C88A00" w:sz="14" w:space="6"/>
        </w:pBdr>
        <w:spacing w:after="125"/>
        <w:ind w:left="576"/>
      </w:pPr>
      <w:r>
        <w:rPr>
          <w:b/>
          <w:bCs/>
          <w:color w:val="8A5A00"/>
          <w:sz w:val="19"/>
          <w:szCs w:val="19"/>
        </w:rPr>
        <w:t xml:space="preserve">Key point: </w:t>
      </w:r>
      <w:r>
        <w:rPr>
          <w:color w:val="3D3D3D"/>
          <w:sz w:val="19"/>
          <w:szCs w:val="19"/>
        </w:rPr>
        <w:t xml:space="preserve">The blocker to agentic AI in regulated environments is governance, not model quality. The fix is not a better agent — it is a platform every agent must pass through.</w:t>
      </w:r>
    </w:p>
    <w:p>
      <w:pPr>
        <w:pStyle w:val="Heading1"/>
        <w:spacing w:after="110" w:before="320"/>
      </w:pPr>
      <w:r>
        <w:rPr>
          <w:b/>
          <w:bCs/>
          <w:color w:val="1B2A3A"/>
        </w:rPr>
        <w:t xml:space="preserve">2 · The Answer: One Control Plane, Every Agent Through It</w:t>
      </w:r>
    </w:p>
    <w:p>
      <w:pPr>
        <w:spacing w:after="130" w:line="295"/>
      </w:pPr>
      <w:r>
        <w:t xml:space="preserve">Aegis is a deny-by-default control plane: every agent action — model call, tool call, retrieval — flows through one authorization gateway that enforces a versioned governance contract (the Aegis Governance Pattern, AGP v1.0). Build the platform once; after that, every agent is a configuration that inherits governance, not a project that reinvents it.</w:t>
      </w:r>
    </w:p>
    <w:p>
      <w:pPr>
        <w:spacing w:after="60"/>
      </w:pPr>
      <w:r>
        <w:rPr>
          <w:b/>
          <w:bCs/>
        </w:rPr>
        <w:t xml:space="preserve">The contract is eight fail-closed controls, each implemented by a module and proven by a negative test — plus a ninth, the Kill Switch, proposed for v1.1: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
        <w:gridCol w:w="2624"/>
        <w:gridCol w:w="6610"/>
      </w:tblGrid>
      <w:tr>
        <w:trPr>
          <w:tblHeader/>
        </w:trPr>
        <w:tc>
          <w:tcPr>
            <w:tcW w:type="dxa" w:w="486"/>
            <w:shd w:fill="1B2A3A" w:val="clear"/>
            <w:tcMar>
              <w:top w:type="dxa" w:w="55"/>
              <w:left w:type="dxa" w:w="90"/>
              <w:bottom w:type="dxa" w:w="55"/>
              <w:right w:type="dxa" w:w="90"/>
            </w:tcMar>
          </w:tcPr>
          <w:p>
            <w:pPr>
              <w:spacing w:after="0"/>
            </w:pPr>
            <w:r>
              <w:rPr>
                <w:b/>
                <w:bCs/>
                <w:color w:val="FFFFFF"/>
                <w:sz w:val="18"/>
                <w:szCs w:val="18"/>
              </w:rPr>
              <w:t xml:space="preserve">#</w:t>
            </w:r>
          </w:p>
        </w:tc>
        <w:tc>
          <w:tcPr>
            <w:tcW w:type="dxa" w:w="2624"/>
            <w:shd w:fill="1B2A3A" w:val="clear"/>
            <w:tcMar>
              <w:top w:type="dxa" w:w="55"/>
              <w:left w:type="dxa" w:w="90"/>
              <w:bottom w:type="dxa" w:w="55"/>
              <w:right w:type="dxa" w:w="90"/>
            </w:tcMar>
          </w:tcPr>
          <w:p>
            <w:pPr>
              <w:spacing w:after="0"/>
            </w:pPr>
            <w:r>
              <w:rPr>
                <w:b/>
                <w:bCs/>
                <w:color w:val="FFFFFF"/>
                <w:sz w:val="18"/>
                <w:szCs w:val="18"/>
              </w:rPr>
              <w:t xml:space="preserve">Control (AGP v1.0)</w:t>
            </w:r>
          </w:p>
        </w:tc>
        <w:tc>
          <w:tcPr>
            <w:tcW w:type="dxa" w:w="6610"/>
            <w:shd w:fill="1B2A3A" w:val="clear"/>
            <w:tcMar>
              <w:top w:type="dxa" w:w="55"/>
              <w:left w:type="dxa" w:w="90"/>
              <w:bottom w:type="dxa" w:w="55"/>
              <w:right w:type="dxa" w:w="90"/>
            </w:tcMar>
          </w:tcPr>
          <w:p>
            <w:pPr>
              <w:spacing w:after="0"/>
            </w:pPr>
            <w:r>
              <w:rPr>
                <w:b/>
                <w:bCs/>
                <w:color w:val="FFFFFF"/>
                <w:sz w:val="18"/>
                <w:szCs w:val="18"/>
              </w:rPr>
              <w:t xml:space="preserve">What it guarantees</w:t>
            </w:r>
          </w:p>
        </w:tc>
      </w:tr>
      <w:tr>
        <w:tc>
          <w:tcPr>
            <w:tcW w:type="dxa" w:w="486"/>
            <w:tcMar>
              <w:top w:type="dxa" w:w="55"/>
              <w:left w:type="dxa" w:w="90"/>
              <w:bottom w:type="dxa" w:w="55"/>
              <w:right w:type="dxa" w:w="90"/>
            </w:tcMar>
          </w:tcPr>
          <w:p>
            <w:pPr>
              <w:spacing w:after="0"/>
            </w:pPr>
            <w:r>
              <w:rPr>
                <w:sz w:val="18"/>
                <w:szCs w:val="18"/>
              </w:rPr>
              <w:t xml:space="preserve">1</w:t>
            </w:r>
          </w:p>
        </w:tc>
        <w:tc>
          <w:tcPr>
            <w:tcW w:type="dxa" w:w="2624"/>
            <w:tcMar>
              <w:top w:type="dxa" w:w="55"/>
              <w:left w:type="dxa" w:w="90"/>
              <w:bottom w:type="dxa" w:w="55"/>
              <w:right w:type="dxa" w:w="90"/>
            </w:tcMar>
          </w:tcPr>
          <w:p>
            <w:pPr>
              <w:spacing w:after="0"/>
            </w:pPr>
            <w:r>
              <w:rPr>
                <w:sz w:val="18"/>
                <w:szCs w:val="18"/>
              </w:rPr>
              <w:t xml:space="preserve">Verified identity</w:t>
            </w:r>
          </w:p>
        </w:tc>
        <w:tc>
          <w:tcPr>
            <w:tcW w:type="dxa" w:w="6610"/>
            <w:tcMar>
              <w:top w:type="dxa" w:w="55"/>
              <w:left w:type="dxa" w:w="90"/>
              <w:bottom w:type="dxa" w:w="55"/>
              <w:right w:type="dxa" w:w="90"/>
            </w:tcMar>
          </w:tcPr>
          <w:p>
            <w:pPr>
              <w:spacing w:after="0"/>
            </w:pPr>
            <w:r>
              <w:rPr>
                <w:sz w:val="18"/>
                <w:szCs w:val="18"/>
              </w:rPr>
              <w:t xml:space="preserve">Every action is attributable to a verified human identity (RS256/JWKS JWT; identity only from a verified claim)</w:t>
            </w:r>
          </w:p>
        </w:tc>
      </w:tr>
      <w:tr>
        <w:tc>
          <w:tcPr>
            <w:tcW w:type="dxa" w:w="486"/>
            <w:shd w:fill="F2F3F3" w:val="clear"/>
            <w:tcMar>
              <w:top w:type="dxa" w:w="55"/>
              <w:left w:type="dxa" w:w="90"/>
              <w:bottom w:type="dxa" w:w="55"/>
              <w:right w:type="dxa" w:w="90"/>
            </w:tcMar>
          </w:tcPr>
          <w:p>
            <w:pPr>
              <w:spacing w:after="0"/>
            </w:pPr>
            <w:r>
              <w:rPr>
                <w:sz w:val="18"/>
                <w:szCs w:val="18"/>
              </w:rPr>
              <w:t xml:space="preserve">2</w:t>
            </w:r>
          </w:p>
        </w:tc>
        <w:tc>
          <w:tcPr>
            <w:tcW w:type="dxa" w:w="2624"/>
            <w:shd w:fill="F2F3F3" w:val="clear"/>
            <w:tcMar>
              <w:top w:type="dxa" w:w="55"/>
              <w:left w:type="dxa" w:w="90"/>
              <w:bottom w:type="dxa" w:w="55"/>
              <w:right w:type="dxa" w:w="90"/>
            </w:tcMar>
          </w:tcPr>
          <w:p>
            <w:pPr>
              <w:spacing w:after="0"/>
            </w:pPr>
            <w:r>
              <w:rPr>
                <w:sz w:val="18"/>
                <w:szCs w:val="18"/>
              </w:rPr>
              <w:t xml:space="preserve">Deny-by-default tool gateway</w:t>
            </w:r>
          </w:p>
        </w:tc>
        <w:tc>
          <w:tcPr>
            <w:tcW w:type="dxa" w:w="6610"/>
            <w:shd w:fill="F2F3F3" w:val="clear"/>
            <w:tcMar>
              <w:top w:type="dxa" w:w="55"/>
              <w:left w:type="dxa" w:w="90"/>
              <w:bottom w:type="dxa" w:w="55"/>
              <w:right w:type="dxa" w:w="90"/>
            </w:tcMar>
          </w:tcPr>
          <w:p>
            <w:pPr>
              <w:spacing w:after="0"/>
            </w:pPr>
            <w:r>
              <w:rPr>
                <w:sz w:val="18"/>
                <w:szCs w:val="18"/>
              </w:rPr>
              <w:t xml:space="preserve">An unregistered or undeclared tool call is denied — scope is enforced, not trusted</w:t>
            </w:r>
          </w:p>
        </w:tc>
      </w:tr>
      <w:tr>
        <w:tc>
          <w:tcPr>
            <w:tcW w:type="dxa" w:w="486"/>
            <w:tcMar>
              <w:top w:type="dxa" w:w="55"/>
              <w:left w:type="dxa" w:w="90"/>
              <w:bottom w:type="dxa" w:w="55"/>
              <w:right w:type="dxa" w:w="90"/>
            </w:tcMar>
          </w:tcPr>
          <w:p>
            <w:pPr>
              <w:spacing w:after="0"/>
            </w:pPr>
            <w:r>
              <w:rPr>
                <w:sz w:val="18"/>
                <w:szCs w:val="18"/>
              </w:rPr>
              <w:t xml:space="preserve">3</w:t>
            </w:r>
          </w:p>
        </w:tc>
        <w:tc>
          <w:tcPr>
            <w:tcW w:type="dxa" w:w="2624"/>
            <w:tcMar>
              <w:top w:type="dxa" w:w="55"/>
              <w:left w:type="dxa" w:w="90"/>
              <w:bottom w:type="dxa" w:w="55"/>
              <w:right w:type="dxa" w:w="90"/>
            </w:tcMar>
          </w:tcPr>
          <w:p>
            <w:pPr>
              <w:spacing w:after="0"/>
            </w:pPr>
            <w:r>
              <w:rPr>
                <w:sz w:val="18"/>
                <w:szCs w:val="18"/>
              </w:rPr>
              <w:t xml:space="preserve">Least-privilege intersection</w:t>
            </w:r>
          </w:p>
        </w:tc>
        <w:tc>
          <w:tcPr>
            <w:tcW w:type="dxa" w:w="6610"/>
            <w:tcMar>
              <w:top w:type="dxa" w:w="55"/>
              <w:left w:type="dxa" w:w="90"/>
              <w:bottom w:type="dxa" w:w="55"/>
              <w:right w:type="dxa" w:w="90"/>
            </w:tcMar>
          </w:tcPr>
          <w:p>
            <w:pPr>
              <w:spacing w:after="0"/>
            </w:pPr>
            <w:r>
              <w:rPr>
                <w:sz w:val="18"/>
                <w:szCs w:val="18"/>
              </w:rPr>
              <w:t xml:space="preserve">Effective permission = agent's grant ∩ acting human's entitlement — an agent never exceeds its human</w:t>
            </w:r>
          </w:p>
        </w:tc>
      </w:tr>
      <w:tr>
        <w:tc>
          <w:tcPr>
            <w:tcW w:type="dxa" w:w="486"/>
            <w:shd w:fill="F2F3F3" w:val="clear"/>
            <w:tcMar>
              <w:top w:type="dxa" w:w="55"/>
              <w:left w:type="dxa" w:w="90"/>
              <w:bottom w:type="dxa" w:w="55"/>
              <w:right w:type="dxa" w:w="90"/>
            </w:tcMar>
          </w:tcPr>
          <w:p>
            <w:pPr>
              <w:spacing w:after="0"/>
            </w:pPr>
            <w:r>
              <w:rPr>
                <w:sz w:val="18"/>
                <w:szCs w:val="18"/>
              </w:rPr>
              <w:t xml:space="preserve">4</w:t>
            </w:r>
          </w:p>
        </w:tc>
        <w:tc>
          <w:tcPr>
            <w:tcW w:type="dxa" w:w="2624"/>
            <w:shd w:fill="F2F3F3" w:val="clear"/>
            <w:tcMar>
              <w:top w:type="dxa" w:w="55"/>
              <w:left w:type="dxa" w:w="90"/>
              <w:bottom w:type="dxa" w:w="55"/>
              <w:right w:type="dxa" w:w="90"/>
            </w:tcMar>
          </w:tcPr>
          <w:p>
            <w:pPr>
              <w:spacing w:after="0"/>
            </w:pPr>
            <w:r>
              <w:rPr>
                <w:sz w:val="18"/>
                <w:szCs w:val="18"/>
              </w:rPr>
              <w:t xml:space="preserve">Bound, single-use SoD approval</w:t>
            </w:r>
          </w:p>
        </w:tc>
        <w:tc>
          <w:tcPr>
            <w:tcW w:type="dxa" w:w="6610"/>
            <w:shd w:fill="F2F3F3" w:val="clear"/>
            <w:tcMar>
              <w:top w:type="dxa" w:w="55"/>
              <w:left w:type="dxa" w:w="90"/>
              <w:bottom w:type="dxa" w:w="55"/>
              <w:right w:type="dxa" w:w="90"/>
            </w:tcMar>
          </w:tcPr>
          <w:p>
            <w:pPr>
              <w:spacing w:after="0"/>
            </w:pPr>
            <w:r>
              <w:rPr>
                <w:sz w:val="18"/>
                <w:szCs w:val="18"/>
              </w:rPr>
              <w:t xml:space="preserve">Consequential actions are withheld in code and require a second human; approvals are single-use and replay-rejected</w:t>
            </w:r>
          </w:p>
        </w:tc>
      </w:tr>
      <w:tr>
        <w:tc>
          <w:tcPr>
            <w:tcW w:type="dxa" w:w="486"/>
            <w:tcMar>
              <w:top w:type="dxa" w:w="55"/>
              <w:left w:type="dxa" w:w="90"/>
              <w:bottom w:type="dxa" w:w="55"/>
              <w:right w:type="dxa" w:w="90"/>
            </w:tcMar>
          </w:tcPr>
          <w:p>
            <w:pPr>
              <w:spacing w:after="0"/>
            </w:pPr>
            <w:r>
              <w:rPr>
                <w:sz w:val="18"/>
                <w:szCs w:val="18"/>
              </w:rPr>
              <w:t xml:space="preserve">5</w:t>
            </w:r>
          </w:p>
        </w:tc>
        <w:tc>
          <w:tcPr>
            <w:tcW w:type="dxa" w:w="2624"/>
            <w:tcMar>
              <w:top w:type="dxa" w:w="55"/>
              <w:left w:type="dxa" w:w="90"/>
              <w:bottom w:type="dxa" w:w="55"/>
              <w:right w:type="dxa" w:w="90"/>
            </w:tcMar>
          </w:tcPr>
          <w:p>
            <w:pPr>
              <w:spacing w:after="0"/>
            </w:pPr>
            <w:r>
              <w:rPr>
                <w:sz w:val="18"/>
                <w:szCs w:val="18"/>
              </w:rPr>
              <w:t xml:space="preserve">Fail-closed PII/PHI masking</w:t>
            </w:r>
          </w:p>
        </w:tc>
        <w:tc>
          <w:tcPr>
            <w:tcW w:type="dxa" w:w="6610"/>
            <w:tcMar>
              <w:top w:type="dxa" w:w="55"/>
              <w:left w:type="dxa" w:w="90"/>
              <w:bottom w:type="dxa" w:w="55"/>
              <w:right w:type="dxa" w:w="90"/>
            </w:tcMar>
          </w:tcPr>
          <w:p>
            <w:pPr>
              <w:spacing w:after="0"/>
            </w:pPr>
            <w:r>
              <w:rPr>
                <w:sz w:val="18"/>
                <w:szCs w:val="18"/>
              </w:rPr>
              <w:t xml:space="preserve">Sensitive fields are masked at the model and audit boundaries; a masker fault denies the call</w:t>
            </w:r>
          </w:p>
        </w:tc>
      </w:tr>
      <w:tr>
        <w:tc>
          <w:tcPr>
            <w:tcW w:type="dxa" w:w="486"/>
            <w:shd w:fill="F2F3F3" w:val="clear"/>
            <w:tcMar>
              <w:top w:type="dxa" w:w="55"/>
              <w:left w:type="dxa" w:w="90"/>
              <w:bottom w:type="dxa" w:w="55"/>
              <w:right w:type="dxa" w:w="90"/>
            </w:tcMar>
          </w:tcPr>
          <w:p>
            <w:pPr>
              <w:spacing w:after="0"/>
            </w:pPr>
            <w:r>
              <w:rPr>
                <w:sz w:val="18"/>
                <w:szCs w:val="18"/>
              </w:rPr>
              <w:t xml:space="preserve">6</w:t>
            </w:r>
          </w:p>
        </w:tc>
        <w:tc>
          <w:tcPr>
            <w:tcW w:type="dxa" w:w="2624"/>
            <w:shd w:fill="F2F3F3" w:val="clear"/>
            <w:tcMar>
              <w:top w:type="dxa" w:w="55"/>
              <w:left w:type="dxa" w:w="90"/>
              <w:bottom w:type="dxa" w:w="55"/>
              <w:right w:type="dxa" w:w="90"/>
            </w:tcMar>
          </w:tcPr>
          <w:p>
            <w:pPr>
              <w:spacing w:after="0"/>
            </w:pPr>
            <w:r>
              <w:rPr>
                <w:sz w:val="18"/>
                <w:szCs w:val="18"/>
              </w:rPr>
              <w:t xml:space="preserve">Append-only + WORM audit</w:t>
            </w:r>
          </w:p>
        </w:tc>
        <w:tc>
          <w:tcPr>
            <w:tcW w:type="dxa" w:w="6610"/>
            <w:shd w:fill="F2F3F3" w:val="clear"/>
            <w:tcMar>
              <w:top w:type="dxa" w:w="55"/>
              <w:left w:type="dxa" w:w="90"/>
              <w:bottom w:type="dxa" w:w="55"/>
              <w:right w:type="dxa" w:w="90"/>
            </w:tcMar>
          </w:tcPr>
          <w:p>
            <w:pPr>
              <w:spacing w:after="0"/>
            </w:pPr>
            <w:r>
              <w:rPr>
                <w:sz w:val="18"/>
                <w:szCs w:val="18"/>
              </w:rPr>
              <w:t xml:space="preserve">Hash-chained, immutable record of every decision — allow, deny, pending, error</w:t>
            </w:r>
          </w:p>
        </w:tc>
      </w:tr>
      <w:tr>
        <w:tc>
          <w:tcPr>
            <w:tcW w:type="dxa" w:w="486"/>
            <w:tcMar>
              <w:top w:type="dxa" w:w="55"/>
              <w:left w:type="dxa" w:w="90"/>
              <w:bottom w:type="dxa" w:w="55"/>
              <w:right w:type="dxa" w:w="90"/>
            </w:tcMar>
          </w:tcPr>
          <w:p>
            <w:pPr>
              <w:spacing w:after="0"/>
            </w:pPr>
            <w:r>
              <w:rPr>
                <w:sz w:val="18"/>
                <w:szCs w:val="18"/>
              </w:rPr>
              <w:t xml:space="preserve">7</w:t>
            </w:r>
          </w:p>
        </w:tc>
        <w:tc>
          <w:tcPr>
            <w:tcW w:type="dxa" w:w="2624"/>
            <w:tcMar>
              <w:top w:type="dxa" w:w="55"/>
              <w:left w:type="dxa" w:w="90"/>
              <w:bottom w:type="dxa" w:w="55"/>
              <w:right w:type="dxa" w:w="90"/>
            </w:tcMar>
          </w:tcPr>
          <w:p>
            <w:pPr>
              <w:spacing w:after="0"/>
            </w:pPr>
            <w:r>
              <w:rPr>
                <w:sz w:val="18"/>
                <w:szCs w:val="18"/>
              </w:rPr>
              <w:t xml:space="preserve">Token budgets</w:t>
            </w:r>
          </w:p>
        </w:tc>
        <w:tc>
          <w:tcPr>
            <w:tcW w:type="dxa" w:w="6610"/>
            <w:tcMar>
              <w:top w:type="dxa" w:w="55"/>
              <w:left w:type="dxa" w:w="90"/>
              <w:bottom w:type="dxa" w:w="55"/>
              <w:right w:type="dxa" w:w="90"/>
            </w:tcMar>
          </w:tcPr>
          <w:p>
            <w:pPr>
              <w:spacing w:after="0"/>
            </w:pPr>
            <w:r>
              <w:rPr>
                <w:sz w:val="18"/>
                <w:szCs w:val="18"/>
              </w:rPr>
              <w:t xml:space="preserve">Hard caps per agent with alerting and chargeback — runaway cost is a denied call, not a surprise invoice</w:t>
            </w:r>
          </w:p>
        </w:tc>
      </w:tr>
      <w:tr>
        <w:tc>
          <w:tcPr>
            <w:tcW w:type="dxa" w:w="486"/>
            <w:shd w:fill="F2F3F3" w:val="clear"/>
            <w:tcMar>
              <w:top w:type="dxa" w:w="55"/>
              <w:left w:type="dxa" w:w="90"/>
              <w:bottom w:type="dxa" w:w="55"/>
              <w:right w:type="dxa" w:w="90"/>
            </w:tcMar>
          </w:tcPr>
          <w:p>
            <w:pPr>
              <w:spacing w:after="0"/>
            </w:pPr>
            <w:r>
              <w:rPr>
                <w:sz w:val="18"/>
                <w:szCs w:val="18"/>
              </w:rPr>
              <w:t xml:space="preserve">8</w:t>
            </w:r>
          </w:p>
        </w:tc>
        <w:tc>
          <w:tcPr>
            <w:tcW w:type="dxa" w:w="2624"/>
            <w:shd w:fill="F2F3F3" w:val="clear"/>
            <w:tcMar>
              <w:top w:type="dxa" w:w="55"/>
              <w:left w:type="dxa" w:w="90"/>
              <w:bottom w:type="dxa" w:w="55"/>
              <w:right w:type="dxa" w:w="90"/>
            </w:tcMar>
          </w:tcPr>
          <w:p>
            <w:pPr>
              <w:spacing w:after="0"/>
            </w:pPr>
            <w:r>
              <w:rPr>
                <w:sz w:val="18"/>
                <w:szCs w:val="18"/>
              </w:rPr>
              <w:t xml:space="preserve">Grounded model gateway</w:t>
            </w:r>
          </w:p>
        </w:tc>
        <w:tc>
          <w:tcPr>
            <w:tcW w:type="dxa" w:w="6610"/>
            <w:shd w:fill="F2F3F3" w:val="clear"/>
            <w:tcMar>
              <w:top w:type="dxa" w:w="55"/>
              <w:left w:type="dxa" w:w="90"/>
              <w:bottom w:type="dxa" w:w="55"/>
              <w:right w:type="dxa" w:w="90"/>
            </w:tcMar>
          </w:tcPr>
          <w:p>
            <w:pPr>
              <w:spacing w:after="0"/>
            </w:pPr>
            <w:r>
              <w:rPr>
                <w:sz w:val="18"/>
                <w:szCs w:val="18"/>
              </w:rPr>
              <w:t xml:space="preserve">Model output is tied to declared knowledge sources with thresholds — answers cite their basis</w:t>
            </w:r>
          </w:p>
        </w:tc>
      </w:tr>
      <w:tr>
        <w:tc>
          <w:tcPr>
            <w:tcW w:type="dxa" w:w="486"/>
            <w:tcMar>
              <w:top w:type="dxa" w:w="55"/>
              <w:left w:type="dxa" w:w="90"/>
              <w:bottom w:type="dxa" w:w="55"/>
              <w:right w:type="dxa" w:w="90"/>
            </w:tcMar>
          </w:tcPr>
          <w:p>
            <w:pPr>
              <w:spacing w:after="0"/>
            </w:pPr>
            <w:r>
              <w:rPr>
                <w:sz w:val="18"/>
                <w:szCs w:val="18"/>
              </w:rPr>
              <w:t xml:space="preserve">9*</w:t>
            </w:r>
          </w:p>
        </w:tc>
        <w:tc>
          <w:tcPr>
            <w:tcW w:type="dxa" w:w="2624"/>
            <w:tcMar>
              <w:top w:type="dxa" w:w="55"/>
              <w:left w:type="dxa" w:w="90"/>
              <w:bottom w:type="dxa" w:w="55"/>
              <w:right w:type="dxa" w:w="90"/>
            </w:tcMar>
          </w:tcPr>
          <w:p>
            <w:pPr>
              <w:spacing w:after="0"/>
            </w:pPr>
            <w:r>
              <w:rPr>
                <w:sz w:val="18"/>
                <w:szCs w:val="18"/>
              </w:rPr>
              <w:t xml:space="preserve">Kill Switch (proposed v1.1)</w:t>
            </w:r>
          </w:p>
        </w:tc>
        <w:tc>
          <w:tcPr>
            <w:tcW w:type="dxa" w:w="6610"/>
            <w:tcMar>
              <w:top w:type="dxa" w:w="55"/>
              <w:left w:type="dxa" w:w="90"/>
              <w:bottom w:type="dxa" w:w="55"/>
              <w:right w:type="dxa" w:w="90"/>
            </w:tcMar>
          </w:tcPr>
          <w:p>
            <w:pPr>
              <w:spacing w:after="0"/>
            </w:pPr>
            <w:r>
              <w:rPr>
                <w:sz w:val="18"/>
                <w:szCs w:val="18"/>
              </w:rPr>
              <w:t xml:space="preserve">One command denies every agent action platform-wide, audited, with separation of duties on release</w:t>
            </w:r>
          </w:p>
        </w:tc>
      </w:tr>
    </w:tbl>
    <w:p>
      <w:pPr>
        <w:spacing w:after="130" w:line="295"/>
      </w:pPr>
      <w:r>
        <w:t xml:space="preserve"/>
      </w:r>
    </w:p>
    <w:p>
      <w:pPr>
        <w:pStyle w:val="Heading1"/>
        <w:spacing w:after="110" w:before="320"/>
      </w:pPr>
      <w:r>
        <w:rPr>
          <w:b/>
          <w:bCs/>
          <w:color w:val="1B2A3A"/>
        </w:rPr>
        <w:t xml:space="preserve">3 · The Component Map — AWS Services to Governance Controls</w:t>
      </w:r>
    </w:p>
    <w:p>
      <w:pPr>
        <w:spacing w:after="130" w:line="295"/>
      </w:pPr>
      <w:r>
        <w:t xml:space="preserve">This is the section that answers "we know AWS has the pieces — show us the assembly." Each control maps to generally available AWS services plus a thin platform layer that makes the behavior fail-closed and testable: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52"/>
        <w:gridCol w:w="3694"/>
        <w:gridCol w:w="4374"/>
      </w:tblGrid>
      <w:tr>
        <w:trPr>
          <w:tblHeader/>
        </w:trPr>
        <w:tc>
          <w:tcPr>
            <w:tcW w:type="dxa" w:w="1652"/>
            <w:shd w:fill="1B2A3A" w:val="clear"/>
            <w:tcMar>
              <w:top w:type="dxa" w:w="55"/>
              <w:left w:type="dxa" w:w="90"/>
              <w:bottom w:type="dxa" w:w="55"/>
              <w:right w:type="dxa" w:w="90"/>
            </w:tcMar>
          </w:tcPr>
          <w:p>
            <w:pPr>
              <w:spacing w:after="0"/>
            </w:pPr>
            <w:r>
              <w:rPr>
                <w:b/>
                <w:bCs/>
                <w:color w:val="FFFFFF"/>
                <w:sz w:val="18"/>
                <w:szCs w:val="18"/>
              </w:rPr>
              <w:t xml:space="preserve">AGP control</w:t>
            </w:r>
          </w:p>
        </w:tc>
        <w:tc>
          <w:tcPr>
            <w:tcW w:type="dxa" w:w="3694"/>
            <w:shd w:fill="1B2A3A" w:val="clear"/>
            <w:tcMar>
              <w:top w:type="dxa" w:w="55"/>
              <w:left w:type="dxa" w:w="90"/>
              <w:bottom w:type="dxa" w:w="55"/>
              <w:right w:type="dxa" w:w="90"/>
            </w:tcMar>
          </w:tcPr>
          <w:p>
            <w:pPr>
              <w:spacing w:after="0"/>
            </w:pPr>
            <w:r>
              <w:rPr>
                <w:b/>
                <w:bCs/>
                <w:color w:val="FFFFFF"/>
                <w:sz w:val="18"/>
                <w:szCs w:val="18"/>
              </w:rPr>
              <w:t xml:space="preserve">AWS services</w:t>
            </w:r>
          </w:p>
        </w:tc>
        <w:tc>
          <w:tcPr>
            <w:tcW w:type="dxa" w:w="4374"/>
            <w:shd w:fill="1B2A3A" w:val="clear"/>
            <w:tcMar>
              <w:top w:type="dxa" w:w="55"/>
              <w:left w:type="dxa" w:w="90"/>
              <w:bottom w:type="dxa" w:w="55"/>
              <w:right w:type="dxa" w:w="90"/>
            </w:tcMar>
          </w:tcPr>
          <w:p>
            <w:pPr>
              <w:spacing w:after="0"/>
            </w:pPr>
            <w:r>
              <w:rPr>
                <w:b/>
                <w:bCs/>
                <w:color w:val="FFFFFF"/>
                <w:sz w:val="18"/>
                <w:szCs w:val="18"/>
              </w:rPr>
              <w:t xml:space="preserve">What the platform layer adds</w:t>
            </w:r>
          </w:p>
        </w:tc>
      </w:tr>
      <w:tr>
        <w:tc>
          <w:tcPr>
            <w:tcW w:type="dxa" w:w="1652"/>
            <w:tcMar>
              <w:top w:type="dxa" w:w="55"/>
              <w:left w:type="dxa" w:w="90"/>
              <w:bottom w:type="dxa" w:w="55"/>
              <w:right w:type="dxa" w:w="90"/>
            </w:tcMar>
          </w:tcPr>
          <w:p>
            <w:pPr>
              <w:spacing w:after="0"/>
            </w:pPr>
            <w:r>
              <w:rPr>
                <w:sz w:val="18"/>
                <w:szCs w:val="18"/>
              </w:rPr>
              <w:t xml:space="preserve">1 · Identity</w:t>
            </w:r>
          </w:p>
        </w:tc>
        <w:tc>
          <w:tcPr>
            <w:tcW w:type="dxa" w:w="3694"/>
            <w:tcMar>
              <w:top w:type="dxa" w:w="55"/>
              <w:left w:type="dxa" w:w="90"/>
              <w:bottom w:type="dxa" w:w="55"/>
              <w:right w:type="dxa" w:w="90"/>
            </w:tcMar>
          </w:tcPr>
          <w:p>
            <w:pPr>
              <w:spacing w:after="0"/>
            </w:pPr>
            <w:r>
              <w:rPr>
                <w:sz w:val="18"/>
                <w:szCs w:val="18"/>
              </w:rPr>
              <w:t xml:space="preserve">Amazon Cognito or your IdP (Entra ID) federated in; AgentCore Identity</w:t>
            </w:r>
          </w:p>
        </w:tc>
        <w:tc>
          <w:tcPr>
            <w:tcW w:type="dxa" w:w="4374"/>
            <w:tcMar>
              <w:top w:type="dxa" w:w="55"/>
              <w:left w:type="dxa" w:w="90"/>
              <w:bottom w:type="dxa" w:w="55"/>
              <w:right w:type="dxa" w:w="90"/>
            </w:tcMar>
          </w:tcPr>
          <w:p>
            <w:pPr>
              <w:spacing w:after="0"/>
            </w:pPr>
            <w:r>
              <w:rPr>
                <w:sz w:val="18"/>
                <w:szCs w:val="18"/>
              </w:rPr>
              <w:t xml:space="preserve">JWT verification with algorithm-confusion guards; identity accepted only from verified claims</w:t>
            </w:r>
          </w:p>
        </w:tc>
      </w:tr>
      <w:tr>
        <w:tc>
          <w:tcPr>
            <w:tcW w:type="dxa" w:w="1652"/>
            <w:shd w:fill="F2F3F3" w:val="clear"/>
            <w:tcMar>
              <w:top w:type="dxa" w:w="55"/>
              <w:left w:type="dxa" w:w="90"/>
              <w:bottom w:type="dxa" w:w="55"/>
              <w:right w:type="dxa" w:w="90"/>
            </w:tcMar>
          </w:tcPr>
          <w:p>
            <w:pPr>
              <w:spacing w:after="0"/>
            </w:pPr>
            <w:r>
              <w:rPr>
                <w:sz w:val="18"/>
                <w:szCs w:val="18"/>
              </w:rPr>
              <w:t xml:space="preserve">2 · Tool gateway</w:t>
            </w:r>
          </w:p>
        </w:tc>
        <w:tc>
          <w:tcPr>
            <w:tcW w:type="dxa" w:w="3694"/>
            <w:shd w:fill="F2F3F3" w:val="clear"/>
            <w:tcMar>
              <w:top w:type="dxa" w:w="55"/>
              <w:left w:type="dxa" w:w="90"/>
              <w:bottom w:type="dxa" w:w="55"/>
              <w:right w:type="dxa" w:w="90"/>
            </w:tcMar>
          </w:tcPr>
          <w:p>
            <w:pPr>
              <w:spacing w:after="0"/>
            </w:pPr>
            <w:r>
              <w:rPr>
                <w:sz w:val="18"/>
                <w:szCs w:val="18"/>
              </w:rPr>
              <w:t xml:space="preserve">Amazon Bedrock AgentCore Gateway (MCP); API Gateway at the edge; AWS WAF</w:t>
            </w:r>
          </w:p>
        </w:tc>
        <w:tc>
          <w:tcPr>
            <w:tcW w:type="dxa" w:w="4374"/>
            <w:shd w:fill="F2F3F3" w:val="clear"/>
            <w:tcMar>
              <w:top w:type="dxa" w:w="55"/>
              <w:left w:type="dxa" w:w="90"/>
              <w:bottom w:type="dxa" w:w="55"/>
              <w:right w:type="dxa" w:w="90"/>
            </w:tcMar>
          </w:tcPr>
          <w:p>
            <w:pPr>
              <w:spacing w:after="0"/>
            </w:pPr>
            <w:r>
              <w:rPr>
                <w:sz w:val="18"/>
                <w:szCs w:val="18"/>
              </w:rPr>
              <w:t xml:space="preserve">Deny-by-default registration; per-tool targets rendered from the agent manifest</w:t>
            </w:r>
          </w:p>
        </w:tc>
      </w:tr>
      <w:tr>
        <w:tc>
          <w:tcPr>
            <w:tcW w:type="dxa" w:w="1652"/>
            <w:tcMar>
              <w:top w:type="dxa" w:w="55"/>
              <w:left w:type="dxa" w:w="90"/>
              <w:bottom w:type="dxa" w:w="55"/>
              <w:right w:type="dxa" w:w="90"/>
            </w:tcMar>
          </w:tcPr>
          <w:p>
            <w:pPr>
              <w:spacing w:after="0"/>
            </w:pPr>
            <w:r>
              <w:rPr>
                <w:sz w:val="18"/>
                <w:szCs w:val="18"/>
              </w:rPr>
              <w:t xml:space="preserve">3 · Authorization</w:t>
            </w:r>
          </w:p>
        </w:tc>
        <w:tc>
          <w:tcPr>
            <w:tcW w:type="dxa" w:w="3694"/>
            <w:tcMar>
              <w:top w:type="dxa" w:w="55"/>
              <w:left w:type="dxa" w:w="90"/>
              <w:bottom w:type="dxa" w:w="55"/>
              <w:right w:type="dxa" w:w="90"/>
            </w:tcMar>
          </w:tcPr>
          <w:p>
            <w:pPr>
              <w:spacing w:after="0"/>
            </w:pPr>
            <w:r>
              <w:rPr>
                <w:sz w:val="18"/>
                <w:szCs w:val="18"/>
              </w:rPr>
              <w:t xml:space="preserve">Cedar policies — AgentCore policy engine / Amazon Verified Permissions</w:t>
            </w:r>
          </w:p>
        </w:tc>
        <w:tc>
          <w:tcPr>
            <w:tcW w:type="dxa" w:w="4374"/>
            <w:tcMar>
              <w:top w:type="dxa" w:w="55"/>
              <w:left w:type="dxa" w:w="90"/>
              <w:bottom w:type="dxa" w:w="55"/>
              <w:right w:type="dxa" w:w="90"/>
            </w:tcMar>
          </w:tcPr>
          <w:p>
            <w:pPr>
              <w:spacing w:after="0"/>
            </w:pPr>
            <w:r>
              <w:rPr>
                <w:sz w:val="18"/>
                <w:szCs w:val="18"/>
              </w:rPr>
              <w:t xml:space="preserve">The agent∩human intersection model; policy faults fail closed</w:t>
            </w:r>
          </w:p>
        </w:tc>
      </w:tr>
      <w:tr>
        <w:tc>
          <w:tcPr>
            <w:tcW w:type="dxa" w:w="1652"/>
            <w:shd w:fill="F2F3F3" w:val="clear"/>
            <w:tcMar>
              <w:top w:type="dxa" w:w="55"/>
              <w:left w:type="dxa" w:w="90"/>
              <w:bottom w:type="dxa" w:w="55"/>
              <w:right w:type="dxa" w:w="90"/>
            </w:tcMar>
          </w:tcPr>
          <w:p>
            <w:pPr>
              <w:spacing w:after="0"/>
            </w:pPr>
            <w:r>
              <w:rPr>
                <w:sz w:val="18"/>
                <w:szCs w:val="18"/>
              </w:rPr>
              <w:t xml:space="preserve">4 · Human gate</w:t>
            </w:r>
          </w:p>
        </w:tc>
        <w:tc>
          <w:tcPr>
            <w:tcW w:type="dxa" w:w="3694"/>
            <w:shd w:fill="F2F3F3" w:val="clear"/>
            <w:tcMar>
              <w:top w:type="dxa" w:w="55"/>
              <w:left w:type="dxa" w:w="90"/>
              <w:bottom w:type="dxa" w:w="55"/>
              <w:right w:type="dxa" w:w="90"/>
            </w:tcMar>
          </w:tcPr>
          <w:p>
            <w:pPr>
              <w:spacing w:after="0"/>
            </w:pPr>
            <w:r>
              <w:rPr>
                <w:sz w:val="18"/>
                <w:szCs w:val="18"/>
              </w:rPr>
              <w:t xml:space="preserve">AWS Step Functions (waitForTaskToken); Amazon SNS notifications</w:t>
            </w:r>
          </w:p>
        </w:tc>
        <w:tc>
          <w:tcPr>
            <w:tcW w:type="dxa" w:w="4374"/>
            <w:shd w:fill="F2F3F3" w:val="clear"/>
            <w:tcMar>
              <w:top w:type="dxa" w:w="55"/>
              <w:left w:type="dxa" w:w="90"/>
              <w:bottom w:type="dxa" w:w="55"/>
              <w:right w:type="dxa" w:w="90"/>
            </w:tcMar>
          </w:tcPr>
          <w:p>
            <w:pPr>
              <w:spacing w:after="0"/>
            </w:pPr>
            <w:r>
              <w:rPr>
                <w:sz w:val="18"/>
                <w:szCs w:val="18"/>
              </w:rPr>
              <w:t xml:space="preserve">Approval ledger: bound to agent+tool, single-use, TTL'd, replay-rejected, SoD-enforced</w:t>
            </w:r>
          </w:p>
        </w:tc>
      </w:tr>
      <w:tr>
        <w:tc>
          <w:tcPr>
            <w:tcW w:type="dxa" w:w="1652"/>
            <w:tcMar>
              <w:top w:type="dxa" w:w="55"/>
              <w:left w:type="dxa" w:w="90"/>
              <w:bottom w:type="dxa" w:w="55"/>
              <w:right w:type="dxa" w:w="90"/>
            </w:tcMar>
          </w:tcPr>
          <w:p>
            <w:pPr>
              <w:spacing w:after="0"/>
            </w:pPr>
            <w:r>
              <w:rPr>
                <w:sz w:val="18"/>
                <w:szCs w:val="18"/>
              </w:rPr>
              <w:t xml:space="preserve">5 · Masking</w:t>
            </w:r>
          </w:p>
        </w:tc>
        <w:tc>
          <w:tcPr>
            <w:tcW w:type="dxa" w:w="3694"/>
            <w:tcMar>
              <w:top w:type="dxa" w:w="55"/>
              <w:left w:type="dxa" w:w="90"/>
              <w:bottom w:type="dxa" w:w="55"/>
              <w:right w:type="dxa" w:w="90"/>
            </w:tcMar>
          </w:tcPr>
          <w:p>
            <w:pPr>
              <w:spacing w:after="0"/>
            </w:pPr>
            <w:r>
              <w:rPr>
                <w:sz w:val="18"/>
                <w:szCs w:val="18"/>
              </w:rPr>
              <w:t xml:space="preserve">Amazon Bedrock Guardrails (PII anonymize + prompt-attack); Amazon Comprehend</w:t>
            </w:r>
          </w:p>
        </w:tc>
        <w:tc>
          <w:tcPr>
            <w:tcW w:type="dxa" w:w="4374"/>
            <w:tcMar>
              <w:top w:type="dxa" w:w="55"/>
              <w:left w:type="dxa" w:w="90"/>
              <w:bottom w:type="dxa" w:w="55"/>
              <w:right w:type="dxa" w:w="90"/>
            </w:tcMar>
          </w:tcPr>
          <w:p>
            <w:pPr>
              <w:spacing w:after="0"/>
            </w:pPr>
            <w:r>
              <w:rPr>
                <w:sz w:val="18"/>
                <w:szCs w:val="18"/>
              </w:rPr>
              <w:t xml:space="preserve">Boundary masking that denies on masker failure; pass-by-reference so raw data never rides the prompt</w:t>
            </w:r>
          </w:p>
        </w:tc>
      </w:tr>
      <w:tr>
        <w:tc>
          <w:tcPr>
            <w:tcW w:type="dxa" w:w="1652"/>
            <w:shd w:fill="F2F3F3" w:val="clear"/>
            <w:tcMar>
              <w:top w:type="dxa" w:w="55"/>
              <w:left w:type="dxa" w:w="90"/>
              <w:bottom w:type="dxa" w:w="55"/>
              <w:right w:type="dxa" w:w="90"/>
            </w:tcMar>
          </w:tcPr>
          <w:p>
            <w:pPr>
              <w:spacing w:after="0"/>
            </w:pPr>
            <w:r>
              <w:rPr>
                <w:sz w:val="18"/>
                <w:szCs w:val="18"/>
              </w:rPr>
              <w:t xml:space="preserve">6 · Audit</w:t>
            </w:r>
          </w:p>
        </w:tc>
        <w:tc>
          <w:tcPr>
            <w:tcW w:type="dxa" w:w="3694"/>
            <w:shd w:fill="F2F3F3" w:val="clear"/>
            <w:tcMar>
              <w:top w:type="dxa" w:w="55"/>
              <w:left w:type="dxa" w:w="90"/>
              <w:bottom w:type="dxa" w:w="55"/>
              <w:right w:type="dxa" w:w="90"/>
            </w:tcMar>
          </w:tcPr>
          <w:p>
            <w:pPr>
              <w:spacing w:after="0"/>
            </w:pPr>
            <w:r>
              <w:rPr>
                <w:sz w:val="18"/>
                <w:szCs w:val="18"/>
              </w:rPr>
              <w:t xml:space="preserve">Amazon DynamoDB; Amazon S3 with Object Lock (WORM); AWS CloudTrail</w:t>
            </w:r>
          </w:p>
        </w:tc>
        <w:tc>
          <w:tcPr>
            <w:tcW w:type="dxa" w:w="4374"/>
            <w:shd w:fill="F2F3F3" w:val="clear"/>
            <w:tcMar>
              <w:top w:type="dxa" w:w="55"/>
              <w:left w:type="dxa" w:w="90"/>
              <w:bottom w:type="dxa" w:w="55"/>
              <w:right w:type="dxa" w:w="90"/>
            </w:tcMar>
          </w:tcPr>
          <w:p>
            <w:pPr>
              <w:spacing w:after="0"/>
            </w:pPr>
            <w:r>
              <w:rPr>
                <w:sz w:val="18"/>
                <w:szCs w:val="18"/>
              </w:rPr>
              <w:t xml:space="preserve">Hash-chained append-only ledger; mutation raises; WORM evidence export</w:t>
            </w:r>
          </w:p>
        </w:tc>
      </w:tr>
      <w:tr>
        <w:tc>
          <w:tcPr>
            <w:tcW w:type="dxa" w:w="1652"/>
            <w:tcMar>
              <w:top w:type="dxa" w:w="55"/>
              <w:left w:type="dxa" w:w="90"/>
              <w:bottom w:type="dxa" w:w="55"/>
              <w:right w:type="dxa" w:w="90"/>
            </w:tcMar>
          </w:tcPr>
          <w:p>
            <w:pPr>
              <w:spacing w:after="0"/>
            </w:pPr>
            <w:r>
              <w:rPr>
                <w:sz w:val="18"/>
                <w:szCs w:val="18"/>
              </w:rPr>
              <w:t xml:space="preserve">7 · Budgets / FinOps</w:t>
            </w:r>
          </w:p>
        </w:tc>
        <w:tc>
          <w:tcPr>
            <w:tcW w:type="dxa" w:w="3694"/>
            <w:tcMar>
              <w:top w:type="dxa" w:w="55"/>
              <w:left w:type="dxa" w:w="90"/>
              <w:bottom w:type="dxa" w:w="55"/>
              <w:right w:type="dxa" w:w="90"/>
            </w:tcMar>
          </w:tcPr>
          <w:p>
            <w:pPr>
              <w:spacing w:after="0"/>
            </w:pPr>
            <w:r>
              <w:rPr>
                <w:sz w:val="18"/>
                <w:szCs w:val="18"/>
              </w:rPr>
              <w:t xml:space="preserve">Bedrock application inference profiles; Amazon CloudWatch</w:t>
            </w:r>
          </w:p>
        </w:tc>
        <w:tc>
          <w:tcPr>
            <w:tcW w:type="dxa" w:w="4374"/>
            <w:tcMar>
              <w:top w:type="dxa" w:w="55"/>
              <w:left w:type="dxa" w:w="90"/>
              <w:bottom w:type="dxa" w:w="55"/>
              <w:right w:type="dxa" w:w="90"/>
            </w:tcMar>
          </w:tcPr>
          <w:p>
            <w:pPr>
              <w:spacing w:after="0"/>
            </w:pPr>
            <w:r>
              <w:rPr>
                <w:sz w:val="18"/>
                <w:szCs w:val="18"/>
              </w:rPr>
              <w:t xml:space="preserve">Per-agent meters with hard-cap preflight, alert thresholds, chargeback reports</w:t>
            </w:r>
          </w:p>
        </w:tc>
      </w:tr>
      <w:tr>
        <w:tc>
          <w:tcPr>
            <w:tcW w:type="dxa" w:w="1652"/>
            <w:shd w:fill="F2F3F3" w:val="clear"/>
            <w:tcMar>
              <w:top w:type="dxa" w:w="55"/>
              <w:left w:type="dxa" w:w="90"/>
              <w:bottom w:type="dxa" w:w="55"/>
              <w:right w:type="dxa" w:w="90"/>
            </w:tcMar>
          </w:tcPr>
          <w:p>
            <w:pPr>
              <w:spacing w:after="0"/>
            </w:pPr>
            <w:r>
              <w:rPr>
                <w:sz w:val="18"/>
                <w:szCs w:val="18"/>
              </w:rPr>
              <w:t xml:space="preserve">8 · Grounding</w:t>
            </w:r>
          </w:p>
        </w:tc>
        <w:tc>
          <w:tcPr>
            <w:tcW w:type="dxa" w:w="3694"/>
            <w:shd w:fill="F2F3F3" w:val="clear"/>
            <w:tcMar>
              <w:top w:type="dxa" w:w="55"/>
              <w:left w:type="dxa" w:w="90"/>
              <w:bottom w:type="dxa" w:w="55"/>
              <w:right w:type="dxa" w:w="90"/>
            </w:tcMar>
          </w:tcPr>
          <w:p>
            <w:pPr>
              <w:spacing w:after="0"/>
            </w:pPr>
            <w:r>
              <w:rPr>
                <w:sz w:val="18"/>
                <w:szCs w:val="18"/>
              </w:rPr>
              <w:t xml:space="preserve">Amazon Bedrock (models + Knowledge Bases)</w:t>
            </w:r>
          </w:p>
        </w:tc>
        <w:tc>
          <w:tcPr>
            <w:tcW w:type="dxa" w:w="4374"/>
            <w:shd w:fill="F2F3F3" w:val="clear"/>
            <w:tcMar>
              <w:top w:type="dxa" w:w="55"/>
              <w:left w:type="dxa" w:w="90"/>
              <w:bottom w:type="dxa" w:w="55"/>
              <w:right w:type="dxa" w:w="90"/>
            </w:tcMar>
          </w:tcPr>
          <w:p>
            <w:pPr>
              <w:spacing w:after="0"/>
            </w:pPr>
            <w:r>
              <w:rPr>
                <w:sz w:val="18"/>
                <w:szCs w:val="18"/>
              </w:rPr>
              <w:t xml:space="preserve">Model gateway that enforces declared grounding source and thresholds per manifest</w:t>
            </w:r>
          </w:p>
        </w:tc>
      </w:tr>
      <w:tr>
        <w:tc>
          <w:tcPr>
            <w:tcW w:type="dxa" w:w="1652"/>
            <w:tcMar>
              <w:top w:type="dxa" w:w="55"/>
              <w:left w:type="dxa" w:w="90"/>
              <w:bottom w:type="dxa" w:w="55"/>
              <w:right w:type="dxa" w:w="90"/>
            </w:tcMar>
          </w:tcPr>
          <w:p>
            <w:pPr>
              <w:spacing w:after="0"/>
            </w:pPr>
            <w:r>
              <w:rPr>
                <w:sz w:val="18"/>
                <w:szCs w:val="18"/>
              </w:rPr>
              <w:t xml:space="preserve">9 · Kill Switch</w:t>
            </w:r>
          </w:p>
        </w:tc>
        <w:tc>
          <w:tcPr>
            <w:tcW w:type="dxa" w:w="3694"/>
            <w:tcMar>
              <w:top w:type="dxa" w:w="55"/>
              <w:left w:type="dxa" w:w="90"/>
              <w:bottom w:type="dxa" w:w="55"/>
              <w:right w:type="dxa" w:w="90"/>
            </w:tcMar>
          </w:tcPr>
          <w:p>
            <w:pPr>
              <w:spacing w:after="0"/>
            </w:pPr>
            <w:r>
              <w:rPr>
                <w:sz w:val="18"/>
                <w:szCs w:val="18"/>
              </w:rPr>
              <w:t xml:space="preserve">AWS Systems Manager Parameter Store; IAM (two-role SoD); KMS</w:t>
            </w:r>
          </w:p>
        </w:tc>
        <w:tc>
          <w:tcPr>
            <w:tcW w:type="dxa" w:w="4374"/>
            <w:tcMar>
              <w:top w:type="dxa" w:w="55"/>
              <w:left w:type="dxa" w:w="90"/>
              <w:bottom w:type="dxa" w:w="55"/>
              <w:right w:type="dxa" w:w="90"/>
            </w:tcMar>
          </w:tcPr>
          <w:p>
            <w:pPr>
              <w:spacing w:after="0"/>
            </w:pPr>
            <w:r>
              <w:rPr>
                <w:sz w:val="18"/>
                <w:szCs w:val="18"/>
              </w:rPr>
              <w:t xml:space="preserve">Gateway-first deny-all check; audited engage/disengage; quarterly drill procedure</w:t>
            </w:r>
          </w:p>
        </w:tc>
      </w:tr>
      <w:tr>
        <w:tc>
          <w:tcPr>
            <w:tcW w:type="dxa" w:w="1652"/>
            <w:shd w:fill="F2F3F3" w:val="clear"/>
            <w:tcMar>
              <w:top w:type="dxa" w:w="55"/>
              <w:left w:type="dxa" w:w="90"/>
              <w:bottom w:type="dxa" w:w="55"/>
              <w:right w:type="dxa" w:w="90"/>
            </w:tcMar>
          </w:tcPr>
          <w:p>
            <w:pPr>
              <w:spacing w:after="0"/>
            </w:pPr>
            <w:r>
              <w:rPr>
                <w:sz w:val="18"/>
                <w:szCs w:val="18"/>
              </w:rPr>
              <w:t xml:space="preserve">Observability</w:t>
            </w:r>
          </w:p>
        </w:tc>
        <w:tc>
          <w:tcPr>
            <w:tcW w:type="dxa" w:w="3694"/>
            <w:shd w:fill="F2F3F3" w:val="clear"/>
            <w:tcMar>
              <w:top w:type="dxa" w:w="55"/>
              <w:left w:type="dxa" w:w="90"/>
              <w:bottom w:type="dxa" w:w="55"/>
              <w:right w:type="dxa" w:w="90"/>
            </w:tcMar>
          </w:tcPr>
          <w:p>
            <w:pPr>
              <w:spacing w:after="0"/>
            </w:pPr>
            <w:r>
              <w:rPr>
                <w:sz w:val="18"/>
                <w:szCs w:val="18"/>
              </w:rPr>
              <w:t xml:space="preserve">Amazon CloudWatch dashboards + alarms; AgentCore observability</w:t>
            </w:r>
          </w:p>
        </w:tc>
        <w:tc>
          <w:tcPr>
            <w:tcW w:type="dxa" w:w="4374"/>
            <w:shd w:fill="F2F3F3" w:val="clear"/>
            <w:tcMar>
              <w:top w:type="dxa" w:w="55"/>
              <w:left w:type="dxa" w:w="90"/>
              <w:bottom w:type="dxa" w:w="55"/>
              <w:right w:type="dxa" w:w="90"/>
            </w:tcMar>
          </w:tcPr>
          <w:p>
            <w:pPr>
              <w:spacing w:after="0"/>
            </w:pPr>
            <w:r>
              <w:rPr>
                <w:sz w:val="18"/>
                <w:szCs w:val="18"/>
              </w:rPr>
              <w:t xml:space="preserve">Operator console; per-agent traces; guardrail-intervention and deny-rate metrics</w:t>
            </w:r>
          </w:p>
        </w:tc>
      </w:tr>
    </w:tbl>
    <w:p>
      <w:pPr>
        <w:spacing w:after="130" w:line="295"/>
      </w:pPr>
      <w:r>
        <w:t xml:space="preserve"/>
      </w:r>
    </w:p>
    <w:p>
      <w:pPr>
        <w:pBdr>
          <w:left w:val="single" w:color="C88A00" w:sz="14" w:space="6"/>
        </w:pBdr>
        <w:spacing w:after="125"/>
        <w:ind w:left="576"/>
      </w:pPr>
      <w:r>
        <w:rPr>
          <w:b/>
          <w:bCs/>
          <w:color w:val="8A5A00"/>
          <w:sz w:val="19"/>
          <w:szCs w:val="19"/>
        </w:rPr>
        <w:t xml:space="preserve">Key point: </w:t>
      </w:r>
      <w:r>
        <w:rPr>
          <w:color w:val="3D3D3D"/>
          <w:sz w:val="19"/>
          <w:szCs w:val="19"/>
        </w:rPr>
        <w:t xml:space="preserve">Managed-first is the direction of travel: capabilities that began as platform code (the gateway, the Cedar policy engine) now have managed AgentCore equivalents, and the platform layer keeps shrinking toward manifests, policies, and tests — the parts that encode YOUR governance. The platform is HIPAA-eligible-stack compatible: AgentCore, Bedrock, and the supporting services above are available under an AWS BAA where required.</w:t>
      </w:r>
    </w:p>
    <w:p>
      <w:pPr>
        <w:pStyle w:val="Heading1"/>
        <w:spacing w:after="110" w:before="320"/>
      </w:pPr>
      <w:r>
        <w:rPr>
          <w:b/>
          <w:bCs/>
          <w:color w:val="1B2A3A"/>
        </w:rPr>
        <w:t xml:space="preserve">4 · What Makes It Trustworthy (Not Just Architected)</w:t>
      </w:r>
    </w:p>
    <w:p>
      <w:pPr>
        <w:pStyle w:val="ListParagraph"/>
        <w:numPr>
          <w:ilvl w:val="0"/>
          <w:numId w:val="2"/>
        </w:numPr>
        <w:spacing w:after="75" w:line="280"/>
      </w:pPr>
      <w:r>
        <w:rPr>
          <w:b/>
          <w:bCs/>
        </w:rPr>
        <w:t xml:space="preserve">Negative-tested, continuously. </w:t>
      </w:r>
      <w:r>
        <w:t xml:space="preserve">55 offline tests prove the fail-closed behaviors — unauthorized tool denied, wrong data class denied, self-approval blocked, replay rejected, masker fault denies, audit mutation raises, kill switch outranks approvals. CI refuses a build that skips any suite, and a drift-checker refuses prose that overstates the test count.</w:t>
      </w:r>
    </w:p>
    <w:p>
      <w:pPr>
        <w:pStyle w:val="ListParagraph"/>
        <w:numPr>
          <w:ilvl w:val="0"/>
          <w:numId w:val="2"/>
        </w:numPr>
        <w:spacing w:after="75" w:line="280"/>
      </w:pPr>
      <w:r>
        <w:rPr>
          <w:b/>
          <w:bCs/>
        </w:rPr>
        <w:t xml:space="preserve">An honesty boundary in writing. </w:t>
      </w:r>
      <w:r>
        <w:t xml:space="preserve">The repository ships NOT-CLAIMS / DO-NOT-CLAIM documents and a machine-readable maturity file that governs every claim — reviewers see what is proven, what is stubbed, and what is future work, before they're asked to trust anything.</w:t>
      </w:r>
    </w:p>
    <w:p>
      <w:pPr>
        <w:pStyle w:val="ListParagraph"/>
        <w:numPr>
          <w:ilvl w:val="0"/>
          <w:numId w:val="2"/>
        </w:numPr>
        <w:spacing w:after="75" w:line="280"/>
      </w:pPr>
      <w:r>
        <w:rPr>
          <w:b/>
          <w:bCs/>
        </w:rPr>
        <w:t xml:space="preserve">Live-validated pattern. </w:t>
      </w:r>
      <w:r>
        <w:t xml:space="preserve">The governance core and the vertical agents have been deployed and exercised in clean AWS accounts, with runtime evidence (deploy, invoke, prove logs) retained in the evidence pack.</w:t>
      </w:r>
    </w:p>
    <w:p>
      <w:pPr>
        <w:pStyle w:val="ListParagraph"/>
        <w:numPr>
          <w:ilvl w:val="0"/>
          <w:numId w:val="2"/>
        </w:numPr>
        <w:spacing w:after="75" w:line="280"/>
      </w:pPr>
      <w:r>
        <w:rPr>
          <w:b/>
          <w:bCs/>
        </w:rPr>
        <w:t xml:space="preserve">A named containment control. </w:t>
      </w:r>
      <w:r>
        <w:t xml:space="preserve">The Kill Switch is one command — engage denies everything, audited; release requires a different human. It is drilled, not just documented.</w:t>
      </w:r>
    </w:p>
    <w:p>
      <w:pPr>
        <w:pStyle w:val="Heading1"/>
        <w:spacing w:after="110" w:before="320"/>
      </w:pPr>
      <w:r>
        <w:rPr>
          <w:b/>
          <w:bCs/>
          <w:color w:val="1B2A3A"/>
        </w:rPr>
        <w:t xml:space="preserve">5 · Onboarding an Agent — the Minimum Bar</w:t>
      </w:r>
    </w:p>
    <w:p>
      <w:pPr>
        <w:spacing w:after="130" w:line="295"/>
      </w:pPr>
      <w:r>
        <w:t xml:space="preserve">Any agent — first-party or vendor add-on — clears the same nine gates before it can touch a system of record. These are CI-enforced gates, not guidelines:</w:t>
      </w:r>
    </w:p>
    <w:p>
      <w:pPr>
        <w:pStyle w:val="ListParagraph"/>
        <w:numPr>
          <w:ilvl w:val="0"/>
          <w:numId w:val="3"/>
        </w:numPr>
        <w:spacing w:after="85" w:line="285"/>
      </w:pPr>
      <w:r>
        <w:rPr>
          <w:b/>
          <w:bCs/>
        </w:rPr>
        <w:t xml:space="preserve">Declared scope, nothing more — </w:t>
      </w:r>
      <w:r>
        <w:t xml:space="preserve">the manifest enumerates every tool and data class; static analysis diffs code against manifest; the gateway denies the undeclared at runtime.</w:t>
      </w:r>
    </w:p>
    <w:p>
      <w:pPr>
        <w:pStyle w:val="ListParagraph"/>
        <w:numPr>
          <w:ilvl w:val="0"/>
          <w:numId w:val="3"/>
        </w:numPr>
        <w:spacing w:after="85" w:line="285"/>
      </w:pPr>
      <w:r>
        <w:rPr>
          <w:b/>
          <w:bCs/>
        </w:rPr>
        <w:t xml:space="preserve">Consequential actions withheld in code — </w:t>
      </w:r>
      <w:r>
        <w:t xml:space="preserve">issue/adjudicate/award actions exist only behind the human gate; "can the AI act alone?" is answerably no.</w:t>
      </w:r>
    </w:p>
    <w:p>
      <w:pPr>
        <w:pStyle w:val="ListParagraph"/>
        <w:numPr>
          <w:ilvl w:val="0"/>
          <w:numId w:val="3"/>
        </w:numPr>
        <w:spacing w:after="85" w:line="285"/>
      </w:pPr>
      <w:r>
        <w:rPr>
          <w:b/>
          <w:bCs/>
        </w:rPr>
        <w:t xml:space="preserve">A bound, single-use, separation-of-duties human gate.</w:t>
      </w:r>
    </w:p>
    <w:p>
      <w:pPr>
        <w:pStyle w:val="ListParagraph"/>
        <w:numPr>
          <w:ilvl w:val="0"/>
          <w:numId w:val="3"/>
        </w:numPr>
        <w:spacing w:after="85" w:line="285"/>
      </w:pPr>
      <w:r>
        <w:rPr>
          <w:b/>
          <w:bCs/>
        </w:rPr>
        <w:t xml:space="preserve">A declared grounding source and threshold.</w:t>
      </w:r>
    </w:p>
    <w:p>
      <w:pPr>
        <w:pStyle w:val="ListParagraph"/>
        <w:numPr>
          <w:ilvl w:val="0"/>
          <w:numId w:val="3"/>
        </w:numPr>
        <w:spacing w:after="85" w:line="285"/>
      </w:pPr>
      <w:r>
        <w:rPr>
          <w:b/>
          <w:bCs/>
        </w:rPr>
        <w:t xml:space="preserve">A token budget with a hard cap and an inference profile.</w:t>
      </w:r>
    </w:p>
    <w:p>
      <w:pPr>
        <w:pStyle w:val="ListParagraph"/>
        <w:numPr>
          <w:ilvl w:val="0"/>
          <w:numId w:val="3"/>
        </w:numPr>
        <w:spacing w:after="85" w:line="285"/>
      </w:pPr>
      <w:r>
        <w:rPr>
          <w:b/>
          <w:bCs/>
        </w:rPr>
        <w:t xml:space="preserve">An eval suite that passes at the declared rate.</w:t>
      </w:r>
    </w:p>
    <w:p>
      <w:pPr>
        <w:pStyle w:val="ListParagraph"/>
        <w:numPr>
          <w:ilvl w:val="0"/>
          <w:numId w:val="3"/>
        </w:numPr>
        <w:spacing w:after="85" w:line="285"/>
      </w:pPr>
      <w:r>
        <w:rPr>
          <w:b/>
          <w:bCs/>
        </w:rPr>
        <w:t xml:space="preserve">Masking on for every declared data class, fail-closed.</w:t>
      </w:r>
    </w:p>
    <w:p>
      <w:pPr>
        <w:pStyle w:val="ListParagraph"/>
        <w:numPr>
          <w:ilvl w:val="0"/>
          <w:numId w:val="3"/>
        </w:numPr>
        <w:spacing w:after="85" w:line="285"/>
      </w:pPr>
      <w:r>
        <w:rPr>
          <w:b/>
          <w:bCs/>
        </w:rPr>
        <w:t xml:space="preserve">A manifest signed by a known publisher.</w:t>
      </w:r>
    </w:p>
    <w:p>
      <w:pPr>
        <w:pStyle w:val="ListParagraph"/>
        <w:numPr>
          <w:ilvl w:val="0"/>
          <w:numId w:val="3"/>
        </w:numPr>
        <w:spacing w:after="85" w:line="285"/>
      </w:pPr>
      <w:r>
        <w:rPr>
          <w:b/>
          <w:bCs/>
        </w:rPr>
        <w:t xml:space="preserve">Pack compatibility — </w:t>
      </w:r>
      <w:r>
        <w:t xml:space="preserve">the agent declares which vertical compliance pack (SLG, EDU, healthcare, life sciences) it conforms to.</w:t>
      </w:r>
    </w:p>
    <w:p>
      <w:pPr>
        <w:spacing w:after="130" w:line="295"/>
      </w:pPr>
      <w:r>
        <w:t xml:space="preserve">Clearing the bar is what makes an agent portable: it inherits the customer's identity, data classes, guardrails, budgets, and audit with no per-customer governance rebuild. The proof exists in four working agents — benefits eligibility (SLG), financial aid (EDU), housing eligibility (SLG), and pharmacovigilance (life sciences) — each a manifest, a Cedar policy set, tools, and tests on the identical template. A customer-delivery gate additionally blocks placeholder credentials, demo-grade audit retention, and unsigned manifests from ever reaching a customer environment.</w:t>
      </w:r>
    </w:p>
    <w:p>
      <w:pPr>
        <w:pStyle w:val="Heading1"/>
        <w:spacing w:after="110" w:before="320"/>
      </w:pPr>
      <w:r>
        <w:rPr>
          <w:b/>
          <w:bCs/>
          <w:color w:val="1B2A3A"/>
        </w:rPr>
        <w:t xml:space="preserve">6 · How It Deploys</w:t>
      </w:r>
    </w:p>
    <w:p>
      <w:pPr>
        <w:pStyle w:val="ListParagraph"/>
        <w:numPr>
          <w:ilvl w:val="0"/>
          <w:numId w:val="4"/>
        </w:numPr>
        <w:spacing w:after="85" w:line="285"/>
      </w:pPr>
      <w:r>
        <w:rPr>
          <w:b/>
          <w:bCs/>
        </w:rPr>
        <w:t xml:space="preserve">Governance core </w:t>
      </w:r>
      <w:r>
        <w:t xml:space="preserve">deploys from infrastructure-as-code (Terraform modules, commercial and GovCloud environment variants) into the customer's own AWS account — identity, gateway, policy engine, audit, budgets, observability.</w:t>
      </w:r>
    </w:p>
    <w:p>
      <w:pPr>
        <w:pStyle w:val="ListParagraph"/>
        <w:numPr>
          <w:ilvl w:val="0"/>
          <w:numId w:val="4"/>
        </w:numPr>
        <w:spacing w:after="85" w:line="285"/>
      </w:pPr>
      <w:r>
        <w:rPr>
          <w:b/>
          <w:bCs/>
        </w:rPr>
        <w:t xml:space="preserve">Each agent </w:t>
      </w:r>
      <w:r>
        <w:t xml:space="preserve">deploys as four small CDK stacks — identity, gateway, data, compute — rendered from its manifest. Same shape every time; onboarding a new agent is authoring a manifest and policies, not building infrastructure.</w:t>
      </w:r>
    </w:p>
    <w:p>
      <w:pPr>
        <w:pStyle w:val="ListParagraph"/>
        <w:numPr>
          <w:ilvl w:val="0"/>
          <w:numId w:val="4"/>
        </w:numPr>
        <w:spacing w:after="85" w:line="285"/>
      </w:pPr>
      <w:r>
        <w:rPr>
          <w:b/>
          <w:bCs/>
        </w:rPr>
        <w:t xml:space="preserve">Operations </w:t>
      </w:r>
      <w:r>
        <w:t xml:space="preserve">hand off with a runbook set: deployment runbook, incident response (kill switch first), key management, runtime-evidence procedure, and a production-readiness RACI that names what the customer owns on day 2.</w:t>
      </w:r>
    </w:p>
    <w:p>
      <w:pPr>
        <w:pStyle w:val="Heading1"/>
        <w:spacing w:after="110" w:before="320"/>
      </w:pPr>
      <w:r>
        <w:rPr>
          <w:b/>
          <w:bCs/>
          <w:color w:val="1B2A3A"/>
        </w:rPr>
        <w:t xml:space="preserve">7 · What It Costs</w:t>
      </w:r>
    </w:p>
    <w:p>
      <w:pPr>
        <w:spacing w:after="130" w:line="295"/>
      </w:pPr>
      <w:r>
        <w:rPr>
          <w:b/>
          <w:bCs/>
        </w:rPr>
        <w:t xml:space="preserve">The platform is serverless and thin — the dominant variable cost is model inference itself, which you would pay with or without governance. </w:t>
      </w:r>
      <w:r>
        <w:t xml:space="preserve">The always-on platform floor is modest (PrivateLink endpoints, keys, dashboards — typically hundreds of dollars a month at pilot scale, not thousands), and everything else scales per-request: gateway calls, Lambda, Step Functions transitions, DynamoDB writes, Guardrails evaluations, S3/WORM audit storage. The repository carries a line-item run-cost model (AWS-RUN-COST.md, with a fillable calculator) listing every service the pattern uses and what each scales with, plus an ROI worksheet for the value side. Two honest cost notes buyers should hear: the biggest lever is model choice and prompt size, not the governance layer; and the second-largest real cost is human approval time — which is a governance feature working, not overhead.</w:t>
      </w:r>
    </w:p>
    <w:p>
      <w:pPr>
        <w:pStyle w:val="Heading1"/>
        <w:spacing w:after="110" w:before="320"/>
      </w:pPr>
      <w:r>
        <w:rPr>
          <w:b/>
          <w:bCs/>
          <w:color w:val="1B2A3A"/>
        </w:rPr>
        <w:t xml:space="preserve">8 · Why Platform-First Is the Cheaper Path</w:t>
      </w:r>
    </w:p>
    <w:p>
      <w:pPr>
        <w:spacing w:after="130" w:line="295"/>
      </w:pPr>
      <w:r>
        <w:t xml:space="preserve">The alternative is N departments × one-off risk reviews × inconsistent audit trails × no shared kill switch — a cost that compounds with every agent. Platform-first inverts the economics: the second agent costs a manifest; the tenth costs a manifest; every one of them lands with observability, auditability, least privilege, human gates, and containment already true. When an auditor asks "show me every decision this agent made and who approved the consequential ones," the answer is a query, not a project. That is the pitch to a CIO in one sentence: </w:t>
      </w:r>
      <w:r>
        <w:rPr>
          <w:b/>
          <w:bCs/>
        </w:rPr>
        <w:t xml:space="preserve">govern once, then let every department build.</w:t>
      </w:r>
    </w:p>
    <w:p>
      <w:pPr>
        <w:spacing w:after="110"/>
      </w:pPr>
      <w:r>
        <w:rPr>
          <w:i/>
          <w:iCs/>
          <w:color w:val="595959"/>
          <w:sz w:val="19"/>
          <w:szCs w:val="19"/>
        </w:rPr>
        <w:t xml:space="preserve">Boundary statement (read before citing): Aegis is an independent reference accelerator that runs on AWS. It is not an AWS service, not AWS-supported, not an official AWS solution, and not a compliance certification. Maturity claims defer to the repository's MATURITY.yaml; capability boundaries defer to NOT-CLAIMS.md. Built on AWS.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60" w:hanging="345"/>
      </w:pPr>
    </w:lvl>
  </w:abstractNum>
  <w:abstractNum w:abstractNumId="4" w15:restartNumberingAfterBreak="0">
    <w:multiLevelType w:val="hybridMultilevel"/>
    <w:lvl w:ilvl="0" w15:tentative="1">
      <w:start w:val="1"/>
      <w:numFmt w:val="decimal"/>
      <w:lvlText w:val="%1."/>
      <w:lvlJc w:val="left"/>
      <w:pPr>
        <w:ind w:left="460" w:hanging="34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9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B2A3A"/>
      <w:sz w:val="27"/>
      <w:szCs w:val="27"/>
    </w:rPr>
  </w:style>
  <w:style w:type="paragraph" w:styleId="Heading2">
    <w:name w:val="Heading 2"/>
    <w:basedOn w:val="Normal"/>
    <w:next w:val="Normal"/>
    <w:qFormat/>
    <w:rPr>
      <w:rFonts w:ascii="Cambria" w:cs="Cambria" w:eastAsia="Cambria" w:hAnsi="Cambria"/>
      <w:b/>
      <w:bCs/>
      <w:color w:val="1B2A3A"/>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2026-08-20T20:19:17.453Z</dcterms:created>
  <dcterms:modified xsi:type="dcterms:W3CDTF">2026-08-20T20:19:17.465Z</dcterms:modified>
</cp:coreProperties>
</file>

<file path=docProps/custom.xml><?xml version="1.0" encoding="utf-8"?>
<Properties xmlns="http://schemas.openxmlformats.org/officeDocument/2006/custom-properties" xmlns:vt="http://schemas.openxmlformats.org/officeDocument/2006/docPropsVTypes"/>
</file>