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864"/>
          <w:sz w:val="80"/>
          <w:szCs w:val="80"/>
        </w:rPr>
        <w:t xml:space="preserve">AEGIS</w:t>
      </w:r>
    </w:p>
    <w:p>
      <w:pPr>
        <w:spacing w:after="200" w:before="80"/>
        <w:jc w:val="center"/>
      </w:pPr>
      <w:r>
        <w:rPr>
          <w:b/>
          <w:bCs/>
          <w:color w:val="2E75B6"/>
          <w:sz w:val="40"/>
          <w:szCs w:val="40"/>
        </w:rPr>
        <w:t xml:space="preserve">Governed-Agent Reference Architecture</w:t>
      </w:r>
    </w:p>
    <w:p>
      <w:pPr>
        <w:pBdr>
          <w:top w:val="single" w:color="2E75B6" w:sz="12" w:space="8"/>
        </w:pBdr>
        <w:spacing w:after="60"/>
        <w:jc w:val="center"/>
      </w:pPr>
      <w:r>
        <w:rPr>
          <w:sz w:val="4"/>
          <w:szCs w:val="4"/>
        </w:rPr>
        <w:t xml:space="preserve"/>
      </w:r>
    </w:p>
    <w:p>
      <w:pPr>
        <w:spacing w:after="80" w:before="240"/>
        <w:jc w:val="center"/>
      </w:pPr>
      <w:r>
        <w:rPr>
          <w:i/>
          <w:iCs/>
          <w:color w:val="595959"/>
          <w:sz w:val="26"/>
          <w:szCs w:val="26"/>
        </w:rPr>
        <w:t xml:space="preserve">A whole-of-government and whole-of-enterprise AI governance layer on AWS</w:t>
      </w:r>
    </w:p>
    <w:p>
      <w:pPr>
        <w:spacing w:after="80" w:before="700"/>
        <w:jc w:val="center"/>
      </w:pPr>
      <w:r>
        <w:rPr>
          <w:b/>
          <w:bCs/>
          <w:color w:val="1F3864"/>
          <w:sz w:val="26"/>
          <w:szCs w:val="26"/>
        </w:rPr>
        <w:t xml:space="preserve">Combined Architecture and Go-to-Market Whitepaper</w:t>
      </w:r>
    </w:p>
    <w:p>
      <w:pPr>
        <w:spacing w:after="40" w:before="40"/>
        <w:jc w:val="center"/>
      </w:pPr>
      <w:r>
        <w:rPr>
          <w:color w:val="595959"/>
          <w:sz w:val="24"/>
          <w:szCs w:val="24"/>
        </w:rPr>
        <w:t xml:space="preserve">June 2026</w:t>
      </w:r>
    </w:p>
    <w:p>
      <w:pPr>
        <w:pBdr>
          <w:top w:val="single" w:color="C55A11" w:sz="6" w:space="6"/>
          <w:left w:val="single" w:color="C55A11" w:sz="6" w:space="6"/>
          <w:bottom w:val="single" w:color="C55A11" w:sz="6" w:space="6"/>
          <w:right w:val="single" w:color="C55A11" w:sz="6" w:space="6"/>
        </w:pBdr>
        <w:shd w:fill="FCEFE6" w:val="clear"/>
        <w:spacing w:after="0" w:before="1400"/>
        <w:jc w:val="center"/>
      </w:pPr>
      <w:r>
        <w:rPr>
          <w:b/>
          <w:bCs/>
          <w:color w:val="C55A11"/>
          <w:sz w:val="20"/>
          <w:szCs w:val="20"/>
        </w:rPr>
        <w:t xml:space="preserve">Reference platform — not yet AWS-authorized / ATO'd. </w:t>
      </w:r>
      <w:r>
        <w:rPr>
          <w:color w:val="C55A11"/>
          <w:sz w:val="20"/>
          <w:szCs w:val="20"/>
        </w:rPr>
        <w:t xml:space="preserve">For architecture workshops, scoped pilots, and AWS/customer positioning.</w:t>
      </w:r>
    </w:p>
    <w:p>
      <w:r>
        <w:br w:type="page"/>
      </w:r>
    </w:p>
    <w:p>
      <w:pPr>
        <w:spacing w:after="200"/>
      </w:pPr>
      <w:r>
        <w:rPr>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before="0" w:line="276"/>
      </w:pPr>
      <w:r>
        <w:rPr>
          <w:b/>
          <w:bCs/>
        </w:rPr>
        <w:t xml:space="preserve">The pilot trap. </w:t>
      </w:r>
      <w:r>
        <w:t xml:space="preserve">Most AI-agent programs stall after the pilot. Each new agent becomes its own project — its own authorization, its own audit story, its own data-handling review, and its own cost surprise. Scaling therefore means re-doing governance N times, and finance, security, and legal each have to re-approve every agent. The result is a pile of working demos that never become a fundable, repeatable, review-survivable program.</w:t>
      </w:r>
    </w:p>
    <w:p>
      <w:pPr>
        <w:spacing w:after="120" w:before="0" w:line="276"/>
      </w:pPr>
      <w:r>
        <w:rPr>
          <w:b/>
          <w:bCs/>
        </w:rPr>
        <w:t xml:space="preserve">The thesis: governance is the product. </w:t>
      </w:r>
      <w:r>
        <w:t xml:space="preserve">The blocker to production AI in a regulated environment is not the model. It is identity, authorization, audit, data-class isolation, hallucination risk, cost control, and the question of who has authority to act. Aegis makes governance a one-time, inherited platform investment instead of a per-agent tax. The CISO reviews the paved road once; the CFO gets per-department chargeback once; the architect maintains one reference pattern instead of eight integrations. Every subsequent agent arrives with an owner, a budget, a scope, and an audit trail already attached.</w:t>
      </w:r>
    </w:p>
    <w:p>
      <w:pPr>
        <w:spacing w:after="120" w:before="0" w:line="276"/>
      </w:pPr>
      <w:r>
        <w:rPr>
          <w:b/>
          <w:bCs/>
        </w:rPr>
        <w:t xml:space="preserve">What Aegis is. </w:t>
      </w:r>
      <w:r>
        <w:t xml:space="preserve">Aegis sits between AI agents and systems of record. Every model call, tool call, and retrieval flows through a deny-by-default authorization gateway that enforces least-privilege as an intersection (an agent can never exceed the human it acts for), withholds consequential actions for a human gate, masks PII/PHI/FTI/CJI at every boundary, writes a tamper-evident append-only audit record, validates model output for hallucinations, meters and caps token spend, and attributes that spend back to the owning department. Compliance regimes are applied as overlay packs that switch on the right controls, regions, and retention for the customer's industry. It is built entirely on AWS-native, generally-available services — no black box, no lock-in.</w:t>
      </w:r>
    </w:p>
    <w:p>
      <w:pPr>
        <w:pStyle w:val="Heading2"/>
      </w:pPr>
      <w:r>
        <w:t xml:space="preserve">Value per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Persona</w:t>
            </w:r>
          </w:p>
        </w:tc>
        <w:tc>
          <w:tcPr>
            <w:tcW w:type="dxa" w:w="70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How Aegis answers their core question</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CIO / CDO</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Escape the pilot trap: one governed paved road that every agent inherits; onboard agent-by-agent on a funded, repeatable pattern.</w:t>
            </w:r>
          </w:p>
        </w:tc>
      </w:tr>
      <w:tr>
        <w:tc>
          <w:tcPr>
            <w:tcW w:type="dxa" w:w="2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CISO</w:t>
            </w:r>
          </w:p>
        </w:tc>
        <w:tc>
          <w:tcPr>
            <w:tcW w:type="dxa" w:w="70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The AI cannot act on its own — consequential actions are withheld in code and human-gated; cryptographic identity; append-only WORM audit; in-account inference with Guardrails.</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Director / Chief Architect</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One reference architecture, IaC, and a standard agent manifest reused across every agent — no per-agent re-architecture.</w:t>
            </w:r>
          </w:p>
        </w:tc>
      </w:tr>
      <w:tr>
        <w:tc>
          <w:tcPr>
            <w:tcW w:type="dxa" w:w="2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CFO / Budget owner</w:t>
            </w:r>
          </w:p>
        </w:tc>
        <w:tc>
          <w:tcPr>
            <w:tcW w:type="dxa" w:w="70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Token budgets with hard caps plus per-department showback/chargeback via Bedrock application inference profiles and cost-allocation tags.</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CEO / Agency head</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Documented per-workflow outcomes and a candid shared-responsibility model that survives a review board.</w:t>
            </w:r>
          </w:p>
        </w:tc>
      </w:tr>
    </w:tbl>
    <w:p>
      <w:pPr>
        <w:spacing w:after="60"/>
      </w:pPr>
      <w:r>
        <w:t xml:space="preserve"/>
      </w:r>
    </w:p>
    <w:p>
      <w:pPr>
        <w:spacing w:after="120" w:before="0" w:line="276"/>
      </w:pPr>
      <w:r>
        <w:rPr>
          <w:b/>
          <w:bCs/>
        </w:rPr>
        <w:t xml:space="preserve">The deployable + add-on story. </w:t>
      </w:r>
      <w:r>
        <w:t xml:space="preserve">The governance core is implemented and testable today, not vaporware. A runnable laptop demo exercises the entire control plane end to end with no AWS, no API key, and no network (18 of 18 acceptance steps pass offline), and the CloudFormation core plus sample agent pass cfn-lint. Because governance is inherited, a packaged agent becomes a portable product: dropping a manifest-conformant agent into any Aegis-governed environment is a one-command deploy that automatically picks up that customer's identity, data classes, guardrails, budgets, and audit. That is the path to selling agents as add-ons across industries without re-doing governance each time.</w:t>
      </w:r>
    </w:p>
    <w:p>
      <w:r>
        <w:br w:type="page"/>
      </w:r>
    </w:p>
    <w:p>
      <w:pPr>
        <w:pStyle w:val="Heading1"/>
      </w:pPr>
      <w:r>
        <w:t xml:space="preserve">1. The Problem and Why Now</w:t>
      </w:r>
    </w:p>
    <w:p>
      <w:pPr>
        <w:pStyle w:val="Heading2"/>
      </w:pPr>
      <w:r>
        <w:t xml:space="preserve">1.1 The pilot trap</w:t>
      </w:r>
    </w:p>
    <w:p>
      <w:pPr>
        <w:spacing w:after="120" w:before="0" w:line="276"/>
      </w:pPr>
      <w:r>
        <w:t xml:space="preserve">Organizations are stuck in the pilot trap: a chatbot per department, each its own integration, security review, and audit; spend nobody can attribute; and no governed path from pilot to production. The blocker is not the model. It is identity, authorization, audit, data-class isolation, hallucination risk, cost control, and who has authority to act. Every regulated buyer — government, education, healthcare, enterprise — has the same shape of problem with a different regime layered on top.</w:t>
      </w:r>
    </w:p>
    <w:p>
      <w:pPr>
        <w:pStyle w:val="Heading2"/>
      </w:pPr>
      <w:r>
        <w:t xml:space="preserve">1.2 Why now</w:t>
      </w:r>
    </w:p>
    <w:p>
      <w:pPr>
        <w:pStyle w:val="ListParagraph"/>
        <w:numPr>
          <w:ilvl w:val="0"/>
          <w:numId w:val="2"/>
        </w:numPr>
        <w:spacing w:after="60" w:line="268"/>
      </w:pPr>
      <w:r>
        <w:rPr>
          <w:b/>
          <w:bCs/>
        </w:rPr>
        <w:t xml:space="preserve">AgentCore went GA (October 13, 2025). </w:t>
      </w:r>
      <w:r>
        <w:t xml:space="preserve">The AWS-native primitives for a governed agent control plane now exist — AgentCore Gateway connects agents to existing Model Context Protocol (MCP) servers and turns APIs and Lambda into tools with IAM and OAuth authorization, AgentCore Identity adds identity-aware authorization and a secure token vault, and all AgentCore services support VPC, PrivateLink, CloudFormation, and resource tagging. This is buildable today.</w:t>
      </w:r>
    </w:p>
    <w:p>
      <w:pPr>
        <w:pStyle w:val="ListParagraph"/>
        <w:numPr>
          <w:ilvl w:val="0"/>
          <w:numId w:val="2"/>
        </w:numPr>
        <w:spacing w:after="60" w:line="268"/>
      </w:pPr>
      <w:r>
        <w:rPr>
          <w:b/>
          <w:bCs/>
        </w:rPr>
        <w:t xml:space="preserve">The compliance substrate is moving fast. </w:t>
      </w:r>
      <w:r>
        <w:t xml:space="preserve">Bedrock and AgentCore are HIPAA-eligible; AgentCore is pursuing FedRAMP and aligns with HITRUST. GovRAMP's 2025 rebrand (from StateRAMP) explicitly widened scope to local government, K-12, higher education, and hospitals — so one authorized posture now travels across the whole public sector.</w:t>
      </w:r>
    </w:p>
    <w:p>
      <w:pPr>
        <w:pStyle w:val="ListParagraph"/>
        <w:numPr>
          <w:ilvl w:val="0"/>
          <w:numId w:val="2"/>
        </w:numPr>
        <w:spacing w:after="60" w:line="268"/>
      </w:pPr>
      <w:r>
        <w:rPr>
          <w:b/>
          <w:bCs/>
        </w:rPr>
        <w:t xml:space="preserve">Regulatory clocks are ticking. </w:t>
      </w:r>
      <w:r>
        <w:t xml:space="preserve">Buyers need governed AI now, not after the next budget cycle:</w:t>
      </w:r>
    </w:p>
    <w:p>
      <w:pPr>
        <w:pStyle w:val="ListParagraph"/>
        <w:numPr>
          <w:ilvl w:val="1"/>
          <w:numId w:val="2"/>
        </w:numPr>
        <w:spacing w:after="60" w:line="268"/>
      </w:pPr>
      <w:r>
        <w:rPr>
          <w:b/>
          <w:bCs/>
        </w:rPr>
        <w:t xml:space="preserve">CJIS Security Policy v6.0 </w:t>
      </w:r>
      <w:r>
        <w:t xml:space="preserve">was released December 27, 2024; audits began October 1, 2025, with full compliance expected around 2027. MFA is now mandatory for all CJI access (remote, cloud, privileged).</w:t>
      </w:r>
    </w:p>
    <w:p>
      <w:pPr>
        <w:pStyle w:val="ListParagraph"/>
        <w:numPr>
          <w:ilvl w:val="1"/>
          <w:numId w:val="2"/>
        </w:numPr>
        <w:spacing w:after="60" w:line="268"/>
      </w:pPr>
      <w:r>
        <w:rPr>
          <w:b/>
          <w:bCs/>
        </w:rPr>
        <w:t xml:space="preserve">Amended COPPA Rule </w:t>
      </w:r>
      <w:r>
        <w:t xml:space="preserve">became effective June 23, 2025, with a compliance deadline of April 22, 2026. It expands “personal information” to biometric identifiers (voiceprints, facial patterns), shifts to opt-in parental consent, and requires a written security program.</w:t>
      </w:r>
    </w:p>
    <w:p>
      <w:pPr>
        <w:pStyle w:val="ListParagraph"/>
        <w:numPr>
          <w:ilvl w:val="1"/>
          <w:numId w:val="2"/>
        </w:numPr>
        <w:spacing w:after="60" w:line="268"/>
      </w:pPr>
      <w:r>
        <w:rPr>
          <w:b/>
          <w:bCs/>
        </w:rPr>
        <w:t xml:space="preserve">ADA Title II (DOJ Interim Final Rule, effective April 20, 2026) </w:t>
      </w:r>
      <w:r>
        <w:t xml:space="preserve">extends web and mobile accessibility compliance: state and local entities with population ≥ 50,000 by April 26, 2027, and those under 50,000 or special districts by April 26, 2028, against the WCAG 2.1 Level AA standard.</w:t>
      </w:r>
    </w:p>
    <w:p>
      <w:pPr>
        <w:spacing w:after="40"/>
      </w:pPr>
      <w:r>
        <w:t xml:space="preserve"/>
      </w:r>
    </w:p>
    <w:p>
      <w:pPr>
        <w:spacing w:after="120" w:before="0" w:line="276"/>
      </w:pPr>
      <w:r>
        <w:rPr>
          <w:i/>
          <w:iCs/>
          <w:color w:val="595959"/>
        </w:rPr>
        <w:t xml:space="preserve">Taken together, the technical primitives are GA and the regulatory deadlines are imminent. The window to convert stalled pilots into governed, fundable production is open now.</w:t>
      </w:r>
    </w:p>
    <w:p>
      <w:r>
        <w:br w:type="page"/>
      </w:r>
    </w:p>
    <w:p>
      <w:pPr>
        <w:pStyle w:val="Heading1"/>
      </w:pPr>
      <w:r>
        <w:t xml:space="preserve">2. Reference Architecture (Edge to Data, on AWS)</w:t>
      </w:r>
    </w:p>
    <w:p>
      <w:pPr>
        <w:spacing w:after="120" w:before="0" w:line="276"/>
      </w:pPr>
      <w:r>
        <w:rPr>
          <w:i/>
          <w:iCs/>
          <w:color w:val="595959"/>
        </w:rPr>
        <w:t xml:space="preserve">Every AWS capability named here maps to a cited source. Controls are marked [Impl] = platform-implemented or [Cfg] = customer-configured under the AWS Shared Responsibility Model.</w:t>
      </w:r>
    </w:p>
    <w:p>
      <w:pPr>
        <w:pStyle w:val="Heading2"/>
      </w:pPr>
      <w:r>
        <w:t xml:space="preserve">2.1 The one-line shape</w:t>
      </w:r>
    </w:p>
    <w:p>
      <w:pPr>
        <w:pBdr>
          <w:left w:val="single" w:color="2E75B6" w:sz="18" w:space="6"/>
        </w:pBdr>
        <w:shd w:fill="F2F2F2" w:val="clear"/>
        <w:spacing w:after="0" w:before="0" w:line="240"/>
      </w:pPr>
      <w:r>
        <w:rPr>
          <w:rFonts w:ascii="Consolas" w:cs="Consolas" w:eastAsia="Consolas" w:hAnsi="Consolas"/>
          <w:sz w:val="17"/>
          <w:szCs w:val="17"/>
        </w:rPr>
        <w:t xml:space="preserve">Residents / staff / employees</w:t>
      </w:r>
    </w:p>
    <w:p>
      <w:pPr>
        <w:pBdr>
          <w:left w:val="single" w:color="2E75B6" w:sz="18" w:space="6"/>
        </w:pBdr>
        <w:shd w:fill="F2F2F2" w:val="clear"/>
        <w:spacing w:after="0" w:before="0" w:line="240"/>
      </w:pPr>
      <w:r>
        <w:rPr>
          <w:rFonts w:ascii="Consolas" w:cs="Consolas" w:eastAsia="Consolas" w:hAnsi="Consolas"/>
          <w:sz w:val="17"/>
          <w:szCs w:val="17"/>
        </w:rPr>
        <w:t xml:space="preserve">  -&gt; CloudFront + AWS WAF (OWASP managed rules + rate limit) + AWS Shield      [edge]</w:t>
      </w:r>
    </w:p>
    <w:p>
      <w:pPr>
        <w:pBdr>
          <w:left w:val="single" w:color="2E75B6" w:sz="18" w:space="6"/>
        </w:pBdr>
        <w:shd w:fill="F2F2F2" w:val="clear"/>
        <w:spacing w:after="0" w:before="0" w:line="240"/>
      </w:pPr>
      <w:r>
        <w:rPr>
          <w:rFonts w:ascii="Consolas" w:cs="Consolas" w:eastAsia="Consolas" w:hAnsi="Consolas"/>
          <w:sz w:val="17"/>
          <w:szCs w:val="17"/>
        </w:rPr>
        <w:t xml:space="preserve">  -&gt; API Gateway  .  Amazon Cognito (federates the org IdP -&gt; short-lived JWT)  [identity]</w:t>
      </w:r>
    </w:p>
    <w:p>
      <w:pPr>
        <w:pBdr>
          <w:left w:val="single" w:color="2E75B6" w:sz="18" w:space="6"/>
        </w:pBdr>
        <w:shd w:fill="F2F2F2" w:val="clear"/>
        <w:spacing w:after="0" w:before="0" w:line="240"/>
      </w:pPr>
      <w:r>
        <w:rPr>
          <w:rFonts w:ascii="Consolas" w:cs="Consolas" w:eastAsia="Consolas" w:hAnsi="Consolas"/>
          <w:sz w:val="17"/>
          <w:szCs w:val="17"/>
        </w:rPr>
        <w:t xml:space="preserve">  -&gt; Agent runtime (AgentCore Runtime, or Step Functions + Lambda) in a private subnet</w:t>
      </w:r>
    </w:p>
    <w:p>
      <w:pPr>
        <w:pBdr>
          <w:left w:val="single" w:color="2E75B6" w:sz="18" w:space="6"/>
        </w:pBdr>
        <w:shd w:fill="F2F2F2" w:val="clear"/>
        <w:spacing w:after="0" w:before="0" w:line="240"/>
      </w:pPr>
      <w:r>
        <w:rPr>
          <w:rFonts w:ascii="Consolas" w:cs="Consolas" w:eastAsia="Consolas" w:hAnsi="Consolas"/>
          <w:sz w:val="17"/>
          <w:szCs w:val="17"/>
        </w:rPr>
        <w:t xml:space="preserve">  -&gt; MCP Authorization Gateway (AgentCore Gateway): re-validates JWT + role claim,</w:t>
      </w:r>
    </w:p>
    <w:p>
      <w:pPr>
        <w:pBdr>
          <w:left w:val="single" w:color="2E75B6" w:sz="18" w:space="6"/>
        </w:pBdr>
        <w:shd w:fill="F2F2F2" w:val="clear"/>
        <w:spacing w:after="0" w:before="0" w:line="240"/>
      </w:pPr>
      <w:r>
        <w:rPr>
          <w:rFonts w:ascii="Consolas" w:cs="Consolas" w:eastAsia="Consolas" w:hAnsi="Consolas"/>
          <w:sz w:val="17"/>
          <w:szCs w:val="17"/>
        </w:rPr>
        <w:t xml:space="preserve">        deny-by-default policy, least-privilege intersection, scoped per-call token,</w:t>
      </w:r>
    </w:p>
    <w:p>
      <w:pPr>
        <w:pBdr>
          <w:left w:val="single" w:color="2E75B6" w:sz="18" w:space="6"/>
        </w:pBdr>
        <w:shd w:fill="F2F2F2" w:val="clear"/>
        <w:spacing w:after="0" w:before="0" w:line="240"/>
      </w:pPr>
      <w:r>
        <w:rPr>
          <w:rFonts w:ascii="Consolas" w:cs="Consolas" w:eastAsia="Consolas" w:hAnsi="Consolas"/>
          <w:sz w:val="17"/>
          <w:szCs w:val="17"/>
        </w:rPr>
        <w:t xml:space="preserve">        token-budget check, human gate, append-only audit                      [control plane]</w:t>
      </w:r>
    </w:p>
    <w:p>
      <w:pPr>
        <w:pBdr>
          <w:left w:val="single" w:color="2E75B6" w:sz="18" w:space="6"/>
        </w:pBdr>
        <w:shd w:fill="F2F2F2" w:val="clear"/>
        <w:spacing w:after="0" w:before="0" w:line="240"/>
      </w:pPr>
      <w:r>
        <w:rPr>
          <w:rFonts w:ascii="Consolas" w:cs="Consolas" w:eastAsia="Consolas" w:hAnsi="Consolas"/>
          <w:sz w:val="17"/>
          <w:szCs w:val="17"/>
        </w:rPr>
        <w:t xml:space="preserve">  -&gt; Amazon Bedrock (models) + Guardrails, reached over AWS PrivateLink         [reasoning]</w:t>
      </w:r>
    </w:p>
    <w:p>
      <w:pPr>
        <w:pBdr>
          <w:left w:val="single" w:color="2E75B6" w:sz="18" w:space="6"/>
        </w:pBdr>
        <w:shd w:fill="F2F2F2" w:val="clear"/>
        <w:spacing w:after="0" w:before="0" w:line="240"/>
      </w:pPr>
      <w:r>
        <w:rPr>
          <w:rFonts w:ascii="Consolas" w:cs="Consolas" w:eastAsia="Consolas" w:hAnsi="Consolas"/>
          <w:sz w:val="17"/>
          <w:szCs w:val="17"/>
        </w:rPr>
        <w:t xml:space="preserve">        - Guardrails: PII filters + contextual grounding + automated reasoning</w:t>
      </w:r>
    </w:p>
    <w:p>
      <w:pPr>
        <w:pBdr>
          <w:left w:val="single" w:color="2E75B6" w:sz="18" w:space="6"/>
        </w:pBdr>
        <w:shd w:fill="F2F2F2" w:val="clear"/>
        <w:spacing w:after="0" w:before="0" w:line="240"/>
      </w:pPr>
      <w:r>
        <w:rPr>
          <w:rFonts w:ascii="Consolas" w:cs="Consolas" w:eastAsia="Consolas" w:hAnsi="Consolas"/>
          <w:sz w:val="17"/>
          <w:szCs w:val="17"/>
        </w:rPr>
        <w:t xml:space="preserve">        - Governed RAG over a Bedrock Knowledge Base (retrieval is an audited read)</w:t>
      </w:r>
    </w:p>
    <w:p>
      <w:pPr>
        <w:pBdr>
          <w:left w:val="single" w:color="2E75B6" w:sz="18" w:space="6"/>
        </w:pBdr>
        <w:shd w:fill="F2F2F2" w:val="clear"/>
        <w:spacing w:after="0" w:before="0" w:line="240"/>
      </w:pPr>
      <w:r>
        <w:rPr>
          <w:rFonts w:ascii="Consolas" w:cs="Consolas" w:eastAsia="Consolas" w:hAnsi="Consolas"/>
          <w:sz w:val="17"/>
          <w:szCs w:val="17"/>
        </w:rPr>
        <w:t xml:space="preserve">  -&gt; DynamoDB append-only audit . S3 Object Lock (WORM) . KMS CMK per data class [data/evidence]</w:t>
      </w:r>
    </w:p>
    <w:p>
      <w:pPr>
        <w:pBdr>
          <w:left w:val="single" w:color="2E75B6" w:sz="18" w:space="6"/>
        </w:pBdr>
        <w:shd w:fill="F2F2F2" w:val="clear"/>
        <w:spacing w:after="0" w:before="0" w:line="240"/>
      </w:pPr>
      <w:r>
        <w:rPr>
          <w:rFonts w:ascii="Consolas" w:cs="Consolas" w:eastAsia="Consolas" w:hAnsi="Consolas"/>
          <w:sz w:val="17"/>
          <w:szCs w:val="17"/>
        </w:rPr>
        <w:t xml:space="preserve">Cross-cutting: CloudTrail . GuardDuty . Security Hub . AWS Config . X-Ray</w:t>
      </w:r>
    </w:p>
    <w:p>
      <w:pPr>
        <w:pBdr>
          <w:left w:val="single" w:color="2E75B6" w:sz="18" w:space="6"/>
        </w:pBdr>
        <w:shd w:fill="F2F2F2" w:val="clear"/>
        <w:spacing w:after="0" w:before="0" w:line="240"/>
      </w:pPr>
      <w:r>
        <w:rPr>
          <w:rFonts w:ascii="Consolas" w:cs="Consolas" w:eastAsia="Consolas" w:hAnsi="Consolas"/>
          <w:sz w:val="17"/>
          <w:szCs w:val="17"/>
        </w:rPr>
        <w:t xml:space="preserve">FinOps: application inference profiles + cost-allocation tags -&gt; Cost Explorer / CUR</w:t>
      </w:r>
    </w:p>
    <w:p>
      <w:pPr>
        <w:pBdr>
          <w:left w:val="single" w:color="2E75B6" w:sz="18" w:space="6"/>
        </w:pBdr>
        <w:shd w:fill="F2F2F2" w:val="clear"/>
        <w:spacing w:after="0" w:before="0" w:line="240"/>
      </w:pPr>
      <w:r>
        <w:rPr>
          <w:rFonts w:ascii="Consolas" w:cs="Consolas" w:eastAsia="Consolas" w:hAnsi="Consolas"/>
          <w:sz w:val="17"/>
          <w:szCs w:val="17"/>
        </w:rPr>
        <w:t xml:space="preserve">Data-class isolation: CJI . FTI . PHI . EDU . public  (account/VPC/key separation)</w:t>
      </w:r>
    </w:p>
    <w:p>
      <w:pPr>
        <w:spacing w:after="120"/>
      </w:pPr>
      <w:r>
        <w:t xml:space="preserve"/>
      </w:r>
    </w:p>
    <w:p>
      <w:pPr>
        <w:pStyle w:val="Heading2"/>
      </w:pPr>
      <w:r>
        <w:t xml:space="preserve">2.2 Edge tier — CloudFront + WAF + Shield</w:t>
      </w:r>
    </w:p>
    <w:p>
      <w:pPr>
        <w:spacing w:after="120" w:before="0" w:line="276"/>
      </w:pPr>
      <w:r>
        <w:rPr>
          <w:b/>
          <w:bCs/>
        </w:rPr>
        <w:t xml:space="preserve">What it does. </w:t>
      </w:r>
      <w:r>
        <w:t xml:space="preserve">Terminates TLS at the CDN edge, applies AWS WAF managed rule sets (OWASP Top 10, known-bad inputs) and rate limiting, and absorbs L3/L4 DDoS with Shield. [Impl]</w:t>
      </w:r>
    </w:p>
    <w:p>
      <w:pPr>
        <w:spacing w:after="120" w:before="0" w:line="276"/>
      </w:pPr>
      <w:r>
        <w:rPr>
          <w:b/>
          <w:bCs/>
        </w:rPr>
        <w:t xml:space="preserve">Why CIO/CISO cares. </w:t>
      </w:r>
      <w:r>
        <w:t xml:space="preserve">The first control a CISO asks about is the public attack surface; putting WAF and Shield in front of every agent means no agent ships bespoke edge security — it is inherited, and the architect maintains one edge pattern, not eight. Maps to NIST 800-53 SC-5, SC-7 and supports GovRAMP/FedRAMP boundary protection.</w:t>
      </w:r>
    </w:p>
    <w:p>
      <w:pPr>
        <w:pStyle w:val="Heading2"/>
      </w:pPr>
      <w:r>
        <w:t xml:space="preserve">2.3 Identity tier — Cognito + federated IdP + API Gateway authorizer</w:t>
      </w:r>
    </w:p>
    <w:p>
      <w:pPr>
        <w:spacing w:after="120" w:before="0" w:line="276"/>
      </w:pPr>
      <w:r>
        <w:rPr>
          <w:b/>
          <w:bCs/>
        </w:rPr>
        <w:t xml:space="preserve">What it does. </w:t>
      </w:r>
      <w:r>
        <w:t xml:space="preserve">Cognito federates the customer's existing IdP (Entra ID, Okta, PingFederate, Login.gov) and issues a short-lived JWT carrying verified role claims; the API Gateway JWT authorizer validates issuer/audience/expiry plus an alg-confusion guard before any request reaches an agent. Client-supplied roles are never trusted; identity is cryptographically verified (RS256 over the IdP JWKS). [Impl gateway logic / Cfg IdP integration]</w:t>
      </w:r>
    </w:p>
    <w:p>
      <w:pPr>
        <w:spacing w:after="120" w:before="0" w:line="276"/>
      </w:pPr>
      <w:r>
        <w:rPr>
          <w:b/>
          <w:bCs/>
        </w:rPr>
        <w:t xml:space="preserve">Why CIO/CISO cares. </w:t>
      </w:r>
      <w:r>
        <w:t xml:space="preserve">Satisfies the MFA and identity-proofing demands of CJIS v6.0 (MFA mandatory for all CJI access, audited since October 2025) and HIPAA access control; no agent re-implements auth. NIST 800-53 IA-2, IA-5, AC-2.</w:t>
      </w:r>
    </w:p>
    <w:p>
      <w:pPr>
        <w:pStyle w:val="Heading2"/>
      </w:pPr>
      <w:r>
        <w:t xml:space="preserve">2.4 Control plane — the MCP Authorization Gateway (this is the product)</w:t>
      </w:r>
    </w:p>
    <w:p>
      <w:pPr>
        <w:spacing w:after="120" w:before="0" w:line="276"/>
      </w:pPr>
      <w:r>
        <w:t xml:space="preserve">Every model call, tool call, and retrieval an agent makes is brokered here. On each call the gateway re-validates the caller's JWT and role claim, then evaluates the full authorization predicate. A call is ALLOWED only if every clause holds:</w:t>
      </w:r>
    </w:p>
    <w:p>
      <w:pPr>
        <w:pBdr>
          <w:left w:val="single" w:color="2E75B6" w:sz="18" w:space="6"/>
        </w:pBdr>
        <w:shd w:fill="F2F2F2" w:val="clear"/>
        <w:spacing w:after="0" w:before="0" w:line="240"/>
      </w:pPr>
      <w:r>
        <w:rPr>
          <w:rFonts w:ascii="Consolas" w:cs="Consolas" w:eastAsia="Consolas" w:hAnsi="Consolas"/>
          <w:sz w:val="17"/>
          <w:szCs w:val="17"/>
        </w:rPr>
        <w:t xml:space="preserve">ALLOW iff:</w:t>
      </w:r>
    </w:p>
    <w:p>
      <w:pPr>
        <w:pBdr>
          <w:left w:val="single" w:color="2E75B6" w:sz="18" w:space="6"/>
        </w:pBdr>
        <w:shd w:fill="F2F2F2" w:val="clear"/>
        <w:spacing w:after="0" w:before="0" w:line="240"/>
      </w:pPr>
      <w:r>
        <w:rPr>
          <w:rFonts w:ascii="Consolas" w:cs="Consolas" w:eastAsia="Consolas" w:hAnsi="Consolas"/>
          <w:sz w:val="17"/>
          <w:szCs w:val="17"/>
        </w:rPr>
        <w:t xml:space="preserve">  authenticated_user is valid</w:t>
      </w:r>
    </w:p>
    <w:p>
      <w:pPr>
        <w:pBdr>
          <w:left w:val="single" w:color="2E75B6" w:sz="18" w:space="6"/>
        </w:pBdr>
        <w:shd w:fill="F2F2F2" w:val="clear"/>
        <w:spacing w:after="0" w:before="0" w:line="240"/>
      </w:pPr>
      <w:r>
        <w:rPr>
          <w:rFonts w:ascii="Consolas" w:cs="Consolas" w:eastAsia="Consolas" w:hAnsi="Consolas"/>
          <w:sz w:val="17"/>
          <w:szCs w:val="17"/>
        </w:rPr>
        <w:t xml:space="preserve">  AND agent grant permits the tool</w:t>
      </w:r>
    </w:p>
    <w:p>
      <w:pPr>
        <w:pBdr>
          <w:left w:val="single" w:color="2E75B6" w:sz="18" w:space="6"/>
        </w:pBdr>
        <w:shd w:fill="F2F2F2" w:val="clear"/>
        <w:spacing w:after="0" w:before="0" w:line="240"/>
      </w:pPr>
      <w:r>
        <w:rPr>
          <w:rFonts w:ascii="Consolas" w:cs="Consolas" w:eastAsia="Consolas" w:hAnsi="Consolas"/>
          <w:sz w:val="17"/>
          <w:szCs w:val="17"/>
        </w:rPr>
        <w:t xml:space="preserve">  AND user entitlement permits the tool        # least-privilege as an intersection</w:t>
      </w:r>
    </w:p>
    <w:p>
      <w:pPr>
        <w:pBdr>
          <w:left w:val="single" w:color="2E75B6" w:sz="18" w:space="6"/>
        </w:pBdr>
        <w:shd w:fill="F2F2F2" w:val="clear"/>
        <w:spacing w:after="0" w:before="0" w:line="240"/>
      </w:pPr>
      <w:r>
        <w:rPr>
          <w:rFonts w:ascii="Consolas" w:cs="Consolas" w:eastAsia="Consolas" w:hAnsi="Consolas"/>
          <w:sz w:val="17"/>
          <w:szCs w:val="17"/>
        </w:rPr>
        <w:t xml:space="preserve">  AND declared purpose is allowed              # purpose limitation</w:t>
      </w:r>
    </w:p>
    <w:p>
      <w:pPr>
        <w:pBdr>
          <w:left w:val="single" w:color="2E75B6" w:sz="18" w:space="6"/>
        </w:pBdr>
        <w:shd w:fill="F2F2F2" w:val="clear"/>
        <w:spacing w:after="0" w:before="0" w:line="240"/>
      </w:pPr>
      <w:r>
        <w:rPr>
          <w:rFonts w:ascii="Consolas" w:cs="Consolas" w:eastAsia="Consolas" w:hAnsi="Consolas"/>
          <w:sz w:val="17"/>
          <w:szCs w:val="17"/>
        </w:rPr>
        <w:t xml:space="preserve">  AND data-class boundary is satisfied         # CJI/FTI/PHI/EDU/public isolation</w:t>
      </w:r>
    </w:p>
    <w:p>
      <w:pPr>
        <w:pBdr>
          <w:left w:val="single" w:color="2E75B6" w:sz="18" w:space="6"/>
        </w:pBdr>
        <w:shd w:fill="F2F2F2" w:val="clear"/>
        <w:spacing w:after="0" w:before="0" w:line="240"/>
      </w:pPr>
      <w:r>
        <w:rPr>
          <w:rFonts w:ascii="Consolas" w:cs="Consolas" w:eastAsia="Consolas" w:hAnsi="Consolas"/>
          <w:sz w:val="17"/>
          <w:szCs w:val="17"/>
        </w:rPr>
        <w:t xml:space="preserve">  AND consent exists when required             # 42 CFR Pt 2 / COPPA / FERPA</w:t>
      </w:r>
    </w:p>
    <w:p>
      <w:pPr>
        <w:pBdr>
          <w:left w:val="single" w:color="2E75B6" w:sz="18" w:space="6"/>
        </w:pBdr>
        <w:shd w:fill="F2F2F2" w:val="clear"/>
        <w:spacing w:after="0" w:before="0" w:line="240"/>
      </w:pPr>
      <w:r>
        <w:rPr>
          <w:rFonts w:ascii="Consolas" w:cs="Consolas" w:eastAsia="Consolas" w:hAnsi="Consolas"/>
          <w:sz w:val="17"/>
          <w:szCs w:val="17"/>
        </w:rPr>
        <w:t xml:space="preserve">  AND residency boundary is satisfied          # region / GovCloud vs commercial</w:t>
      </w:r>
    </w:p>
    <w:p>
      <w:pPr>
        <w:pBdr>
          <w:left w:val="single" w:color="2E75B6" w:sz="18" w:space="6"/>
        </w:pBdr>
        <w:shd w:fill="F2F2F2" w:val="clear"/>
        <w:spacing w:after="0" w:before="0" w:line="240"/>
      </w:pPr>
      <w:r>
        <w:rPr>
          <w:rFonts w:ascii="Consolas" w:cs="Consolas" w:eastAsia="Consolas" w:hAnsi="Consolas"/>
          <w:sz w:val="17"/>
          <w:szCs w:val="17"/>
        </w:rPr>
        <w:t xml:space="preserve">  AND token/cost budget is available           # FinOps preflight</w:t>
      </w:r>
    </w:p>
    <w:p>
      <w:pPr>
        <w:pBdr>
          <w:left w:val="single" w:color="2E75B6" w:sz="18" w:space="6"/>
        </w:pBdr>
        <w:shd w:fill="F2F2F2" w:val="clear"/>
        <w:spacing w:after="0" w:before="0" w:line="240"/>
      </w:pPr>
      <w:r>
        <w:rPr>
          <w:rFonts w:ascii="Consolas" w:cs="Consolas" w:eastAsia="Consolas" w:hAnsi="Consolas"/>
          <w:sz w:val="17"/>
          <w:szCs w:val="17"/>
        </w:rPr>
        <w:t xml:space="preserve">  AND a valid approval exists when required    # human gate for consequential actions</w:t>
      </w:r>
    </w:p>
    <w:p>
      <w:pPr>
        <w:spacing w:after="100"/>
      </w:pPr>
      <w:r>
        <w:t xml:space="preserve"/>
      </w:r>
    </w:p>
    <w:p>
      <w:pPr>
        <w:spacing w:after="120" w:before="0" w:line="276"/>
      </w:pPr>
      <w:r>
        <w:t xml:space="preserve">The agent can never exceed the human it acts for, its declared purpose, its data class, its budget, or its human-authority boundary. The gateway also:</w:t>
      </w:r>
    </w:p>
    <w:p>
      <w:pPr>
        <w:pStyle w:val="ListParagraph"/>
        <w:numPr>
          <w:ilvl w:val="0"/>
          <w:numId w:val="3"/>
        </w:numPr>
        <w:spacing w:after="60" w:line="268"/>
      </w:pPr>
      <w:r>
        <w:rPr>
          <w:b/>
          <w:bCs/>
        </w:rPr>
        <w:t xml:space="preserve">Checks the token budget </w:t>
      </w:r>
      <w:r>
        <w:t xml:space="preserve">for the owning department/agent and rejects or throttles over-budget calls before they cost money. [Impl]</w:t>
      </w:r>
    </w:p>
    <w:p>
      <w:pPr>
        <w:pStyle w:val="ListParagraph"/>
        <w:numPr>
          <w:ilvl w:val="0"/>
          <w:numId w:val="3"/>
        </w:numPr>
        <w:spacing w:after="60" w:line="268"/>
      </w:pPr>
      <w:r>
        <w:rPr>
          <w:b/>
          <w:bCs/>
        </w:rPr>
        <w:t xml:space="preserve">Routes consequential actions </w:t>
      </w:r>
      <w:r>
        <w:t xml:space="preserve">(issue / adjudicate / release / award / transfer) to a human gate — Step Functions waitForTaskToken or interrupt_before. The approval token is bound to the exact tool + arguments hash + purpose + requester + reviewer + expiry, single-use, with separation of duties (approver != requestor); the consumed token is recorded with a DynamoDB conditional write so a replay is rejected. [Impl]</w:t>
      </w:r>
    </w:p>
    <w:p>
      <w:pPr>
        <w:pStyle w:val="ListParagraph"/>
        <w:numPr>
          <w:ilvl w:val="0"/>
          <w:numId w:val="3"/>
        </w:numPr>
        <w:spacing w:after="60" w:line="268"/>
      </w:pPr>
      <w:r>
        <w:rPr>
          <w:b/>
          <w:bCs/>
        </w:rPr>
        <w:t xml:space="preserve">Mints a scoped, per-call token </w:t>
      </w:r>
      <w:r>
        <w:t xml:space="preserve">for the downstream tool — never a long-lived credential. On AWS this is an AgentCore Identity on-behalf-of (OBO) token exchange / STS scoped credential, so the agent acts as the user for that one call. [Impl]</w:t>
      </w:r>
    </w:p>
    <w:p>
      <w:pPr>
        <w:pStyle w:val="ListParagraph"/>
        <w:numPr>
          <w:ilvl w:val="0"/>
          <w:numId w:val="3"/>
        </w:numPr>
        <w:spacing w:after="60" w:line="268"/>
      </w:pPr>
      <w:r>
        <w:rPr>
          <w:b/>
          <w:bCs/>
        </w:rPr>
        <w:t xml:space="preserve">Writes an append-only audit record </w:t>
      </w:r>
      <w:r>
        <w:t xml:space="preserve">(allow / deny / pending / error) with full lineage and masked sensitive fields. [Impl]</w:t>
      </w:r>
    </w:p>
    <w:p>
      <w:pPr>
        <w:spacing w:after="120" w:before="0" w:line="276"/>
      </w:pPr>
      <w:r>
        <w:rPr>
          <w:b/>
          <w:bCs/>
        </w:rPr>
        <w:t xml:space="preserve">On AWS this is AgentCore Gateway + Policy in AgentCore (Cedar). </w:t>
      </w:r>
      <w:r>
        <w:t xml:space="preserve">AgentCore Gateway (GA October 13, 2025) is a single secure endpoint connecting agents to MCP servers and APIs/Lambda-as-tools with IAM and OAuth authorization. Policy in Amazon Bedrock AgentCore is the deterministic enforcement layer that evaluates every agent-to-tool request against Cedar policies outside the agent's reasoning loop — the same Cedar language behind Amazon Verified Permissions. The platform compiles each agent manifest and tool contract into Cedar policies (default-deny), so authorization is externalized and machine-analyzable, not hidden in agent code. The readable Python policy engine in the repo is the offline test analog; production runs on AgentCore Policy / AVP so the real enforcement path is what is tested.</w:t>
      </w:r>
    </w:p>
    <w:p>
      <w:pPr>
        <w:spacing w:after="120" w:before="0" w:line="276"/>
      </w:pPr>
      <w:r>
        <w:rPr>
          <w:b/>
          <w:bCs/>
        </w:rPr>
        <w:t xml:space="preserve">Why CIO/CISO cares. </w:t>
      </w:r>
      <w:r>
        <w:t xml:space="preserve">An AI agent that can touch a system of record is a governance, audit, and least-privilege problem before it is a model problem. “Can the AI act on its own?” — No; consequential actions are withheld in code and gated. Build this once, inherit it forever; one broker, uniform policy. NIST 800-53 AC-3, AC-6, AU-2, AU-10; NIST AI RMF Manage / Human-AI Configuration.</w:t>
      </w:r>
    </w:p>
    <w:p>
      <w:pPr>
        <w:pStyle w:val="Heading2"/>
      </w:pPr>
      <w:r>
        <w:t xml:space="preserve">2.5 Reasoning tier — the Model Gateway: Bedrock + Guardrails over PrivateLink</w:t>
      </w:r>
    </w:p>
    <w:p>
      <w:pPr>
        <w:spacing w:after="120" w:before="0" w:line="276"/>
      </w:pPr>
      <w:r>
        <w:rPr>
          <w:b/>
          <w:bCs/>
        </w:rPr>
        <w:t xml:space="preserve">What it does. </w:t>
      </w:r>
      <w:r>
        <w:t xml:space="preserve">All Bedrock access is centralized in a Model Gateway so no agent calls a model directly. The Model Gateway enforces an approved model-profile allowlist per agent; task-based routing (a small cheap model to classify/route, a stronger model only to draft); prompt-version pinning (hash-pinned, drift-failing); JSON-schema validation of structured outputs; max_tokens enforced by the budget manager; a retry/fallback model policy; and model invocation logging to CloudWatch/S3 (which feeds the usage ledger for chargeback). Models are reached over AWS PrivateLink so API traffic avoids the public internet. Mandatory Guardrails apply on input and output: sensitive-information (PII) filters, denied topics, contextual grounding checks (grounding + relevance scored 0–0.99 to filter hallucinations in RAG), and automated reasoning checks (formal logic validating responses against defined policy). [Impl Model Gateway + Guardrail wiring / Cfg policy tuning]</w:t>
      </w:r>
    </w:p>
    <w:p>
      <w:pPr>
        <w:spacing w:after="120" w:before="0" w:line="276"/>
      </w:pPr>
      <w:r>
        <w:rPr>
          <w:b/>
          <w:bCs/>
        </w:rPr>
        <w:t xml:space="preserve">Why CIO/CISO cares. </w:t>
      </w:r>
      <w:r>
        <w:t xml:space="preserve">Inference stays in-account; the model never receives unmasked sensitive data; output that is not grounded in retrieved source is blocked or flagged before a human sees it. Hallucination control is a board-level trust question, and contextual grounding plus automated reasoning are the answer. (The model runs in the Bedrock regional service, not inside the VPC — data residency is governed by region choice plus customer controls.) NIST AI RMF Confabulation, Information Integrity, Data Privacy; HIPAA minimum necessary; FERPA disclosure limits.</w:t>
      </w:r>
    </w:p>
    <w:p>
      <w:pPr>
        <w:pStyle w:val="Heading2"/>
      </w:pPr>
      <w:r>
        <w:t xml:space="preserve">2.6 Grounding — governed RAG over a Bedrock Knowledge Base</w:t>
      </w:r>
    </w:p>
    <w:p>
      <w:pPr>
        <w:spacing w:after="120" w:before="0" w:line="276"/>
      </w:pPr>
      <w:r>
        <w:rPr>
          <w:b/>
          <w:bCs/>
        </w:rPr>
        <w:t xml:space="preserve">What it does. </w:t>
      </w:r>
      <w:r>
        <w:t xml:space="preserve">Retrieval is performed as an audited read through the gateway (kb.search_policy) against a Bedrock Knowledge Base; retrieved passages become the grounding source the contextual-grounding check scores the answer against, and retrieval is security-trimmed to the caller's entitlements. [Impl]</w:t>
      </w:r>
    </w:p>
    <w:p>
      <w:pPr>
        <w:spacing w:after="120" w:before="0" w:line="276"/>
      </w:pPr>
      <w:r>
        <w:rPr>
          <w:b/>
          <w:bCs/>
        </w:rPr>
        <w:t xml:space="preserve">Why CIO/CISO cares. </w:t>
      </w:r>
      <w:r>
        <w:t xml:space="preserve">Grounding is the single biggest lever on hallucination and on auditability (“show me the source for this answer”); routing retrieval through the gateway means even reads are governed and logged. FERPA/HIPAA need-to-know; NIST AI RMF Information Integrity.</w:t>
      </w:r>
    </w:p>
    <w:p>
      <w:pPr>
        <w:pStyle w:val="Heading2"/>
      </w:pPr>
      <w:r>
        <w:t xml:space="preserve">2.7 Data and evidence tier — KMS, append-only audit, WORM, masking, isolation</w:t>
      </w:r>
    </w:p>
    <w:p>
      <w:pPr>
        <w:pStyle w:val="ListParagraph"/>
        <w:numPr>
          <w:ilvl w:val="0"/>
          <w:numId w:val="2"/>
        </w:numPr>
        <w:spacing w:after="60" w:line="268"/>
      </w:pPr>
      <w:r>
        <w:rPr>
          <w:b/>
          <w:bCs/>
        </w:rPr>
        <w:t xml:space="preserve">KMS customer-managed keys per data class </w:t>
      </w:r>
      <w:r>
        <w:t xml:space="preserve">— separate CMKs for CJI / FTI / PHI / EDU / public. [Impl/Cfg]</w:t>
      </w:r>
    </w:p>
    <w:p>
      <w:pPr>
        <w:pStyle w:val="ListParagraph"/>
        <w:numPr>
          <w:ilvl w:val="0"/>
          <w:numId w:val="2"/>
        </w:numPr>
        <w:spacing w:after="60" w:line="268"/>
      </w:pPr>
      <w:r>
        <w:rPr>
          <w:b/>
          <w:bCs/>
        </w:rPr>
        <w:t xml:space="preserve">Append-only audit (DynamoDB) </w:t>
      </w:r>
      <w:r>
        <w:t xml:space="preserve">— PutItem-only IAM with explicit Update/Delete deny plus conditional writes; every tool attempt recorded. [Impl]</w:t>
      </w:r>
    </w:p>
    <w:p>
      <w:pPr>
        <w:pStyle w:val="ListParagraph"/>
        <w:numPr>
          <w:ilvl w:val="0"/>
          <w:numId w:val="2"/>
        </w:numPr>
        <w:spacing w:after="60" w:line="268"/>
      </w:pPr>
      <w:r>
        <w:rPr>
          <w:b/>
          <w:bCs/>
        </w:rPr>
        <w:t xml:space="preserve">WORM retention (S3 Object Lock) </w:t>
      </w:r>
      <w:r>
        <w:t xml:space="preserve">— immutable evidence keyed to data classification and retention schedule. [Impl/Cfg schedule]</w:t>
      </w:r>
    </w:p>
    <w:p>
      <w:pPr>
        <w:pStyle w:val="ListParagraph"/>
        <w:numPr>
          <w:ilvl w:val="0"/>
          <w:numId w:val="2"/>
        </w:numPr>
        <w:spacing w:after="60" w:line="268"/>
      </w:pPr>
      <w:r>
        <w:rPr>
          <w:b/>
          <w:bCs/>
        </w:rPr>
        <w:t xml:space="preserve">Masking that fails closed </w:t>
      </w:r>
      <w:r>
        <w:t xml:space="preserve">— Amazon Comprehend / Comprehend Medical detect PII/PHI; Amazon Macie discovers and classifies sensitive data in S3; S3 Object Lambda redacts on read. If masking cannot run, the boundary denies rather than leaks. [Impl]</w:t>
      </w:r>
    </w:p>
    <w:p>
      <w:pPr>
        <w:pStyle w:val="ListParagraph"/>
        <w:numPr>
          <w:ilvl w:val="0"/>
          <w:numId w:val="2"/>
        </w:numPr>
        <w:spacing w:after="60" w:line="268"/>
      </w:pPr>
      <w:r>
        <w:rPr>
          <w:b/>
          <w:bCs/>
        </w:rPr>
        <w:t xml:space="preserve">Data-class isolation </w:t>
      </w:r>
      <w:r>
        <w:t xml:space="preserve">— account/VPC/key separation per class (CJI and FTI in isolated accounts).</w:t>
      </w:r>
    </w:p>
    <w:p>
      <w:pPr>
        <w:spacing w:after="120" w:before="0" w:line="276"/>
      </w:pPr>
      <w:r>
        <w:rPr>
          <w:b/>
          <w:bCs/>
        </w:rPr>
        <w:t xml:space="preserve">Why CIO/CISO cares. </w:t>
      </w:r>
      <w:r>
        <w:t xml:space="preserve">The audit trail is what survives a review board, a FOIA request, or an OIG audit. WORM plus append-only means it cannot be quietly edited; masking means sensitive data never lands in a prompt, a log, or the audit unmasked. Maps to IRS Pub 1075, CJIS v6.0, HIPAA, FERPA, PCI DSS; NIST 800-53 AU-9, SC-12/13, MP-6.</w:t>
      </w:r>
    </w:p>
    <w:p>
      <w:pPr>
        <w:pStyle w:val="Heading2"/>
      </w:pPr>
      <w:r>
        <w:t xml:space="preserve">2.8 FinOps tier — token budgets + per-department chargeback</w:t>
      </w:r>
    </w:p>
    <w:p>
      <w:pPr>
        <w:spacing w:after="120" w:before="0" w:line="276"/>
      </w:pPr>
      <w:r>
        <w:t xml:space="preserve">Each agent/department reasons through a Bedrock application inference profile tagged with cost-allocation tags (dept, team, app, data_class). Usage flows to Cost Explorer and the Cost and Usage Report, giving accurate showback/chargeback; the gateway's token-budget check enforces hard caps in real time before spend occurs. Uncontrolled token spend and the inability to charge it back is the number-one reason finance kills AI programs; this makes spend visible, capped, and fair. [Impl] (Full design in Section 6.)</w:t>
      </w:r>
    </w:p>
    <w:p>
      <w:pPr>
        <w:pStyle w:val="Heading2"/>
      </w:pPr>
      <w:r>
        <w:t xml:space="preserve">2.9 Observability and posture</w:t>
      </w:r>
    </w:p>
    <w:p>
      <w:pPr>
        <w:spacing w:after="120" w:before="0" w:line="276"/>
      </w:pPr>
      <w:r>
        <w:t xml:space="preserve">CloudTrail records the control plane; GuardDuty detects threats; Security Hub aggregates findings against standards; AWS Config enforces and records resource compliance; X-Ray traces agent execution end to end. Continuous monitoring is now explicit in CJIS v6.0. NIST 800-53 CA-7, SI-4, AU-6. [Impl/Cfg]</w:t>
      </w:r>
    </w:p>
    <w:p>
      <w:pPr>
        <w:pStyle w:val="Heading2"/>
      </w:pPr>
      <w:r>
        <w:t xml:space="preserve">2.10 Deployment topology</w:t>
      </w:r>
    </w:p>
    <w:p>
      <w:pPr>
        <w:pStyle w:val="ListParagraph"/>
        <w:numPr>
          <w:ilvl w:val="0"/>
          <w:numId w:val="2"/>
        </w:numPr>
        <w:spacing w:after="60" w:line="268"/>
      </w:pPr>
      <w:r>
        <w:rPr>
          <w:b/>
          <w:bCs/>
        </w:rPr>
        <w:t xml:space="preserve">Multi-account landing zone (AWS Control Tower / Organizations). </w:t>
      </w:r>
      <w:r>
        <w:t xml:space="preserve">A central governance account (registries, policy/Cedar, evidence ledger, FinOps) governs isolated workload accounts per data class — public/low-risk, PII/enterprise, PHI/HIPAA, CJI/CJIS, FTI/IRS-1075, EDU/FERPA — each its own VPC, KMS CMK, and WORM store. The control plane is central; the runtime and data planes are isolated by regulatory boundary. A shared security account holds CloudTrail, Security Hub, GuardDuty, Config, and Security Lake; a log-archive account holds immutable logs.</w:t>
      </w:r>
    </w:p>
    <w:p>
      <w:pPr>
        <w:pStyle w:val="ListParagraph"/>
        <w:numPr>
          <w:ilvl w:val="0"/>
          <w:numId w:val="2"/>
        </w:numPr>
        <w:spacing w:after="60" w:line="268"/>
      </w:pPr>
      <w:r>
        <w:rPr>
          <w:b/>
          <w:bCs/>
        </w:rPr>
        <w:t xml:space="preserve">Standalone agent first. </w:t>
      </w:r>
      <w:r>
        <w:t xml:space="preserve">One command stands up a complete isolated stack (own VPC, edge, Cognito, KMS, WORM audit, gateway, agent) with no platform dependency. Grow agent by agent.</w:t>
      </w:r>
    </w:p>
    <w:p>
      <w:pPr>
        <w:pStyle w:val="ListParagraph"/>
        <w:numPr>
          <w:ilvl w:val="0"/>
          <w:numId w:val="2"/>
        </w:numPr>
        <w:spacing w:after="60" w:line="268"/>
      </w:pPr>
      <w:r>
        <w:rPr>
          <w:b/>
          <w:bCs/>
        </w:rPr>
        <w:t xml:space="preserve">Whole-of-Government / Enterprise orchestration when ready. </w:t>
      </w:r>
      <w:r>
        <w:t xml:space="preserve">A coordination layer (durable saga with compensation, consent ledger, compliance event bus) composes governed agents across departments; the same agents become saga steps unchanged.</w:t>
      </w:r>
    </w:p>
    <w:p>
      <w:pPr>
        <w:pStyle w:val="ListParagraph"/>
        <w:numPr>
          <w:ilvl w:val="0"/>
          <w:numId w:val="2"/>
        </w:numPr>
        <w:spacing w:after="60" w:line="268"/>
      </w:pPr>
      <w:r>
        <w:rPr>
          <w:b/>
          <w:bCs/>
        </w:rPr>
        <w:t xml:space="preserve">Regions. </w:t>
      </w:r>
      <w:r>
        <w:t xml:space="preserve">Commercial (US Moderate) and AWS GovCloud (US) for High-impact / CJI / FTI; deploy CloudFront-scoped WAF in us-east-1. IaC parity across CloudFormation and Terraform.</w:t>
      </w:r>
    </w:p>
    <w:p>
      <w:r>
        <w:br w:type="page"/>
      </w:r>
    </w:p>
    <w:p>
      <w:pPr>
        <w:pStyle w:val="Heading1"/>
      </w:pPr>
      <w:r>
        <w:t xml:space="preserve">3. Control → Regime Mapping</w:t>
      </w:r>
    </w:p>
    <w:p>
      <w:pPr>
        <w:spacing w:after="120" w:before="0" w:line="276"/>
      </w:pPr>
      <w:r>
        <w:rPr>
          <w:i/>
          <w:iCs/>
          <w:color w:val="595959"/>
        </w:rPr>
        <w:t xml:space="preserve">The matrix below shows how each platform control satisfies obligations across the major regulatory regimes. A check mark indicates the control directly supports that regime; the final column names the corresponding NIST AI RMF function. The full machine-readable mapping lives in governance/controls/control_mappings.yaml.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720"/>
        <w:gridCol w:w="720"/>
        <w:gridCol w:w="720"/>
        <w:gridCol w:w="720"/>
        <w:gridCol w:w="600"/>
        <w:gridCol w:w="720"/>
        <w:gridCol w:w="560"/>
        <w:gridCol w:w="560"/>
        <w:gridCol w:w="480"/>
        <w:gridCol w:w="1080"/>
      </w:tblGrid>
      <w:tr>
        <w:trPr>
          <w:tblHeader/>
        </w:trPr>
        <w:tc>
          <w:tcPr>
            <w:tcW w:type="dxa" w:w="24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Control (platform)</w:t>
            </w:r>
          </w:p>
        </w:tc>
        <w:tc>
          <w:tcPr>
            <w:tcW w:type="dxa" w:w="7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GovRAMP / FedRAMP</w:t>
            </w:r>
          </w:p>
        </w:tc>
        <w:tc>
          <w:tcPr>
            <w:tcW w:type="dxa" w:w="7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CJIS v6.0</w:t>
            </w:r>
          </w:p>
        </w:tc>
        <w:tc>
          <w:tcPr>
            <w:tcW w:type="dxa" w:w="7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IRS 1075 (FTI)</w:t>
            </w:r>
          </w:p>
        </w:tc>
        <w:tc>
          <w:tcPr>
            <w:tcW w:type="dxa" w:w="7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HIPAA / HITECH</w:t>
            </w:r>
          </w:p>
        </w:tc>
        <w:tc>
          <w:tcPr>
            <w:tcW w:type="dxa" w:w="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42 CFR Pt 2</w:t>
            </w:r>
          </w:p>
        </w:tc>
        <w:tc>
          <w:tcPr>
            <w:tcW w:type="dxa" w:w="7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GxP / Part 11</w:t>
            </w:r>
          </w:p>
        </w:tc>
        <w:tc>
          <w:tcPr>
            <w:tcW w:type="dxa" w:w="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FERPA</w:t>
            </w:r>
          </w:p>
        </w:tc>
        <w:tc>
          <w:tcPr>
            <w:tcW w:type="dxa" w:w="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COPPA</w:t>
            </w:r>
          </w:p>
        </w:tc>
        <w:tc>
          <w:tcPr>
            <w:tcW w:type="dxa" w:w="4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PCI</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NIST AI RMF</w:t>
            </w:r>
          </w:p>
        </w:tc>
      </w:tr>
      <w:tr>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Edge WAF / Shield</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r>
      <w:tr>
        <w:tc>
          <w:tcPr>
            <w:tcW w:type="dxa" w:w="2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Cryptographic identity + MFA</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(MFA)</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10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Human-AI Config</w:t>
            </w:r>
          </w:p>
        </w:tc>
      </w:tr>
      <w:tr>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Deny-by-default gateway / least-priv intersection</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Manage</w:t>
            </w:r>
          </w:p>
        </w:tc>
      </w:tr>
      <w:tr>
        <w:tc>
          <w:tcPr>
            <w:tcW w:type="dxa" w:w="2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Human gate (bound, single-use, SoD)</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(e-sig)</w:t>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10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Human-AI Config</w:t>
            </w:r>
          </w:p>
        </w:tc>
      </w:tr>
      <w:tr>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In-account inference + Guardrails</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Data Privacy</w:t>
            </w:r>
          </w:p>
        </w:tc>
      </w:tr>
      <w:tr>
        <w:tc>
          <w:tcPr>
            <w:tcW w:type="dxa" w:w="2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Contextual grounding + automated reasoning</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10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Confabulation / Info Integrity</w:t>
            </w:r>
          </w:p>
        </w:tc>
      </w:tr>
      <w:tr>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Append-only audit + WORM</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Measure</w:t>
            </w:r>
          </w:p>
        </w:tc>
      </w:tr>
      <w:tr>
        <w:tc>
          <w:tcPr>
            <w:tcW w:type="dxa" w:w="2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Masking (PII/PHI/FTI/CJI/card), fail-closed</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(bio)</w:t>
            </w:r>
          </w:p>
        </w:tc>
        <w:tc>
          <w:tcPr>
            <w:tcW w:type="dxa" w:w="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10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Data Privacy</w:t>
            </w:r>
          </w:p>
        </w:tc>
      </w:tr>
      <w:tr>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KMS CMK + data-class isolation</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Info Security</w:t>
            </w:r>
          </w:p>
        </w:tc>
      </w:tr>
      <w:tr>
        <w:tc>
          <w:tcPr>
            <w:tcW w:type="dxa" w:w="2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Token budgets + chargeback</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72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4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108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Value Chain</w:t>
            </w:r>
          </w:p>
        </w:tc>
      </w:tr>
      <w:tr>
        <w:tc>
          <w:tcPr>
            <w:tcW w:type="dxa" w:w="2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Continuous monitoring</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(new)</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7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
            </w:r>
          </w:p>
        </w:tc>
        <w:tc>
          <w:tcPr>
            <w:tcW w:type="dxa" w:w="4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w:t>
            </w:r>
          </w:p>
        </w:tc>
        <w:tc>
          <w:tcPr>
            <w:tcW w:type="dxa" w:w="10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Manage</w:t>
            </w:r>
          </w:p>
        </w:tc>
      </w:tr>
    </w:tbl>
    <w:p>
      <w:r>
        <w:br w:type="page"/>
      </w:r>
    </w:p>
    <w:p>
      <w:pPr>
        <w:pStyle w:val="Heading1"/>
      </w:pPr>
      <w:r>
        <w:t xml:space="preserve">4. Compliance Overlay Packs</w:t>
      </w:r>
    </w:p>
    <w:p>
      <w:pPr>
        <w:spacing w:after="120" w:before="0" w:line="276"/>
      </w:pPr>
      <w:r>
        <w:t xml:space="preserve">The governance core is industry-agnostic. A pack is a declarative bundle (packs/&lt;pack&gt;/pack.yaml) that, when applied, switches on the right controls, AWS regions, retention, masking entity sets, guardrail policy, and evidence artifacts for a regime, and marks each control [Impl] platform-implemented or [Cfg] customer-configured. At deploy time a pack selects region, CMK topology, retention schedule, detection entity sets, and guardrail policy; at runtime the gateway loads the pack's control profile. Multiple packs compose by strictest-wins. Every pack ships an evidence map: for each control, the artifact an assessor can inspect.</w:t>
      </w:r>
    </w:p>
    <w:p>
      <w:pPr>
        <w:pStyle w:val="Heading2"/>
      </w:pPr>
      <w:r>
        <w:t xml:space="preserve">4.1 packs/slg — State, Local and Public Sector</w:t>
      </w:r>
    </w:p>
    <w:p>
      <w:pPr>
        <w:spacing w:after="120" w:before="0" w:line="276"/>
      </w:pPr>
      <w:r>
        <w:rPr>
          <w:i/>
          <w:iCs/>
          <w:color w:val="595959"/>
        </w:rPr>
        <w:t xml:space="preserve">Regimes: GovRAMP (formerly StateRAMP) / FedRAMP, CJIS Security Policy v6.0, IRS Pub 1075 (FTI), NIST AI RMF, ADA Title II / WCAG 2.1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Regime</w:t>
            </w:r>
          </w:p>
        </w:tc>
        <w:tc>
          <w:tcPr>
            <w:tcW w:type="dxa" w:w="56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What the pack does</w:t>
            </w:r>
          </w:p>
        </w:tc>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Tier</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GovRAMP / FedRAMP</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Deploy on AWS authorized regions (GovCloud High / US Moderate); inherit boundary, identity, audit controls; produce a control matrix for the package. Authorization (ATO) is customer-owned.</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[Cfg]</w:t>
            </w:r>
          </w:p>
        </w:tc>
      </w:tr>
      <w:tr>
        <w:tc>
          <w:tcPr>
            <w:tcW w:type="dxa" w:w="21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CJIS v6.0</w:t>
            </w:r>
          </w:p>
        </w:tc>
        <w:tc>
          <w:tcPr>
            <w:tcW w:type="dxa" w:w="5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CJI account/VPC isolation; MFA mandatory (audited since 2025-10-01); deny-by-default gateway; scoped tokens; masked, append-only audit; continuous monitoring (new in v6.0).</w:t>
            </w:r>
          </w:p>
        </w:tc>
        <w:tc>
          <w:tcPr>
            <w:tcW w:type="dxa" w:w="1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[Impl] / [Cfg IdP]</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IRS Pub 1075 (FTI)</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FTI isolation account; FTI masking; dedicated KMS CMK; access logging; WORM retention.</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[Impl] / [Cfg]</w:t>
            </w:r>
          </w:p>
        </w:tc>
      </w:tr>
      <w:tr>
        <w:tc>
          <w:tcPr>
            <w:tcW w:type="dxa" w:w="21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NIST AI RMF</w:t>
            </w:r>
          </w:p>
        </w:tc>
        <w:tc>
          <w:tcPr>
            <w:tcW w:type="dxa" w:w="5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Grounding + prompt registry + evals + red-team + fairness + HITL gates wired to Govern/Map/Measure/Manage.</w:t>
            </w:r>
          </w:p>
        </w:tc>
        <w:tc>
          <w:tcPr>
            <w:tcW w:type="dxa" w:w="1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[Impl]</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ADA Title II / WCAG 2.1 AA</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Accessibility checks on AI output in CI (Title II deadlines Apr 2026/2027 by entity size).</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[Impl]</w:t>
            </w:r>
          </w:p>
        </w:tc>
      </w:tr>
    </w:tbl>
    <w:p>
      <w:pPr>
        <w:spacing w:after="120" w:before="0" w:line="276"/>
      </w:pPr>
      <w:r>
        <w:rPr>
          <w:b/>
          <w:bCs/>
        </w:rPr>
        <w:t xml:space="preserve">Why a public-sector buyer cares. </w:t>
      </w:r>
      <w:r>
        <w:t xml:space="preserve">GovRAMP's 2025 rebrand explicitly expanded scope to local governments, K-12, higher ed, and hospitals — so a single GovRAMP-aligned posture now travels across the whole public sector. CJIS v6.0 audits are live now; an agent that touches anything near CJI must prove MFA, isolation, and continuous monitoring on day one.</w:t>
      </w:r>
    </w:p>
    <w:p>
      <w:pPr>
        <w:pStyle w:val="Heading2"/>
      </w:pPr>
      <w:r>
        <w:t xml:space="preserve">4.2 packs/education — K-12, Higher Ed and EdTech</w:t>
      </w:r>
    </w:p>
    <w:p>
      <w:pPr>
        <w:spacing w:after="120" w:before="0" w:line="276"/>
      </w:pPr>
      <w:r>
        <w:rPr>
          <w:i/>
          <w:iCs/>
          <w:color w:val="595959"/>
        </w:rPr>
        <w:t xml:space="preserve">Regimes: FERPA, amended COPPA (2025), state student-data-privacy laws (e.g. SOPIPA), ADA / Section 508.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Regime</w:t>
            </w:r>
          </w:p>
        </w:tc>
        <w:tc>
          <w:tcPr>
            <w:tcW w:type="dxa" w:w="56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What the pack does</w:t>
            </w:r>
          </w:p>
        </w:tc>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Tier</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FERPA</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Treats student records as a protected data class (EDU); security-trimmed retrieval (need-to-know); masking of identifiers; school-official-exception controls; no student data to a model without an in-account, BAA-equivalent path.</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[Impl] / [Cfg agreement]</w:t>
            </w:r>
          </w:p>
        </w:tc>
      </w:tr>
      <w:tr>
        <w:tc>
          <w:tcPr>
            <w:tcW w:type="dxa" w:w="21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COPPA (amended; eff. 2025-06-23, compliance 2026-04-22)</w:t>
            </w:r>
          </w:p>
        </w:tc>
        <w:tc>
          <w:tcPr>
            <w:tcW w:type="dxa" w:w="5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Expands masking entity set to biometric identifiers (voiceprints, facial patterns); enforces opt-in consent capture in the consent ledger; requires a written security program (this pack's evidence map is its technical core).</w:t>
            </w:r>
          </w:p>
        </w:tc>
        <w:tc>
          <w:tcPr>
            <w:tcW w:type="dxa" w:w="1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[Impl] / [Cfg consent]</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State laws (SOPIPA, etc.)</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No targeted advertising / no profiling data classes; retention limits on EDU data.</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[Cfg]</w:t>
            </w:r>
          </w:p>
        </w:tc>
      </w:tr>
      <w:tr>
        <w:tc>
          <w:tcPr>
            <w:tcW w:type="dxa" w:w="21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ADA / Section 508</w:t>
            </w:r>
          </w:p>
        </w:tc>
        <w:tc>
          <w:tcPr>
            <w:tcW w:type="dxa" w:w="5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WCAG checks on student-facing AI output.</w:t>
            </w:r>
          </w:p>
        </w:tc>
        <w:tc>
          <w:tcPr>
            <w:tcW w:type="dxa" w:w="1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[Impl]</w:t>
            </w:r>
          </w:p>
        </w:tc>
      </w:tr>
    </w:tbl>
    <w:p>
      <w:pPr>
        <w:spacing w:after="120" w:before="0" w:line="276"/>
      </w:pPr>
      <w:r>
        <w:rPr>
          <w:b/>
          <w:bCs/>
        </w:rPr>
        <w:t xml:space="preserve">Why an education buyer cares. </w:t>
      </w:r>
      <w:r>
        <w:t xml:space="preserve">The most common real-world FERPA violation is staff pasting student data into general-purpose AI with no agreement. Aegis makes that structurally impossible: EDU-class data is masked at the boundary and can only reach an in-account, guardrailed model with logged, entitlement-trimmed retrieval. The amended COPPA biometric expansion is a config flag in the masker, not a re-architecture.</w:t>
      </w:r>
    </w:p>
    <w:p>
      <w:pPr>
        <w:pStyle w:val="Heading2"/>
      </w:pPr>
      <w:r>
        <w:t xml:space="preserve">4.3 packs/healthcare-lifesciences — Providers, Payers, Pharma and MedTech</w:t>
      </w:r>
    </w:p>
    <w:p>
      <w:pPr>
        <w:spacing w:after="120" w:before="0" w:line="276"/>
      </w:pPr>
      <w:r>
        <w:rPr>
          <w:i/>
          <w:iCs/>
          <w:color w:val="595959"/>
        </w:rPr>
        <w:t xml:space="preserve">Regimes: HIPAA/HITECH, 42 CFR Part 2 (SUD records), GxP / 21 CFR Part 11 and EU Annex 11, HITRUST, MARS-E.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Regime</w:t>
            </w:r>
          </w:p>
        </w:tc>
        <w:tc>
          <w:tcPr>
            <w:tcW w:type="dxa" w:w="56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What the pack does</w:t>
            </w:r>
          </w:p>
        </w:tc>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Tier</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HIPAA / HITECH</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PHI data class; Comprehend Medical detection + masking; minimum-necessary retrieval; deterministic eligibility/clinical-rule engines kept outside the LLM; audit controls. Requires an AWS BAA + customer controls — HIPAA-eligible != HIPAA-compliant.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[Impl mask] / [Cfg BAA]</w:t>
            </w:r>
          </w:p>
        </w:tc>
      </w:tr>
      <w:tr>
        <w:tc>
          <w:tcPr>
            <w:tcW w:type="dxa" w:w="21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42 CFR Part 2</w:t>
            </w:r>
          </w:p>
        </w:tc>
        <w:tc>
          <w:tcPr>
            <w:tcW w:type="dxa" w:w="5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SUD-record data class with stricter consent and redisclosure controls in the consent ledger; segregated audit.</w:t>
            </w:r>
          </w:p>
        </w:tc>
        <w:tc>
          <w:tcPr>
            <w:tcW w:type="dxa" w:w="1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[Impl] / [Cfg]</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GxP / 21 CFR Part 11 and Annex 11</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Provides controls that support the sponsor’s validation activities — it does not validate anything itself. Electronic-records integrity (append-only + WORM); a human gate with the binding, attributability and non-repudiation an e-signature control requires; artifacts that feed a risk-based CSA/CSV effort; immutable audit for regulated activities. The IQ/OQ/PQ, the validation plan and report, the SOPs, training and change control are performed by the regulated organization inside its own quality system.</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[Impl] / [Cfg validation]</w:t>
            </w:r>
          </w:p>
        </w:tc>
      </w:tr>
      <w:tr>
        <w:tc>
          <w:tcPr>
            <w:tcW w:type="dxa" w:w="21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HITRUST</w:t>
            </w:r>
          </w:p>
        </w:tc>
        <w:tc>
          <w:tcPr>
            <w:tcW w:type="dxa" w:w="5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Maps platform controls to HITRUST CSF; rides AWS's HITRUST-certified service inheritance.</w:t>
            </w:r>
          </w:p>
        </w:tc>
        <w:tc>
          <w:tcPr>
            <w:tcW w:type="dxa" w:w="1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[Cfg]</w:t>
            </w:r>
          </w:p>
        </w:tc>
      </w:tr>
    </w:tbl>
    <w:p>
      <w:pPr>
        <w:spacing w:after="120" w:before="0" w:line="276"/>
      </w:pPr>
      <w:r>
        <w:rPr>
          <w:b/>
          <w:bCs/>
        </w:rPr>
        <w:t xml:space="preserve">Why an HCLS buyer cares. </w:t>
      </w:r>
      <w:r>
        <w:t xml:space="preserve">The board-level fear is an LLM fabricating a clinical or eligibility fact. This pack keeps decisioning deterministic and outside the model, masks PHI before any prompt, applies contextual grounding plus automated reasoning checks to every generated statement, and gives the human gate the attributability that 21 CFR Part 11 e-signatures require.</w:t>
      </w:r>
    </w:p>
    <w:p>
      <w:pPr>
        <w:pStyle w:val="Heading2"/>
      </w:pPr>
      <w:r>
        <w:t xml:space="preserve">4.4 packs/enterprise — Cross-Industry / Whole-of-Enterprise</w:t>
      </w:r>
    </w:p>
    <w:p>
      <w:pPr>
        <w:spacing w:after="120" w:before="0" w:line="276"/>
      </w:pPr>
      <w:r>
        <w:rPr>
          <w:i/>
          <w:iCs/>
          <w:color w:val="595959"/>
        </w:rPr>
        <w:t xml:space="preserve">Regimes: SOC 2, PCI DSS, ISO 27001/27701, GLBA, plus a sector-agnostic data-governance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Regime</w:t>
            </w:r>
          </w:p>
        </w:tc>
        <w:tc>
          <w:tcPr>
            <w:tcW w:type="dxa" w:w="56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What the pack does</w:t>
            </w:r>
          </w:p>
        </w:tc>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Tier</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SOC 2 / ISO 27001</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Maps platform controls to Trust Services Criteria / Annex A; evidence map = audit artifacts.</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[Cfg]</w:t>
            </w:r>
          </w:p>
        </w:tc>
      </w:tr>
      <w:tr>
        <w:tc>
          <w:tcPr>
            <w:tcW w:type="dxa" w:w="21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PCI DSS</w:t>
            </w:r>
          </w:p>
        </w:tc>
        <w:tc>
          <w:tcPr>
            <w:tcW w:type="dxa" w:w="5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Card data class; Luhn-aware card masking; no PAN in prompts/audit; tokenized payment connector.</w:t>
            </w:r>
          </w:p>
        </w:tc>
        <w:tc>
          <w:tcPr>
            <w:tcW w:type="dxa" w:w="1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[Impl]</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GLBA</w:t>
            </w:r>
          </w:p>
        </w:tc>
        <w:tc>
          <w:tcPr>
            <w:tcW w:type="dxa" w:w="5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NPI data class; safeguards-rule controls.</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[Cfg]</w:t>
            </w:r>
          </w:p>
        </w:tc>
      </w:tr>
      <w:tr>
        <w:tc>
          <w:tcPr>
            <w:tcW w:type="dxa" w:w="21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Baseline</w:t>
            </w:r>
          </w:p>
        </w:tc>
        <w:tc>
          <w:tcPr>
            <w:tcW w:type="dxa" w:w="5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Default deny, encryption everywhere, least-privilege, audit on by default.</w:t>
            </w:r>
          </w:p>
        </w:tc>
        <w:tc>
          <w:tcPr>
            <w:tcW w:type="dxa" w:w="16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[Impl]</w:t>
            </w:r>
          </w:p>
        </w:tc>
      </w:tr>
    </w:tbl>
    <w:p>
      <w:pPr>
        <w:spacing w:after="120" w:before="0" w:line="276"/>
      </w:pPr>
      <w:r>
        <w:rPr>
          <w:b/>
          <w:bCs/>
        </w:rPr>
        <w:t xml:space="preserve">Why an enterprise buyer cares. </w:t>
      </w:r>
      <w:r>
        <w:t xml:space="preserve">The same governance that satisfies a government review board is exactly what an enterprise CISO needs for SOC 2 and PCI — so one platform serves the regulated public sector and the regulated enterprise, which is the whole-of-enterprise thesis.</w:t>
      </w:r>
    </w:p>
    <w:p>
      <w:r>
        <w:br w:type="page"/>
      </w:r>
    </w:p>
    <w:p>
      <w:pPr>
        <w:pStyle w:val="Heading1"/>
      </w:pPr>
      <w:r>
        <w:t xml:space="preserve">5. Agent Onboarding Standard and the Minimum Bar</w:t>
      </w:r>
    </w:p>
    <w:p>
      <w:pPr>
        <w:spacing w:after="120" w:before="0" w:line="276"/>
      </w:pPr>
      <w:r>
        <w:t xml:space="preserve">Every agent — first-party or third-party add-on — ships a signed agent.manifest.yaml. It is the contract the gateway enforces and the artifact CI validates. The manifest declares the agent's owner (cost-allocation/chargeback), required control-mapping packs, data classes it may touch, its tool grants (intersected with the human's entitlement), the consequential actions withheld from it, its grounding knowledge base and grounding threshold, its monthly token cap and inference profile, its eval suite and minimum pass rate, its human-gate mode with separation of duties, and the publisher signature.</w:t>
      </w:r>
    </w:p>
    <w:p>
      <w:pPr>
        <w:pStyle w:val="Heading2"/>
      </w:pPr>
      <w:r>
        <w:t xml:space="preserve">5.1 The minimum bar — the nine gates CI enforces</w:t>
      </w:r>
    </w:p>
    <w:p>
      <w:pPr>
        <w:spacing w:after="120" w:before="0" w:line="276"/>
      </w:pPr>
      <w:r>
        <w:t xml:space="preserve">An agent is rejected unless every item is true. These are gates, not guidelines:</w:t>
      </w:r>
    </w:p>
    <w:p>
      <w:pPr>
        <w:pStyle w:val="ListParagraph"/>
        <w:numPr>
          <w:ilvl w:val="0"/>
          <w:numId w:val="3"/>
        </w:numPr>
        <w:spacing w:after="60" w:line="268"/>
      </w:pPr>
      <w:r>
        <w:rPr>
          <w:b/>
          <w:bCs/>
        </w:rPr>
        <w:t xml:space="preserve">Declared scope, nothing more. </w:t>
      </w:r>
      <w:r>
        <w:t xml:space="preserve">The manifest enumerates every tool/MCP server and data class; CI fails the build if the code attempts any tool or class not in the manifest.</w:t>
      </w:r>
    </w:p>
    <w:p>
      <w:pPr>
        <w:pStyle w:val="ListParagraph"/>
        <w:numPr>
          <w:ilvl w:val="0"/>
          <w:numId w:val="3"/>
        </w:numPr>
        <w:spacing w:after="60" w:line="268"/>
      </w:pPr>
      <w:r>
        <w:rPr>
          <w:b/>
          <w:bCs/>
        </w:rPr>
        <w:t xml:space="preserve">Consequential actions withheld in code. </w:t>
      </w:r>
      <w:r>
        <w:t xml:space="preserve">Any issue/adjudicate/release/award/transfer action is absent from the agent's grants and only reachable via the human gate; a test proves it.</w:t>
      </w:r>
    </w:p>
    <w:p>
      <w:pPr>
        <w:pStyle w:val="ListParagraph"/>
        <w:numPr>
          <w:ilvl w:val="0"/>
          <w:numId w:val="3"/>
        </w:numPr>
        <w:spacing w:after="60" w:line="268"/>
      </w:pPr>
      <w:r>
        <w:rPr>
          <w:b/>
          <w:bCs/>
        </w:rPr>
        <w:t xml:space="preserve">A bound, single-use, separation-of-duties human gate </w:t>
      </w:r>
      <w:r>
        <w:t xml:space="preserve">is wired for every consequential action.</w:t>
      </w:r>
    </w:p>
    <w:p>
      <w:pPr>
        <w:pStyle w:val="ListParagraph"/>
        <w:numPr>
          <w:ilvl w:val="0"/>
          <w:numId w:val="3"/>
        </w:numPr>
        <w:spacing w:after="60" w:line="268"/>
      </w:pPr>
      <w:r>
        <w:rPr>
          <w:b/>
          <w:bCs/>
        </w:rPr>
        <w:t xml:space="preserve">A grounding source is declared </w:t>
      </w:r>
      <w:r>
        <w:t xml:space="preserve">and the contextual-grounding threshold is set; no ungrounded free-generation against systems of record.</w:t>
      </w:r>
    </w:p>
    <w:p>
      <w:pPr>
        <w:pStyle w:val="ListParagraph"/>
        <w:numPr>
          <w:ilvl w:val="0"/>
          <w:numId w:val="3"/>
        </w:numPr>
        <w:spacing w:after="60" w:line="268"/>
      </w:pPr>
      <w:r>
        <w:rPr>
          <w:b/>
          <w:bCs/>
        </w:rPr>
        <w:t xml:space="preserve">A token budget with a hard cap and an inference profile </w:t>
      </w:r>
      <w:r>
        <w:t xml:space="preserve">is declared (no unbounded spend; spend is attributable).</w:t>
      </w:r>
    </w:p>
    <w:p>
      <w:pPr>
        <w:pStyle w:val="ListParagraph"/>
        <w:numPr>
          <w:ilvl w:val="0"/>
          <w:numId w:val="3"/>
        </w:numPr>
        <w:spacing w:after="60" w:line="268"/>
      </w:pPr>
      <w:r>
        <w:rPr>
          <w:b/>
          <w:bCs/>
        </w:rPr>
        <w:t xml:space="preserve">An eval suite passes </w:t>
      </w:r>
      <w:r>
        <w:t xml:space="preserve">at the declared rate (accuracy, refusal, fairness/four-fifths, prompt-injection resistance, accessibility for user-facing output).</w:t>
      </w:r>
    </w:p>
    <w:p>
      <w:pPr>
        <w:pStyle w:val="ListParagraph"/>
        <w:numPr>
          <w:ilvl w:val="0"/>
          <w:numId w:val="3"/>
        </w:numPr>
        <w:spacing w:after="60" w:line="268"/>
      </w:pPr>
      <w:r>
        <w:rPr>
          <w:b/>
          <w:bCs/>
        </w:rPr>
        <w:t xml:space="preserve">Masking is on for every declared data class </w:t>
      </w:r>
      <w:r>
        <w:t xml:space="preserve">and fails closed.</w:t>
      </w:r>
    </w:p>
    <w:p>
      <w:pPr>
        <w:pStyle w:val="ListParagraph"/>
        <w:numPr>
          <w:ilvl w:val="0"/>
          <w:numId w:val="3"/>
        </w:numPr>
        <w:spacing w:after="60" w:line="268"/>
      </w:pPr>
      <w:r>
        <w:rPr>
          <w:b/>
          <w:bCs/>
        </w:rPr>
        <w:t xml:space="preserve">The manifest is signed </w:t>
      </w:r>
      <w:r>
        <w:t xml:space="preserve">by a known publisher; the gateway verifies the signature at load.</w:t>
      </w:r>
    </w:p>
    <w:p>
      <w:pPr>
        <w:pStyle w:val="ListParagraph"/>
        <w:numPr>
          <w:ilvl w:val="0"/>
          <w:numId w:val="3"/>
        </w:numPr>
        <w:spacing w:after="60" w:line="268"/>
      </w:pPr>
      <w:r>
        <w:rPr>
          <w:b/>
          <w:bCs/>
        </w:rPr>
        <w:t xml:space="preserve">Pack compatibility </w:t>
      </w:r>
      <w:r>
        <w:t xml:space="preserve">— the agent declares which control-mapping packs it requires; deploy fails if a required pack is not active in the target environment.</w:t>
      </w:r>
    </w:p>
    <w:p>
      <w:pPr>
        <w:spacing w:after="120" w:before="0" w:line="276"/>
      </w:pPr>
      <w:r>
        <w:rPr>
          <w:i/>
          <w:iCs/>
          <w:color w:val="595959"/>
        </w:rPr>
        <w:t xml:space="preserve">The bar is deliberately the floor: the minimum a department or ISV builds toward. Clearing it is what makes an agent portable across every Aegis environment.</w:t>
      </w:r>
    </w:p>
    <w:p>
      <w:pPr>
        <w:pStyle w:val="Heading2"/>
      </w:pPr>
      <w:r>
        <w:t xml:space="preserve">5.2 Onboarding flow — one agent at a time</w:t>
      </w:r>
    </w:p>
    <w:p>
      <w:pPr>
        <w:pBdr>
          <w:left w:val="single" w:color="2E75B6" w:sz="18" w:space="6"/>
        </w:pBdr>
        <w:shd w:fill="F2F2F2" w:val="clear"/>
        <w:spacing w:after="0" w:before="0" w:line="240"/>
      </w:pPr>
      <w:r>
        <w:rPr>
          <w:rFonts w:ascii="Consolas" w:cs="Consolas" w:eastAsia="Consolas" w:hAnsi="Consolas"/>
          <w:sz w:val="17"/>
          <w:szCs w:val="17"/>
        </w:rPr>
        <w:t xml:space="preserve">Author manifest  -&gt;  Register tools/MCP servers in the gateway registry  -&gt;  Wire grounding KB</w:t>
      </w:r>
    </w:p>
    <w:p>
      <w:pPr>
        <w:pBdr>
          <w:left w:val="single" w:color="2E75B6" w:sz="18" w:space="6"/>
        </w:pBdr>
        <w:shd w:fill="F2F2F2" w:val="clear"/>
        <w:spacing w:after="0" w:before="0" w:line="240"/>
      </w:pPr>
      <w:r>
        <w:rPr>
          <w:rFonts w:ascii="Consolas" w:cs="Consolas" w:eastAsia="Consolas" w:hAnsi="Consolas"/>
          <w:sz w:val="17"/>
          <w:szCs w:val="17"/>
        </w:rPr>
        <w:t xml:space="preserve">   -&gt;  Write evals  -&gt;  CI gate (the minimum bar)  -&gt;  Deploy to a sandbox env (synthetic data)</w:t>
      </w:r>
    </w:p>
    <w:p>
      <w:pPr>
        <w:pBdr>
          <w:left w:val="single" w:color="2E75B6" w:sz="18" w:space="6"/>
        </w:pBdr>
        <w:shd w:fill="F2F2F2" w:val="clear"/>
        <w:spacing w:after="0" w:before="0" w:line="240"/>
      </w:pPr>
      <w:r>
        <w:rPr>
          <w:rFonts w:ascii="Consolas" w:cs="Consolas" w:eastAsia="Consolas" w:hAnsi="Consolas"/>
          <w:sz w:val="17"/>
          <w:szCs w:val="17"/>
        </w:rPr>
        <w:t xml:space="preserve">   -&gt;  Shadow / canary against documented outcomes  -&gt;  Promote with budget + pack bound</w:t>
      </w:r>
    </w:p>
    <w:p>
      <w:pPr>
        <w:pBdr>
          <w:left w:val="single" w:color="2E75B6" w:sz="18" w:space="6"/>
        </w:pBdr>
        <w:shd w:fill="F2F2F2" w:val="clear"/>
        <w:spacing w:after="0" w:before="0" w:line="240"/>
      </w:pPr>
      <w:r>
        <w:rPr>
          <w:rFonts w:ascii="Consolas" w:cs="Consolas" w:eastAsia="Consolas" w:hAnsi="Consolas"/>
          <w:sz w:val="17"/>
          <w:szCs w:val="17"/>
        </w:rPr>
        <w:t xml:space="preserve">   -&gt;  Day-2: drift checks, budget alerts, eval re-runs on model/prompt change</w:t>
      </w:r>
    </w:p>
    <w:p>
      <w:pPr>
        <w:spacing w:after="100"/>
      </w:pPr>
      <w:r>
        <w:t xml:space="preserve"/>
      </w:r>
    </w:p>
    <w:p>
      <w:pPr>
        <w:spacing w:after="120" w:before="0" w:line="276"/>
      </w:pPr>
      <w:r>
        <w:t xml:space="preserve">New models onboard the same way: a model is registered, its inference profile and guardrail policy attached, and agents reference it by profile ARN — so swapping or adding a model is a config change, not a re-architecture. New MCP servers/tools are registered in the gateway tool registry with their scopes and validation rules before any agent may reference them (Section 8).</w:t>
      </w:r>
    </w:p>
    <w:p>
      <w:pPr>
        <w:pStyle w:val="Heading2"/>
      </w:pPr>
      <w:r>
        <w:t xml:space="preserve">5.3 The add-on / marketplace model</w:t>
      </w:r>
    </w:p>
    <w:p>
      <w:pPr>
        <w:spacing w:after="120" w:before="0" w:line="276"/>
      </w:pPr>
      <w:r>
        <w:t xml:space="preserve">Because the manifest and minimum bar are uniform, an agent built by any team or vendor is a portable product. Dropping a packaged agent into a customer's Aegis environment automatically inherits that customer's identity, data classes, guardrails, budgets, packs, and audit — there is no per-customer governance rebuild. That is what lets you package and sell agents as add-ons across industries with governance already in place. A packaged agent ships its manifest, tool definitions, grounding pack, and eval suite; deploying it is a one-command operation.</w:t>
      </w:r>
    </w:p>
    <w:p>
      <w:r>
        <w:br w:type="page"/>
      </w:r>
    </w:p>
    <w:p>
      <w:pPr>
        <w:pStyle w:val="Heading1"/>
      </w:pPr>
      <w:r>
        <w:t xml:space="preserve">6. FinOps: Token Budgets, Caps and Departmental Chargeback</w:t>
      </w:r>
    </w:p>
    <w:p>
      <w:pPr>
        <w:spacing w:after="120" w:before="0" w:line="276"/>
      </w:pPr>
      <w:r>
        <w:t xml:space="preserve">The number-one reason finance kills an AI program is that spend is unbounded and cannot be attributed. Aegis makes token spend visible, capped, and fairly charged back, built on AWS-native cost primitives.</w:t>
      </w:r>
    </w:p>
    <w:p>
      <w:pPr>
        <w:pStyle w:val="Heading2"/>
      </w:pPr>
      <w:r>
        <w:t xml:space="preserve">6.1 The two problems and the two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60"/>
        <w:gridCol w:w="3000"/>
      </w:tblGrid>
      <w:tr>
        <w:trPr>
          <w:tblHeader/>
        </w:trPr>
        <w:tc>
          <w:tcPr>
            <w:tcW w:type="dxa" w:w="2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Problem</w:t>
            </w:r>
          </w:p>
        </w:tc>
        <w:tc>
          <w:tcPr>
            <w:tcW w:type="dxa" w:w="34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Mechanism</w:t>
            </w:r>
          </w:p>
        </w:tc>
        <w:tc>
          <w:tcPr>
            <w:tcW w:type="dxa" w:w="3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AWS primitive</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“Token maxing” — one runaway agent/prompt burns the budget</w:t>
            </w:r>
          </w:p>
        </w:tc>
        <w:tc>
          <w:tcPr>
            <w:tcW w:type="dxa" w:w="3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Token budgets with hard caps, enforced in the gateway before spend</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Gateway budget check + per-agent inference profile</w:t>
            </w:r>
          </w:p>
        </w:tc>
      </w:tr>
      <w:tr>
        <w:tc>
          <w:tcPr>
            <w:tcW w:type="dxa" w:w="29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Chargeback — one department uses a model, another foots the bill</w:t>
            </w:r>
          </w:p>
        </w:tc>
        <w:tc>
          <w:tcPr>
            <w:tcW w:type="dxa" w:w="34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Per-department cost attribution -&gt; showback/chargeback</w:t>
            </w:r>
          </w:p>
        </w:tc>
        <w:tc>
          <w:tcPr>
            <w:tcW w:type="dxa" w:w="30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Application inference profiles + cost-allocation tags -&gt; Cost Explorer / CUR</w:t>
            </w:r>
          </w:p>
        </w:tc>
      </w:tr>
    </w:tbl>
    <w:p>
      <w:pPr>
        <w:pStyle w:val="Heading2"/>
      </w:pPr>
      <w:r>
        <w:t xml:space="preserve">6.2 Chargeback: how a department gets billed for its own usage</w:t>
      </w:r>
    </w:p>
    <w:p>
      <w:pPr>
        <w:spacing w:after="120" w:before="0" w:line="276"/>
      </w:pPr>
      <w:r>
        <w:t xml:space="preserve">Amazon Bedrock application inference profiles (AIPs) attribute InvokeModel / Converse costs by application, team, or workload. Each AIP is model-specific and carries cost-allocation tags that flow to AWS Cost Explorer and the Cost and Usage Report (CUR / CUR 2.0). You call the model using the profile ARN in place of the model ID, and the profile's tags attach to the billing record for every request. In Aegis, each agent declares an inference_profile and an owner in its manifest; the platform provisions one AIP per owning department/agent with tags dept, team, app, data_class, pack; all inference is routed through the AIP ARN — never a raw model ID — so 100% of model spend is tagged at the source. Cost Explorer and CUR line items produce the monthly per-department chargeback report (tags can take up to 24h to appear). IAM principal-based cost allocation provides a finer cross-check by caller identity.</w:t>
      </w:r>
    </w:p>
    <w:p>
      <w:pPr>
        <w:pBdr>
          <w:left w:val="single" w:color="2E75B6" w:sz="18" w:space="6"/>
        </w:pBdr>
        <w:shd w:fill="F2F2F2" w:val="clear"/>
        <w:spacing w:after="0" w:before="0" w:line="240"/>
      </w:pPr>
      <w:r>
        <w:rPr>
          <w:rFonts w:ascii="Consolas" w:cs="Consolas" w:eastAsia="Consolas" w:hAnsi="Consolas"/>
          <w:sz w:val="17"/>
          <w:szCs w:val="17"/>
        </w:rPr>
        <w:t xml:space="preserve">agent call -&gt; gateway (budget check) -&gt; AIP ARN (tagged dept/team/app) -&gt; Bedrock</w:t>
      </w:r>
    </w:p>
    <w:p>
      <w:pPr>
        <w:pBdr>
          <w:left w:val="single" w:color="2E75B6" w:sz="18" w:space="6"/>
        </w:pBdr>
        <w:shd w:fill="F2F2F2" w:val="clear"/>
        <w:spacing w:after="0" w:before="0" w:line="240"/>
      </w:pPr>
      <w:r>
        <w:rPr>
          <w:rFonts w:ascii="Consolas" w:cs="Consolas" w:eastAsia="Consolas" w:hAnsi="Consolas"/>
          <w:sz w:val="17"/>
          <w:szCs w:val="17"/>
        </w:rPr>
        <w:t xml:space="preserve">                                              |</w:t>
      </w:r>
    </w:p>
    <w:p>
      <w:pPr>
        <w:pBdr>
          <w:left w:val="single" w:color="2E75B6" w:sz="18" w:space="6"/>
        </w:pBdr>
        <w:shd w:fill="F2F2F2" w:val="clear"/>
        <w:spacing w:after="0" w:before="0" w:line="240"/>
      </w:pPr>
      <w:r>
        <w:rPr>
          <w:rFonts w:ascii="Consolas" w:cs="Consolas" w:eastAsia="Consolas" w:hAnsi="Consolas"/>
          <w:sz w:val="17"/>
          <w:szCs w:val="17"/>
        </w:rPr>
        <w:t xml:space="preserve">                                              +- billing record carries tags</w:t>
      </w:r>
    </w:p>
    <w:p>
      <w:pPr>
        <w:pBdr>
          <w:left w:val="single" w:color="2E75B6" w:sz="18" w:space="6"/>
        </w:pBdr>
        <w:shd w:fill="F2F2F2" w:val="clear"/>
        <w:spacing w:after="0" w:before="0" w:line="240"/>
      </w:pPr>
      <w:r>
        <w:rPr>
          <w:rFonts w:ascii="Consolas" w:cs="Consolas" w:eastAsia="Consolas" w:hAnsi="Consolas"/>
          <w:sz w:val="17"/>
          <w:szCs w:val="17"/>
        </w:rPr>
        <w:t xml:space="preserve">                                                     -&gt; Cost Explorer / CUR -&gt; chargeback report</w:t>
      </w:r>
    </w:p>
    <w:p>
      <w:pPr>
        <w:spacing w:after="100"/>
      </w:pPr>
      <w:r>
        <w:t xml:space="preserve"/>
      </w:r>
    </w:p>
    <w:p>
      <w:pPr>
        <w:pStyle w:val="Heading2"/>
      </w:pPr>
      <w:r>
        <w:t xml:space="preserve">6.3 Token budgets and caps: stopping spend before it happens</w:t>
      </w:r>
    </w:p>
    <w:p>
      <w:pPr>
        <w:spacing w:after="120" w:before="0" w:line="276"/>
      </w:pPr>
      <w:r>
        <w:t xml:space="preserve">Cost attribution is after the fact; budgets must act before. The gateway enforces a real-time budget check on every call. Each agent/department has a monthly_token_cap and alert_thresholds in its manifest; the gateway maintains a running token meter (input + output tokens, by agent/dept) and rejects or throttles calls that would breach the cap — fail-closed on budget, with a clear denial reason in the audit record. Threshold alerts (e.g. 60% / 85% / 100%) fire to the owner via the event bus / SNS, and AWS Budgets actions optionally provide a second, account-level guardrail on actual dollar spend. Soft caps warn and continue; hard caps deny; departments can request a temporary lift through an audited approval using the same human-gate machinery.</w:t>
      </w:r>
    </w:p>
    <w:p>
      <w:pPr>
        <w:pStyle w:val="Heading2"/>
      </w:pPr>
      <w:r>
        <w:t xml:space="preserve">6.4 Additional cost-control levers</w:t>
      </w:r>
    </w:p>
    <w:p>
      <w:pPr>
        <w:pStyle w:val="ListParagraph"/>
        <w:numPr>
          <w:ilvl w:val="0"/>
          <w:numId w:val="2"/>
        </w:numPr>
        <w:spacing w:after="60" w:line="268"/>
      </w:pPr>
      <w:r>
        <w:rPr>
          <w:b/>
          <w:bCs/>
        </w:rPr>
        <w:t xml:space="preserve">Model right-sizing per task </w:t>
      </w:r>
      <w:r>
        <w:t xml:space="preserve">— cheap model for classify/route, premium model only where it earns its keep; the inference profile makes the cost of each choice visible.</w:t>
      </w:r>
    </w:p>
    <w:p>
      <w:pPr>
        <w:pStyle w:val="ListParagraph"/>
        <w:numPr>
          <w:ilvl w:val="0"/>
          <w:numId w:val="2"/>
        </w:numPr>
        <w:spacing w:after="60" w:line="268"/>
      </w:pPr>
      <w:r>
        <w:rPr>
          <w:b/>
          <w:bCs/>
        </w:rPr>
        <w:t xml:space="preserve">Prompt-caching and retrieval discipline </w:t>
      </w:r>
      <w:r>
        <w:t xml:space="preserve">— governed RAG limits context bloat (fewer tokens).</w:t>
      </w:r>
    </w:p>
    <w:p>
      <w:pPr>
        <w:pStyle w:val="ListParagraph"/>
        <w:numPr>
          <w:ilvl w:val="0"/>
          <w:numId w:val="2"/>
        </w:numPr>
        <w:spacing w:after="60" w:line="268"/>
      </w:pPr>
      <w:r>
        <w:rPr>
          <w:b/>
          <w:bCs/>
        </w:rPr>
        <w:t xml:space="preserve">Caps per data class </w:t>
      </w:r>
      <w:r>
        <w:t xml:space="preserve">— high-sensitivity classes carry tighter budgets and stricter review.</w:t>
      </w:r>
    </w:p>
    <w:p>
      <w:pPr>
        <w:pStyle w:val="ListParagraph"/>
        <w:numPr>
          <w:ilvl w:val="0"/>
          <w:numId w:val="2"/>
        </w:numPr>
        <w:spacing w:after="60" w:line="268"/>
      </w:pPr>
      <w:r>
        <w:rPr>
          <w:b/>
          <w:bCs/>
        </w:rPr>
        <w:t xml:space="preserve">Showback before chargeback </w:t>
      </w:r>
      <w:r>
        <w:t xml:space="preserve">— start by showing departments their usage (behavior changes fast), then enforce chargeback once the data is trusted.</w:t>
      </w:r>
    </w:p>
    <w:p>
      <w:pPr>
        <w:spacing w:after="120" w:before="0" w:line="276"/>
      </w:pPr>
      <w:r>
        <w:rPr>
          <w:i/>
          <w:iCs/>
          <w:color w:val="595959"/>
        </w:rPr>
        <w:t xml:space="preserve">Honest limit: AIP cost-allocation tags can lag up to 24h in Cost Explorer/CUR, so the real-time control is the gateway token meter and the financial truth is the CUR; reconciliation between the two is standard day-2 FinOps practice.</w:t>
      </w:r>
    </w:p>
    <w:p>
      <w:r>
        <w:br w:type="page"/>
      </w:r>
    </w:p>
    <w:p>
      <w:pPr>
        <w:pStyle w:val="Heading1"/>
      </w:pPr>
      <w:r>
        <w:t xml:space="preserve">7. Hallucination Control and Agent Evaluation</w:t>
      </w:r>
    </w:p>
    <w:p>
      <w:pPr>
        <w:spacing w:after="120" w:before="0" w:line="276"/>
      </w:pPr>
      <w:r>
        <w:t xml:space="preserve">Hallucination control is a board-level trust question, not a model-tuning detail. Aegis layers several independent controls so that ungrounded or unsound output is blocked or flagged before a human ever acts on it, and every agent must prove its behavior with evals before promotion.</w:t>
      </w:r>
    </w:p>
    <w:p>
      <w:pPr>
        <w:pStyle w:val="Heading2"/>
      </w:pPr>
      <w:r>
        <w:t xml:space="preserve">7.1 Grounding is the primary lever — governed RAG</w:t>
      </w:r>
    </w:p>
    <w:p>
      <w:pPr>
        <w:spacing w:after="120" w:before="0" w:line="276"/>
      </w:pPr>
      <w:r>
        <w:t xml:space="preserve">The single biggest lever on hallucination is not generating from the model's parametric memory in the first place. Aegis routes agents through governed RAG over a Bedrock Knowledge Base: retrieval runs as an audited read through the gateway (kb.search_policy), security-trimmed to the caller's entitlements, and the retrieved passages become the grounding source every later check scores the answer against. This gives the model a real, current, in-scope source to answer from instead of inventing one, and makes every answer traceable — “show me the source for this” has an answer. [Impl]</w:t>
      </w:r>
    </w:p>
    <w:p>
      <w:pPr>
        <w:pStyle w:val="Heading2"/>
      </w:pPr>
      <w:r>
        <w:t xml:space="preserve">7.2 Contextual grounding checks (Bedrock Guardrails)</w:t>
      </w:r>
    </w:p>
    <w:p>
      <w:pPr>
        <w:spacing w:after="120" w:before="0" w:line="276"/>
      </w:pPr>
      <w:r>
        <w:t xml:space="preserve">On top of governed RAG, Bedrock Guardrails apply a contextual grounding check that detects and filters hallucinations in RAG by scoring two dimensions, each on a configurable threshold 0–0.99: grounding (is the response factually supported by the retrieved source?) and relevance (does the response actually answer the user's query?). Responses below the configured thresholds are blocked or flagged before they reach a human. The threshold is declared per agent in the manifest (grounding_threshold), so high-stakes agents can demand stricter grounding than low-stakes ones. [Impl Guardrail wiring / Cfg threshold tuning]</w:t>
      </w:r>
    </w:p>
    <w:p>
      <w:pPr>
        <w:pStyle w:val="Heading2"/>
      </w:pPr>
      <w:r>
        <w:t xml:space="preserve">7.3 Automated reasoning checks (Bedrock Guardrails)</w:t>
      </w:r>
    </w:p>
    <w:p>
      <w:pPr>
        <w:spacing w:after="120" w:before="0" w:line="276"/>
      </w:pPr>
      <w:r>
        <w:t xml:space="preserve">Contextual grounding answers “is this supported by the source?” Automated reasoning checks answer a harder question: “is this logically and factually sound against a defined policy?” Bedrock Guardrails automated reasoning checks use formal logic and mathematical techniques to validate responses against a customer-defined policy. This is the first GenAI safeguard to use formal logic to help prevent factual errors from hallucinations — it can mathematically validate that an answer is consistent with codified rules rather than relying on probabilistic judgment. This matters most where rules are precise and an error is consequential: eligibility logic, benefit rules, regulatory constraints, dosage or pricing rules. [Impl Guardrail wiring / Cfg policy authoring]</w:t>
      </w:r>
    </w:p>
    <w:p>
      <w:pPr>
        <w:pStyle w:val="Heading2"/>
      </w:pPr>
      <w:r>
        <w:t xml:space="preserve">7.4 Keep deterministic decisioning outside the LLM</w:t>
      </w:r>
    </w:p>
    <w:p>
      <w:pPr>
        <w:spacing w:after="120" w:before="0" w:line="276"/>
      </w:pPr>
      <w:r>
        <w:t xml:space="preserve">For regulated decisions, the soundest hallucination control is to not ask the model to make the decision at all. Aegis keeps deterministic decisioning engines (eligibility rules, benefit calculations, statutory thresholds) outside the LLM as conventional, testable, auditable code. The agent gathers context, drafts, and explains, but the actual issue/adjudicate/release/award/transfer decision is either a deterministic engine or a human gate — never a free-generated model output. [Impl]</w:t>
      </w:r>
    </w:p>
    <w:p>
      <w:pPr>
        <w:pStyle w:val="Heading2"/>
      </w:pPr>
      <w:r>
        <w:t xml:space="preserve">7.5 The eval harness (required by the minimum bar)</w:t>
      </w:r>
    </w:p>
    <w:p>
      <w:pPr>
        <w:spacing w:after="120" w:before="0" w:line="276"/>
      </w:pPr>
      <w:r>
        <w:t xml:space="preserve">No agent reaches a system of record without passing an eval suite at its declared rate (min_pass_rate, default 0.95). The required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Eval dimension</w:t>
            </w:r>
          </w:p>
        </w:tc>
        <w:tc>
          <w:tcPr>
            <w:tcW w:type="dxa" w:w="4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What it measures</w:t>
            </w:r>
          </w:p>
        </w:tc>
        <w:tc>
          <w:tcPr>
            <w:tcW w:type="dxa" w:w="2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Why it's a gate</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Accuracy</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Correctness against a labeled gold set, with grounding-source checks</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Catches confabulation before promotion</w:t>
            </w:r>
          </w:p>
        </w:tc>
      </w:tr>
      <w:tr>
        <w:tc>
          <w:tcPr>
            <w:tcW w:type="dxa" w:w="2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Refusal</w:t>
            </w:r>
          </w:p>
        </w:tc>
        <w:tc>
          <w:tcPr>
            <w:tcW w:type="dxa" w:w="43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The agent declines out-of-scope, unsupported, or ungrounded requests instead of inventing</w:t>
            </w:r>
          </w:p>
        </w:tc>
        <w:tc>
          <w:tcPr>
            <w:tcW w:type="dxa" w:w="27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Refusal is a feature, not a failure</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Fairness / four-fifths</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Outcome parity across protected groups (four-fifths / 80% rule)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Surfaces disparate impact before it ships</w:t>
            </w:r>
          </w:p>
        </w:tc>
      </w:tr>
      <w:tr>
        <w:tc>
          <w:tcPr>
            <w:tcW w:type="dxa" w:w="2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Prompt-injection resistance</w:t>
            </w:r>
          </w:p>
        </w:tc>
        <w:tc>
          <w:tcPr>
            <w:tcW w:type="dxa" w:w="43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Robustness to instructions hidden in retrieved content or user input</w:t>
            </w:r>
          </w:p>
        </w:tc>
        <w:tc>
          <w:tcPr>
            <w:tcW w:type="dxa" w:w="27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Tool/data boundaries hold under attack</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Accessibility</w:t>
            </w:r>
          </w:p>
        </w:tc>
        <w:tc>
          <w:tcPr>
            <w:tcW w:type="dxa" w:w="4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User-facing output meets accessibility requirements</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Required for public-facing agents</w:t>
            </w:r>
          </w:p>
        </w:tc>
      </w:tr>
    </w:tbl>
    <w:p>
      <w:pPr>
        <w:spacing w:after="60"/>
      </w:pPr>
      <w:r>
        <w:t xml:space="preserve"/>
      </w:r>
    </w:p>
    <w:p>
      <w:pPr>
        <w:spacing w:after="120" w:before="0" w:line="276"/>
      </w:pPr>
      <w:r>
        <w:t xml:space="preserve">Evals are re-run on any model or prompt change as a day-2 drift control, so swapping a model or editing a prompt cannot silently regress behavior.</w:t>
      </w:r>
    </w:p>
    <w:p>
      <w:pPr>
        <w:pStyle w:val="Heading2"/>
      </w:pPr>
      <w:r>
        <w:t xml:space="preserve">7.6 The trust pipeline</w:t>
      </w:r>
    </w:p>
    <w:p>
      <w:pPr>
        <w:spacing w:after="120" w:before="0" w:line="276"/>
      </w:pPr>
      <w:r>
        <w:t xml:space="preserve">Every agent answer that could reach a person passes through this chain; a failure at any stage blocks, flags, or routes to a human rather than returning an unsound answer:</w:t>
      </w:r>
    </w:p>
    <w:p>
      <w:pPr>
        <w:pBdr>
          <w:left w:val="single" w:color="2E75B6" w:sz="18" w:space="6"/>
        </w:pBdr>
        <w:shd w:fill="F2F2F2" w:val="clear"/>
        <w:spacing w:after="0" w:before="0" w:line="240"/>
      </w:pPr>
      <w:r>
        <w:rPr>
          <w:rFonts w:ascii="Consolas" w:cs="Consolas" w:eastAsia="Consolas" w:hAnsi="Consolas"/>
          <w:sz w:val="17"/>
          <w:szCs w:val="17"/>
        </w:rPr>
        <w:t xml:space="preserve">User request</w:t>
      </w:r>
    </w:p>
    <w:p>
      <w:pPr>
        <w:pBdr>
          <w:left w:val="single" w:color="2E75B6" w:sz="18" w:space="6"/>
        </w:pBdr>
        <w:shd w:fill="F2F2F2" w:val="clear"/>
        <w:spacing w:after="0" w:before="0" w:line="240"/>
      </w:pPr>
      <w:r>
        <w:rPr>
          <w:rFonts w:ascii="Consolas" w:cs="Consolas" w:eastAsia="Consolas" w:hAnsi="Consolas"/>
          <w:sz w:val="17"/>
          <w:szCs w:val="17"/>
        </w:rPr>
        <w:t xml:space="preserve">  -&gt; Gateway: re-validate identity, least-privilege intersection, scope check   [block if out of scope]</w:t>
      </w:r>
    </w:p>
    <w:p>
      <w:pPr>
        <w:pBdr>
          <w:left w:val="single" w:color="2E75B6" w:sz="18" w:space="6"/>
        </w:pBdr>
        <w:shd w:fill="F2F2F2" w:val="clear"/>
        <w:spacing w:after="0" w:before="0" w:line="240"/>
      </w:pPr>
      <w:r>
        <w:rPr>
          <w:rFonts w:ascii="Consolas" w:cs="Consolas" w:eastAsia="Consolas" w:hAnsi="Consolas"/>
          <w:sz w:val="17"/>
          <w:szCs w:val="17"/>
        </w:rPr>
        <w:t xml:space="preserve">  -&gt; Governed RAG: audited, entitlement-trimmed retrieval from the Knowledge Base [grounding source captured]</w:t>
      </w:r>
    </w:p>
    <w:p>
      <w:pPr>
        <w:pBdr>
          <w:left w:val="single" w:color="2E75B6" w:sz="18" w:space="6"/>
        </w:pBdr>
        <w:shd w:fill="F2F2F2" w:val="clear"/>
        <w:spacing w:after="0" w:before="0" w:line="240"/>
      </w:pPr>
      <w:r>
        <w:rPr>
          <w:rFonts w:ascii="Consolas" w:cs="Consolas" w:eastAsia="Consolas" w:hAnsi="Consolas"/>
          <w:sz w:val="17"/>
          <w:szCs w:val="17"/>
        </w:rPr>
        <w:t xml:space="preserve">  -&gt; Bedrock model (in-account, over PrivateLink) drafts an answer from the source</w:t>
      </w:r>
    </w:p>
    <w:p>
      <w:pPr>
        <w:pBdr>
          <w:left w:val="single" w:color="2E75B6" w:sz="18" w:space="6"/>
        </w:pBdr>
        <w:shd w:fill="F2F2F2" w:val="clear"/>
        <w:spacing w:after="0" w:before="0" w:line="240"/>
      </w:pPr>
      <w:r>
        <w:rPr>
          <w:rFonts w:ascii="Consolas" w:cs="Consolas" w:eastAsia="Consolas" w:hAnsi="Consolas"/>
          <w:sz w:val="17"/>
          <w:szCs w:val="17"/>
        </w:rPr>
        <w:t xml:space="preserve">  -&gt; Guardrails - input/output:</w:t>
      </w:r>
    </w:p>
    <w:p>
      <w:pPr>
        <w:pBdr>
          <w:left w:val="single" w:color="2E75B6" w:sz="18" w:space="6"/>
        </w:pBdr>
        <w:shd w:fill="F2F2F2" w:val="clear"/>
        <w:spacing w:after="0" w:before="0" w:line="240"/>
      </w:pPr>
      <w:r>
        <w:rPr>
          <w:rFonts w:ascii="Consolas" w:cs="Consolas" w:eastAsia="Consolas" w:hAnsi="Consolas"/>
          <w:sz w:val="17"/>
          <w:szCs w:val="17"/>
        </w:rPr>
        <w:t xml:space="preserve">        - PII/sensitive-info filters                                            [mask / block]</w:t>
      </w:r>
    </w:p>
    <w:p>
      <w:pPr>
        <w:pBdr>
          <w:left w:val="single" w:color="2E75B6" w:sz="18" w:space="6"/>
        </w:pBdr>
        <w:shd w:fill="F2F2F2" w:val="clear"/>
        <w:spacing w:after="0" w:before="0" w:line="240"/>
      </w:pPr>
      <w:r>
        <w:rPr>
          <w:rFonts w:ascii="Consolas" w:cs="Consolas" w:eastAsia="Consolas" w:hAnsi="Consolas"/>
          <w:sz w:val="17"/>
          <w:szCs w:val="17"/>
        </w:rPr>
        <w:t xml:space="preserve">        - Contextual grounding check (grounding + relevance, 0-0.99)            [block/flag if below threshold]</w:t>
      </w:r>
    </w:p>
    <w:p>
      <w:pPr>
        <w:pBdr>
          <w:left w:val="single" w:color="2E75B6" w:sz="18" w:space="6"/>
        </w:pBdr>
        <w:shd w:fill="F2F2F2" w:val="clear"/>
        <w:spacing w:after="0" w:before="0" w:line="240"/>
      </w:pPr>
      <w:r>
        <w:rPr>
          <w:rFonts w:ascii="Consolas" w:cs="Consolas" w:eastAsia="Consolas" w:hAnsi="Consolas"/>
          <w:sz w:val="17"/>
          <w:szCs w:val="17"/>
        </w:rPr>
        <w:t xml:space="preserve">        - Automated reasoning check (formal logic vs defined policy)            [block/flag if unsound]</w:t>
      </w:r>
    </w:p>
    <w:p>
      <w:pPr>
        <w:pBdr>
          <w:left w:val="single" w:color="2E75B6" w:sz="18" w:space="6"/>
        </w:pBdr>
        <w:shd w:fill="F2F2F2" w:val="clear"/>
        <w:spacing w:after="0" w:before="0" w:line="240"/>
      </w:pPr>
      <w:r>
        <w:rPr>
          <w:rFonts w:ascii="Consolas" w:cs="Consolas" w:eastAsia="Consolas" w:hAnsi="Consolas"/>
          <w:sz w:val="17"/>
          <w:szCs w:val="17"/>
        </w:rPr>
        <w:t xml:space="preserve">  -&gt; Consequential action? -&gt; NOT generated by the model -&gt; deterministic engine OR human gate</w:t>
      </w:r>
    </w:p>
    <w:p>
      <w:pPr>
        <w:pBdr>
          <w:left w:val="single" w:color="2E75B6" w:sz="18" w:space="6"/>
        </w:pBdr>
        <w:shd w:fill="F2F2F2" w:val="clear"/>
        <w:spacing w:after="0" w:before="0" w:line="240"/>
      </w:pPr>
      <w:r>
        <w:rPr>
          <w:rFonts w:ascii="Consolas" w:cs="Consolas" w:eastAsia="Consolas" w:hAnsi="Consolas"/>
          <w:sz w:val="17"/>
          <w:szCs w:val="17"/>
        </w:rPr>
        <w:t xml:space="preserve">  -&gt; Append-only audit record (allow / deny / flagged) with grounding lineage    [evidence]</w:t>
      </w:r>
    </w:p>
    <w:p>
      <w:pPr>
        <w:spacing w:after="100"/>
      </w:pPr>
      <w:r>
        <w:t xml:space="preserve"/>
      </w:r>
    </w:p>
    <w:p>
      <w:pPr>
        <w:spacing w:after="120" w:before="0" w:line="276"/>
      </w:pPr>
      <w:r>
        <w:rPr>
          <w:i/>
          <w:iCs/>
          <w:color w:val="595959"/>
        </w:rPr>
        <w:t xml:space="preserve">The principle: the model proposes; governed retrieval grounds it; guardrails validate it; deterministic logic or a human decides it; the audit records it.</w:t>
      </w:r>
    </w:p>
    <w:p>
      <w:pPr>
        <w:spacing w:after="120" w:before="0" w:line="276"/>
      </w:pPr>
      <w:r>
        <w:rPr>
          <w:i/>
          <w:iCs/>
          <w:color w:val="595959"/>
        </w:rPr>
        <w:t xml:space="preserve">Honest limit: contextual grounding and automated reasoning reduce but do not eliminate hallucination; thresholds and policies are customer-configured and need tuning per workflow, and eval gold sets and fairness baselines are customer-owned data-quality work.</w:t>
      </w:r>
    </w:p>
    <w:p>
      <w:r>
        <w:br w:type="page"/>
      </w:r>
    </w:p>
    <w:p>
      <w:pPr>
        <w:pStyle w:val="Heading1"/>
      </w:pPr>
      <w:r>
        <w:t xml:space="preserve">8. MCP Gateway and Tool Validation / Invalidation</w:t>
      </w:r>
    </w:p>
    <w:p>
      <w:pPr>
        <w:pStyle w:val="Heading2"/>
      </w:pPr>
      <w:r>
        <w:t xml:space="preserve">8.1 The gateway — one secure tool endpoint</w:t>
      </w:r>
    </w:p>
    <w:p>
      <w:pPr>
        <w:spacing w:after="120" w:before="0" w:line="276"/>
      </w:pPr>
      <w:r>
        <w:t xml:space="preserve">On AWS this is Amazon Bedrock AgentCore Gateway (GA October 13, 2025), which connects agents to existing MCP servers and turns APIs and Lambda functions into agent tools, with IAM and OAuth authorization, exposed as one secure tool endpoint. AgentCore Identity adds identity-aware authorization and a secure token vault, and all AgentCore services support VPC, PrivateLink, CloudFormation, and resource tagging. In Aegis the gateway is also the authorization control plane: every model call, tool call, and retrieval is brokered here. An agent never holds a long-lived credential to a downstream system and never talks to an MCP server directly — it asks the gateway, which decides, mints a scoped token, and records the attempt.</w:t>
      </w:r>
    </w:p>
    <w:p>
      <w:pPr>
        <w:pStyle w:val="Heading2"/>
      </w:pPr>
      <w:r>
        <w:t xml:space="preserve">8.2 The tool registry — nothing is reachable until registered</w:t>
      </w:r>
    </w:p>
    <w:p>
      <w:pPr>
        <w:spacing w:after="120" w:before="0" w:line="276"/>
      </w:pPr>
      <w:r>
        <w:t xml:space="preserve">Every MCP server and every tool is registered in the gateway tool registry — with scopes and validation rules — before any agent may reference it. An agent manifest can only grant tools by their registered id; CI rejects an agent that references an unregistered tool. The registry is the allow-list: if it is not in the registry, it does not exist to any agent. Each registry entry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Field</w:t>
            </w:r>
          </w:p>
        </w:tc>
        <w:tc>
          <w:tcPr>
            <w:tcW w:type="dxa" w:w="76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pPr>
            <w:r>
              <w:rPr>
                <w:b/>
                <w:bCs/>
                <w:color w:val="1F3864"/>
                <w:sz w:val="18"/>
                <w:szCs w:val="18"/>
              </w:rPr>
              <w:t xml:space="preserve">Purpose</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id</w:t>
            </w:r>
          </w:p>
        </w:tc>
        <w:tc>
          <w:tcPr>
            <w:tcW w:type="dxa" w:w="7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The stable tool identifier agents grant against</w:t>
            </w:r>
          </w:p>
        </w:tc>
      </w:tr>
      <w:tr>
        <w:tc>
          <w:tcPr>
            <w:tcW w:type="dxa" w:w="17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server</w:t>
            </w:r>
          </w:p>
        </w:tc>
        <w:tc>
          <w:tcPr>
            <w:tcW w:type="dxa" w:w="7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The MCP server / API / Lambda backing the tool</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scopes</w:t>
            </w:r>
          </w:p>
        </w:tc>
        <w:tc>
          <w:tcPr>
            <w:tcW w:type="dxa" w:w="7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The discrete capabilities (e.g. read, write, issue) the tool exposes</w:t>
            </w:r>
          </w:p>
        </w:tc>
      </w:tr>
      <w:tr>
        <w:tc>
          <w:tcPr>
            <w:tcW w:type="dxa" w:w="17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schema</w:t>
            </w:r>
          </w:p>
        </w:tc>
        <w:tc>
          <w:tcPr>
            <w:tcW w:type="dxa" w:w="7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The input/output contract the gateway validates calls against</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auth</w:t>
            </w:r>
          </w:p>
        </w:tc>
        <w:tc>
          <w:tcPr>
            <w:tcW w:type="dxa" w:w="7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IAM role or OAuth scope used to reach the backend</w:t>
            </w:r>
          </w:p>
        </w:tc>
      </w:tr>
      <w:tr>
        <w:tc>
          <w:tcPr>
            <w:tcW w:type="dxa" w:w="17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data_classes</w:t>
            </w:r>
          </w:p>
        </w:tc>
        <w:tc>
          <w:tcPr>
            <w:tcW w:type="dxa" w:w="7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Which data classes (CJI/FTI/PHI/EDU/public) the tool may touch</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sz w:val="18"/>
                <w:szCs w:val="18"/>
              </w:rPr>
              <w:t xml:space="preserve">provenance</w:t>
            </w:r>
          </w:p>
        </w:tc>
        <w:tc>
          <w:tcPr>
            <w:tcW w:type="dxa" w:w="7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Publisher + signature / image digest of the tool definition</w:t>
            </w:r>
          </w:p>
        </w:tc>
      </w:tr>
      <w:tr>
        <w:tc>
          <w:tcPr>
            <w:tcW w:type="dxa" w:w="17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bCs/>
                <w:sz w:val="18"/>
                <w:szCs w:val="18"/>
              </w:rPr>
              <w:t xml:space="preserve">status</w:t>
            </w:r>
          </w:p>
        </w:tc>
        <w:tc>
          <w:tcPr>
            <w:tcW w:type="dxa" w:w="76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active, deprecated, or revoked (drives fail-closed behavior)</w:t>
            </w:r>
          </w:p>
        </w:tc>
      </w:tr>
    </w:tbl>
    <w:p>
      <w:pPr>
        <w:pStyle w:val="Heading2"/>
      </w:pPr>
      <w:r>
        <w:t xml:space="preserve">8.3 Tool validation — what must pass before a tool goes active</w:t>
      </w:r>
    </w:p>
    <w:p>
      <w:pPr>
        <w:pStyle w:val="ListParagraph"/>
        <w:numPr>
          <w:ilvl w:val="0"/>
          <w:numId w:val="3"/>
        </w:numPr>
        <w:spacing w:after="60" w:line="268"/>
      </w:pPr>
      <w:r>
        <w:rPr>
          <w:b/>
          <w:bCs/>
        </w:rPr>
        <w:t xml:space="preserve">Schema / contract validation. </w:t>
      </w:r>
      <w:r>
        <w:t xml:space="preserve">The tool publishes a typed input/output schema; the gateway validates every call's arguments and the tool's response against it. Malformed or out-of-contract calls are rejected before they reach the backend. [Impl]</w:t>
      </w:r>
    </w:p>
    <w:p>
      <w:pPr>
        <w:pStyle w:val="ListParagraph"/>
        <w:numPr>
          <w:ilvl w:val="0"/>
          <w:numId w:val="3"/>
        </w:numPr>
        <w:spacing w:after="60" w:line="268"/>
      </w:pPr>
      <w:r>
        <w:rPr>
          <w:b/>
          <w:bCs/>
        </w:rPr>
        <w:t xml:space="preserve">Scope declaration. </w:t>
      </w:r>
      <w:r>
        <w:t xml:space="preserve">Every capability the tool exposes is declared as a discrete scope; an agent must grant each scope explicitly. There is no implicit “all access.” [Impl]</w:t>
      </w:r>
    </w:p>
    <w:p>
      <w:pPr>
        <w:pStyle w:val="ListParagraph"/>
        <w:numPr>
          <w:ilvl w:val="0"/>
          <w:numId w:val="3"/>
        </w:numPr>
        <w:spacing w:after="60" w:line="268"/>
      </w:pPr>
      <w:r>
        <w:rPr>
          <w:b/>
          <w:bCs/>
        </w:rPr>
        <w:t xml:space="preserve">Allow-listing. </w:t>
      </w:r>
      <w:r>
        <w:t xml:space="preserve">Only registered servers/tools are reachable. The gateway operates deny-by-default — an unknown tool id, unknown server, or undeclared scope is denied. [Impl]</w:t>
      </w:r>
    </w:p>
    <w:p>
      <w:pPr>
        <w:pStyle w:val="ListParagraph"/>
        <w:numPr>
          <w:ilvl w:val="0"/>
          <w:numId w:val="3"/>
        </w:numPr>
        <w:spacing w:after="60" w:line="268"/>
      </w:pPr>
      <w:r>
        <w:rPr>
          <w:b/>
          <w:bCs/>
        </w:rPr>
        <w:t xml:space="preserve">Signature / provenance. </w:t>
      </w:r>
      <w:r>
        <w:t xml:space="preserve">The tool definition (and, for packaged tools, its image/artifact) is signed by a known publisher; the gateway verifies provenance at registration and at load. [Impl/Cfg publisher trust]</w:t>
      </w:r>
    </w:p>
    <w:p>
      <w:pPr>
        <w:pStyle w:val="ListParagraph"/>
        <w:numPr>
          <w:ilvl w:val="0"/>
          <w:numId w:val="3"/>
        </w:numPr>
        <w:spacing w:after="60" w:line="268"/>
      </w:pPr>
      <w:r>
        <w:rPr>
          <w:b/>
          <w:bCs/>
        </w:rPr>
        <w:t xml:space="preserve">Data-class compatibility. </w:t>
      </w:r>
      <w:r>
        <w:t xml:space="preserve">The tool's declared data_classes must be compatible with the environment's active packs and the agent's classification; a tool that touches PHI cannot be used by an agent or environment not cleared for PHI. [Impl]</w:t>
      </w:r>
    </w:p>
    <w:p>
      <w:pPr>
        <w:pStyle w:val="Heading2"/>
      </w:pPr>
      <w:r>
        <w:t xml:space="preserve">8.4 Per-call scoped token minting</w:t>
      </w:r>
    </w:p>
    <w:p>
      <w:pPr>
        <w:spacing w:after="120" w:before="0" w:line="276"/>
      </w:pPr>
      <w:r>
        <w:t xml:space="preserve">When the gateway permits a call, it computes permitted (agent grant intersected with user entitlement) — least-privilege as an intersection, the agent can never exceed the human it acts for — and then mints a scoped, per-call token for exactly that tool and scope. The token is short-lived and single-use; it is never a long-lived credential and never broader than the one call. This is AgentCore Identity's identity-aware authorization and token vault in production. The result: even a fully compromised agent process holds no standing credential to any backend — only momentary, narrowly-scoped tokens the gateway chose to issue. [Impl]</w:t>
      </w:r>
    </w:p>
    <w:p>
      <w:pPr>
        <w:pStyle w:val="Heading2"/>
      </w:pPr>
      <w:r>
        <w:t xml:space="preserve">8.5 Invalidation and revocation — failing closed on a bad tool</w:t>
      </w:r>
    </w:p>
    <w:p>
      <w:pPr>
        <w:spacing w:after="120" w:before="0" w:line="276"/>
      </w:pPr>
      <w:r>
        <w:t xml:space="preserve">When a tool or MCP server is compromised, mis-behaving, or deprecated, it must be removable platform-wide in one action:</w:t>
      </w:r>
    </w:p>
    <w:p>
      <w:pPr>
        <w:pStyle w:val="ListParagraph"/>
        <w:numPr>
          <w:ilvl w:val="0"/>
          <w:numId w:val="2"/>
        </w:numPr>
        <w:spacing w:after="60" w:line="268"/>
      </w:pPr>
      <w:r>
        <w:rPr>
          <w:b/>
          <w:bCs/>
        </w:rPr>
        <w:t xml:space="preserve">Status flip to revoked. </w:t>
      </w:r>
      <w:r>
        <w:t xml:space="preserve">Setting a registry entry to revoked (or deprecated) takes effect at the gateway immediately; because every call is brokered, no agent can route around it. [Impl]</w:t>
      </w:r>
    </w:p>
    <w:p>
      <w:pPr>
        <w:pStyle w:val="ListParagraph"/>
        <w:numPr>
          <w:ilvl w:val="0"/>
          <w:numId w:val="2"/>
        </w:numPr>
        <w:spacing w:after="60" w:line="268"/>
      </w:pPr>
      <w:r>
        <w:rPr>
          <w:b/>
          <w:bCs/>
        </w:rPr>
        <w:t xml:space="preserve">Token revocation. </w:t>
      </w:r>
      <w:r>
        <w:t xml:space="preserve">Outstanding scoped tokens for the revoked tool/server are invalidated via the AgentCore Identity token vault, so in-flight or cached tokens stop working. [Impl/Cfg]</w:t>
      </w:r>
    </w:p>
    <w:p>
      <w:pPr>
        <w:pStyle w:val="ListParagraph"/>
        <w:numPr>
          <w:ilvl w:val="0"/>
          <w:numId w:val="2"/>
        </w:numPr>
        <w:spacing w:after="60" w:line="268"/>
      </w:pPr>
      <w:r>
        <w:rPr>
          <w:b/>
          <w:bCs/>
        </w:rPr>
        <w:t xml:space="preserve">Deny-listing. </w:t>
      </w:r>
      <w:r>
        <w:t xml:space="preserve">A revoked server/tool is added to an explicit deny-list that overrides any allow-list grant, so a stale manifest cannot resurrect it. [Impl]</w:t>
      </w:r>
    </w:p>
    <w:p>
      <w:pPr>
        <w:pStyle w:val="ListParagraph"/>
        <w:numPr>
          <w:ilvl w:val="0"/>
          <w:numId w:val="2"/>
        </w:numPr>
        <w:spacing w:after="60" w:line="268"/>
      </w:pPr>
      <w:r>
        <w:rPr>
          <w:b/>
          <w:bCs/>
        </w:rPr>
        <w:t xml:space="preserve">Fail closed. </w:t>
      </w:r>
      <w:r>
        <w:t xml:space="preserve">If the gateway cannot verify a tool's provenance, validate its schema, or reach its authorization decision, it denies rather than allows. Unavailability is treated as deny, never allow. [Impl]</w:t>
      </w:r>
    </w:p>
    <w:p>
      <w:pPr>
        <w:pStyle w:val="ListParagraph"/>
        <w:numPr>
          <w:ilvl w:val="0"/>
          <w:numId w:val="2"/>
        </w:numPr>
        <w:spacing w:after="60" w:line="268"/>
      </w:pPr>
      <w:r>
        <w:rPr>
          <w:b/>
          <w:bCs/>
        </w:rPr>
        <w:t xml:space="preserve">Audit. </w:t>
      </w:r>
      <w:r>
        <w:t xml:space="preserve">Every revocation, every subsequent denied call, and the reason are written to the append-only audit, so revocation itself is evidence. [Impl]</w:t>
      </w:r>
    </w:p>
    <w:p>
      <w:pPr>
        <w:spacing w:after="120" w:before="0" w:line="276"/>
      </w:pPr>
      <w:r>
        <w:rPr>
          <w:i/>
          <w:iCs/>
          <w:color w:val="595959"/>
        </w:rPr>
        <w:t xml:space="preserve">Because revocation is enforced at the single broker rather than in each agent, the blast radius of a compromised tool is one registry flip, not a hunt across every agent that might reference it.</w:t>
      </w:r>
    </w:p>
    <w:p>
      <w:r>
        <w:br w:type="page"/>
      </w:r>
    </w:p>
    <w:p>
      <w:pPr>
        <w:pStyle w:val="Heading1"/>
      </w:pPr>
      <w:r>
        <w:t xml:space="preserve">9. Deployability</w:t>
      </w:r>
    </w:p>
    <w:p>
      <w:pPr>
        <w:spacing w:after="120" w:before="0" w:line="276"/>
      </w:pPr>
      <w:r>
        <w:t xml:space="preserve">The governance core is implemented and testable today, not vaporware. Three concrete proofs accompany the architecture.</w:t>
      </w:r>
    </w:p>
    <w:p>
      <w:pPr>
        <w:pStyle w:val="Heading2"/>
      </w:pPr>
      <w:r>
        <w:t xml:space="preserve">9.1 The runnable laptop demo</w:t>
      </w:r>
    </w:p>
    <w:p>
      <w:pPr>
        <w:spacing w:after="120" w:before="0" w:line="276"/>
      </w:pPr>
      <w:r>
        <w:t xml:space="preserve">A single command exercises the entire Aegis governance control plane end to end on a laptop — no AWS, no API key, no network, Python standard library only. It is the offline test analog of the production enforcement path (AgentCore Gateway + Policy in AgentCore / Amazon Verified Permissions, Cedar).</w:t>
      </w:r>
    </w:p>
    <w:p>
      <w:pPr>
        <w:pBdr>
          <w:left w:val="single" w:color="2E75B6" w:sz="18" w:space="6"/>
        </w:pBdr>
        <w:shd w:fill="F2F2F2" w:val="clear"/>
        <w:spacing w:after="0" w:before="0" w:line="240"/>
      </w:pPr>
      <w:r>
        <w:rPr>
          <w:rFonts w:ascii="Consolas" w:cs="Consolas" w:eastAsia="Consolas" w:hAnsi="Consolas"/>
          <w:sz w:val="17"/>
          <w:szCs w:val="17"/>
        </w:rPr>
        <w:t xml:space="preserve">python3 demo/clean_account_acceptance.py</w:t>
      </w:r>
    </w:p>
    <w:p>
      <w:pPr>
        <w:spacing w:after="80"/>
      </w:pPr>
      <w:r>
        <w:t xml:space="preserve"/>
      </w:r>
    </w:p>
    <w:p>
      <w:pPr>
        <w:spacing w:after="120" w:before="0" w:line="276"/>
      </w:pPr>
      <w:r>
        <w:t xml:space="preserve">The acceptance run prints a PASS/FAIL line per step and exits non-zero if any step fails. A green run — 18 of 18 steps passed, 0 failed — demonstrates every governance promise in about one second: schema-validated signed manifest registration, tool-registry registration, a wired grounding source, the model gateway flagging an ungrounded answer as a hallucination, an over-budget call denied before spend, deny-by-default on an unauthorized tool, a data-class boundary denial, a consequential action withheld and routed to the human gate, separation-of-duties blocking self-approval, a bound single-use approval token, one-time execution with a scoped per-call token (OBO/STS analog), a rejected replay, a hash-chained append-only audit that raises on mutation, a sealed WORM evidence export, masked SSN/email in the usage ledger, and a per-department chargeback CSV with application-inference-profile tags.</w:t>
      </w:r>
    </w:p>
    <w:p>
      <w:pPr>
        <w:pStyle w:val="Heading2"/>
      </w:pPr>
      <w:r>
        <w:t xml:space="preserve">9.2 CloudFormation that passes cfn-lint</w:t>
      </w:r>
    </w:p>
    <w:p>
      <w:pPr>
        <w:spacing w:after="120" w:before="0" w:line="276"/>
      </w:pPr>
      <w:r>
        <w:t xml:space="preserve">The repository ships a CloudFormation core (infra/cloudformation/governance-core.yaml) and a sample agent stack (infra/cloudformation/sample-agent.yaml), validated offline with cfn-lint (no credentials, no network) via infra/scripts/validate.sh. IaC parity is maintained across CloudFormation and Terraform, commercial and GovCloud.</w:t>
      </w:r>
    </w:p>
    <w:p>
      <w:pPr>
        <w:pStyle w:val="Heading2"/>
      </w:pPr>
      <w:r>
        <w:t xml:space="preserve">9.3 Adding a new agent in one command</w:t>
      </w:r>
    </w:p>
    <w:p>
      <w:pPr>
        <w:spacing w:after="120" w:before="0" w:line="276"/>
      </w:pPr>
      <w:r>
        <w:t xml:space="preserve">The platform is designed to be easy to add agents to after it is up. The scaffolder generates a conformant agent package and validates it against the manifest schema before writing:</w:t>
      </w:r>
    </w:p>
    <w:p>
      <w:pPr>
        <w:pBdr>
          <w:left w:val="single" w:color="2E75B6" w:sz="18" w:space="6"/>
        </w:pBdr>
        <w:shd w:fill="F2F2F2" w:val="clear"/>
        <w:spacing w:after="0" w:before="0" w:line="240"/>
      </w:pPr>
      <w:r>
        <w:rPr>
          <w:rFonts w:ascii="Consolas" w:cs="Consolas" w:eastAsia="Consolas" w:hAnsi="Consolas"/>
          <w:sz w:val="17"/>
          <w:szCs w:val="17"/>
        </w:rPr>
        <w:t xml:space="preserve">python3 tools/add_agent.py --id billing-inquiry --owner dept-finance \</w:t>
      </w:r>
    </w:p>
    <w:p>
      <w:pPr>
        <w:pBdr>
          <w:left w:val="single" w:color="2E75B6" w:sz="18" w:space="6"/>
        </w:pBdr>
        <w:shd w:fill="F2F2F2" w:val="clear"/>
        <w:spacing w:after="0" w:before="0" w:line="240"/>
      </w:pPr>
      <w:r>
        <w:rPr>
          <w:rFonts w:ascii="Consolas" w:cs="Consolas" w:eastAsia="Consolas" w:hAnsi="Consolas"/>
          <w:sz w:val="17"/>
          <w:szCs w:val="17"/>
        </w:rPr>
        <w:t xml:space="preserve">    --pack enterprise --blast-radius low</w:t>
      </w:r>
    </w:p>
    <w:p>
      <w:pPr>
        <w:spacing w:after="80"/>
      </w:pPr>
      <w:r>
        <w:t xml:space="preserve"/>
      </w:r>
    </w:p>
    <w:p>
      <w:pPr>
        <w:spacing w:after="120" w:before="0" w:line="276"/>
      </w:pPr>
      <w:r>
        <w:t xml:space="preserve">This writes a complete agent package (manifest, runbook, README documenting how it clears the nine-point minimum bar). Two ready-made sample agents ship in sample_agents/: service-desk-triage (enterprise pack, low blast radius) and resident-services-311 (slg pack, low blast radius). The control plane itself is pure Python, standard library only — no third-party dependencies, no boto3, no network — across the policy_engine, masker, token_budget, approval_ledger, audit_ledger, chargeback, model_gateway, gateway, and manifest_loader modules.</w:t>
      </w:r>
    </w:p>
    <w:p>
      <w:r>
        <w:br w:type="page"/>
      </w:r>
    </w:p>
    <w:p>
      <w:pPr>
        <w:pStyle w:val="Heading1"/>
      </w:pPr>
      <w:r>
        <w:t xml:space="preserve">10. Go-to-Market and Positioning</w:t>
      </w:r>
    </w:p>
    <w:p>
      <w:pPr>
        <w:pStyle w:val="Heading2"/>
      </w:pPr>
      <w:r>
        <w:t xml:space="preserve">10.1 The one-sentence positioning</w:t>
      </w:r>
    </w:p>
    <w:p>
      <w:pPr>
        <w:pBdr>
          <w:left w:val="single" w:color="1F3864" w:sz="24" w:space="12"/>
        </w:pBdr>
        <w:shd w:fill="EEF3FA" w:val="clear"/>
        <w:spacing w:after="160" w:line="280"/>
      </w:pPr>
      <w:r>
        <w:rPr>
          <w:b/>
          <w:bCs/>
          <w:color w:val="1F3864"/>
        </w:rPr>
        <w:t xml:space="preserve">Aegis is the governance layer that makes any AI agent deployable in a regulated environment — build the paved road once on AWS, and every agent, model, and tool inherits identity, authorization, audit, compliance, hallucination control, and chargeback automatically.</w:t>
      </w:r>
    </w:p>
    <w:p>
      <w:pPr>
        <w:pStyle w:val="Heading2"/>
      </w:pPr>
      <w:r>
        <w:t xml:space="preserve">10.2 Persona talking points (verbatim)</w:t>
      </w:r>
    </w:p>
    <w:p>
      <w:pPr>
        <w:spacing w:after="40" w:before="100"/>
      </w:pPr>
      <w:r>
        <w:rPr>
          <w:b/>
          <w:bCs/>
          <w:color w:val="1F3864"/>
          <w:sz w:val="22"/>
          <w:szCs w:val="22"/>
        </w:rPr>
        <w:t xml:space="preserve">CISO — “Can the AI act on its own?”</w:t>
      </w:r>
    </w:p>
    <w:p>
      <w:pPr>
        <w:pBdr>
          <w:left w:val="single" w:color="2E75B6" w:sz="18" w:space="10"/>
        </w:pBdr>
        <w:spacing w:after="120" w:line="276"/>
        <w:ind w:left="360"/>
      </w:pPr>
      <w:r>
        <w:rPr>
          <w:i/>
          <w:iCs/>
        </w:rPr>
        <w:t xml:space="preserve">“No. Every consequential action — issue, adjudicate, release, award, transfer — is withheld from the agent in code and proven absent by a test. It executes only after a bound, single-use, separation-of-duties human approval. Identity is cryptographically verified; client-supplied roles are never trusted. The audit is append-only and WORM, and PII/PHI/FTI is masked fail-closed. Bedrock inference stays in-account over PrivateLink with mandatory guardrails.”</w:t>
      </w:r>
    </w:p>
    <w:p>
      <w:pPr>
        <w:spacing w:after="40" w:before="100"/>
      </w:pPr>
      <w:r>
        <w:rPr>
          <w:b/>
          <w:bCs/>
          <w:color w:val="1F3864"/>
          <w:sz w:val="22"/>
          <w:szCs w:val="22"/>
        </w:rPr>
        <w:t xml:space="preserve">CIO — “How do I get out of the pilot trap?”</w:t>
      </w:r>
    </w:p>
    <w:p>
      <w:pPr>
        <w:pBdr>
          <w:left w:val="single" w:color="2E75B6" w:sz="18" w:space="10"/>
        </w:pBdr>
        <w:spacing w:after="120" w:line="276"/>
        <w:ind w:left="360"/>
      </w:pPr>
      <w:r>
        <w:rPr>
          <w:i/>
          <w:iCs/>
        </w:rPr>
        <w:t xml:space="preserve">“You build the governance once and every future agent inherits it. Start with one low-blast-radius agent, prove it against a documented outcome, and scale on a paved road that's already funded and compliant. No re-architecture per agent; no re-doing security review per agent.”</w:t>
      </w:r>
    </w:p>
    <w:p>
      <w:pPr>
        <w:spacing w:after="40" w:before="100"/>
      </w:pPr>
      <w:r>
        <w:rPr>
          <w:b/>
          <w:bCs/>
          <w:color w:val="1F3864"/>
          <w:sz w:val="22"/>
          <w:szCs w:val="22"/>
        </w:rPr>
        <w:t xml:space="preserve">Director of Architecture — “Is this maintainable?”</w:t>
      </w:r>
    </w:p>
    <w:p>
      <w:pPr>
        <w:pBdr>
          <w:left w:val="single" w:color="2E75B6" w:sz="18" w:space="10"/>
        </w:pBdr>
        <w:spacing w:after="120" w:line="276"/>
        <w:ind w:left="360"/>
      </w:pPr>
      <w:r>
        <w:rPr>
          <w:i/>
          <w:iCs/>
        </w:rPr>
        <w:t xml:space="preserve">“One reference pattern reused across every agent: edge -&gt; Cognito JWT -&gt; MCP gateway (deny-by-default + scoped token) -&gt; Bedrock + guardrails -&gt; human gate -&gt; append-only WORM audit. IaC in CloudFormation and Terraform, commercial and GovCloud. Readable, AWS-native, no black box, no lock-in.”</w:t>
      </w:r>
    </w:p>
    <w:p>
      <w:pPr>
        <w:spacing w:after="40" w:before="100"/>
      </w:pPr>
      <w:r>
        <w:rPr>
          <w:b/>
          <w:bCs/>
          <w:color w:val="1F3864"/>
          <w:sz w:val="22"/>
          <w:szCs w:val="22"/>
        </w:rPr>
        <w:t xml:space="preserve">CFO — “How do I control and allocate the spend?”</w:t>
      </w:r>
    </w:p>
    <w:p>
      <w:pPr>
        <w:pBdr>
          <w:left w:val="single" w:color="2E75B6" w:sz="18" w:space="10"/>
        </w:pBdr>
        <w:spacing w:after="120" w:line="276"/>
        <w:ind w:left="360"/>
      </w:pPr>
      <w:r>
        <w:rPr>
          <w:i/>
          <w:iCs/>
        </w:rPr>
        <w:t xml:space="preserve">“Every agent runs through a tagged Bedrock application inference profile, so 100% of model spend is attributed to the owning department and charged back from Cost Explorer / the CUR. The gateway enforces hard token caps in real time, so one runaway agent can't blow the quarter.”</w:t>
      </w:r>
    </w:p>
    <w:p>
      <w:pPr>
        <w:spacing w:after="40" w:before="100"/>
      </w:pPr>
      <w:r>
        <w:rPr>
          <w:b/>
          <w:bCs/>
          <w:color w:val="1F3864"/>
          <w:sz w:val="22"/>
          <w:szCs w:val="22"/>
        </w:rPr>
        <w:t xml:space="preserve">CEO / Agency head — “What's the business case and the risk story?”</w:t>
      </w:r>
    </w:p>
    <w:p>
      <w:pPr>
        <w:pBdr>
          <w:left w:val="single" w:color="2E75B6" w:sz="18" w:space="10"/>
        </w:pBdr>
        <w:spacing w:after="120" w:line="276"/>
        <w:ind w:left="360"/>
      </w:pPr>
      <w:r>
        <w:rPr>
          <w:i/>
          <w:iCs/>
        </w:rPr>
        <w:t xml:space="preserve">“Documented outcomes per workflow, a candid shared-responsibility model that survives a review board, and a platform that turns AI from a pile of risky pilots into a governed, fundable program.”</w:t>
      </w:r>
    </w:p>
    <w:p>
      <w:pPr>
        <w:pStyle w:val="Heading2"/>
      </w:pPr>
      <w:r>
        <w:t xml:space="preserve">10.3 First-customer playbook</w:t>
      </w:r>
    </w:p>
    <w:p>
      <w:pPr>
        <w:pStyle w:val="ListParagraph"/>
        <w:numPr>
          <w:ilvl w:val="0"/>
          <w:numId w:val="3"/>
        </w:numPr>
        <w:spacing w:after="60" w:line="268"/>
      </w:pPr>
      <w:r>
        <w:rPr>
          <w:b/>
          <w:bCs/>
        </w:rPr>
        <w:t xml:space="preserve">Qualify for a low-blast-radius first agent </w:t>
      </w:r>
      <w:r>
        <w:t xml:space="preserve">— IT service desk or resident/customer services, not benefits or public safety first. Decision-support, reversible, high volume, clear ROI.</w:t>
      </w:r>
    </w:p>
    <w:p>
      <w:pPr>
        <w:pStyle w:val="ListParagraph"/>
        <w:numPr>
          <w:ilvl w:val="0"/>
          <w:numId w:val="3"/>
        </w:numPr>
        <w:spacing w:after="60" w:line="268"/>
      </w:pPr>
      <w:r>
        <w:rPr>
          <w:b/>
          <w:bCs/>
        </w:rPr>
        <w:t xml:space="preserve">Run a discovery + architecture workshop </w:t>
      </w:r>
      <w:r>
        <w:t xml:space="preserve">— map their IdP, data classes, and regimes, then select packs.</w:t>
      </w:r>
    </w:p>
    <w:p>
      <w:pPr>
        <w:pStyle w:val="ListParagraph"/>
        <w:numPr>
          <w:ilvl w:val="0"/>
          <w:numId w:val="3"/>
        </w:numPr>
        <w:spacing w:after="60" w:line="268"/>
      </w:pPr>
      <w:r>
        <w:rPr>
          <w:b/>
          <w:bCs/>
        </w:rPr>
        <w:t xml:space="preserve">Stand up the standalone golden path </w:t>
      </w:r>
      <w:r>
        <w:t xml:space="preserve">in their account (own VPC, edge, Cognito, KMS, WORM, gateway, agent) with synthetic data; demo the human gate, the audit, the masking, and the budget cap live.</w:t>
      </w:r>
    </w:p>
    <w:p>
      <w:pPr>
        <w:pStyle w:val="ListParagraph"/>
        <w:numPr>
          <w:ilvl w:val="0"/>
          <w:numId w:val="3"/>
        </w:numPr>
        <w:spacing w:after="60" w:line="268"/>
      </w:pPr>
      <w:r>
        <w:rPr>
          <w:b/>
          <w:bCs/>
        </w:rPr>
        <w:t xml:space="preserve">Prove against a documented outcome </w:t>
      </w:r>
      <w:r>
        <w:t xml:space="preserve">(e.g. self-service deflection economics; cycle-time cut).</w:t>
      </w:r>
    </w:p>
    <w:p>
      <w:pPr>
        <w:pStyle w:val="ListParagraph"/>
        <w:numPr>
          <w:ilvl w:val="0"/>
          <w:numId w:val="3"/>
        </w:numPr>
        <w:spacing w:after="60" w:line="268"/>
      </w:pPr>
      <w:r>
        <w:rPr>
          <w:b/>
          <w:bCs/>
        </w:rPr>
        <w:t xml:space="preserve">Sign the shared-responsibility plan </w:t>
      </w:r>
      <w:r>
        <w:t xml:space="preserve">(RACI) so security review has no surprises.</w:t>
      </w:r>
    </w:p>
    <w:p>
      <w:pPr>
        <w:pStyle w:val="ListParagraph"/>
        <w:numPr>
          <w:ilvl w:val="0"/>
          <w:numId w:val="3"/>
        </w:numPr>
        <w:spacing w:after="60" w:line="268"/>
      </w:pPr>
      <w:r>
        <w:rPr>
          <w:b/>
          <w:bCs/>
        </w:rPr>
        <w:t xml:space="preserve">Land-and-expand </w:t>
      </w:r>
      <w:r>
        <w:t xml:space="preserve">— add agents one at a time on the same paved road; turn on chargeback; introduce the orchestration layer when two or more agents are live.</w:t>
      </w:r>
    </w:p>
    <w:p>
      <w:pPr>
        <w:pStyle w:val="Heading2"/>
      </w:pPr>
      <w:r>
        <w:t xml:space="preserve">10.4 AWS co-sell positioning</w:t>
      </w:r>
    </w:p>
    <w:p>
      <w:pPr>
        <w:pStyle w:val="ListParagraph"/>
        <w:numPr>
          <w:ilvl w:val="0"/>
          <w:numId w:val="2"/>
        </w:numPr>
        <w:spacing w:after="60" w:line="268"/>
      </w:pPr>
      <w:r>
        <w:rPr>
          <w:b/>
          <w:bCs/>
        </w:rPr>
        <w:t xml:space="preserve">It pulls the right services: </w:t>
      </w:r>
      <w:r>
        <w:t xml:space="preserve">Bedrock + Guardrails, AgentCore (Gateway/Identity/Runtime), GovCloud, KMS, Macie/Comprehend, and the cost/FinOps stack — durable, consumption-generating workloads.</w:t>
      </w:r>
    </w:p>
    <w:p>
      <w:pPr>
        <w:pStyle w:val="ListParagraph"/>
        <w:numPr>
          <w:ilvl w:val="0"/>
          <w:numId w:val="2"/>
        </w:numPr>
        <w:spacing w:after="60" w:line="268"/>
      </w:pPr>
      <w:r>
        <w:rPr>
          <w:b/>
          <w:bCs/>
        </w:rPr>
        <w:t xml:space="preserve">It accelerates regulated-industry adoption </w:t>
      </w:r>
      <w:r>
        <w:t xml:space="preserve">in the exact segments (government, HCLS, education) where AWS wins on compliance breadth (HIPAA-eligible, HITRUST, GovCloud, FedRAMP path).</w:t>
      </w:r>
    </w:p>
    <w:p>
      <w:pPr>
        <w:pStyle w:val="ListParagraph"/>
        <w:numPr>
          <w:ilvl w:val="0"/>
          <w:numId w:val="2"/>
        </w:numPr>
        <w:spacing w:after="60" w:line="268"/>
      </w:pPr>
      <w:r>
        <w:rPr>
          <w:b/>
          <w:bCs/>
        </w:rPr>
        <w:t xml:space="preserve">It is a Marketplace motion </w:t>
      </w:r>
      <w:r>
        <w:t xml:space="preserve">— packaged add-on agents become Marketplace listings that deploy onto the governed platform, creating an ISV/partner flywheel.</w:t>
      </w:r>
    </w:p>
    <w:p>
      <w:pPr>
        <w:pStyle w:val="ListParagraph"/>
        <w:numPr>
          <w:ilvl w:val="0"/>
          <w:numId w:val="2"/>
        </w:numPr>
        <w:spacing w:after="60" w:line="268"/>
      </w:pPr>
      <w:r>
        <w:rPr>
          <w:b/>
          <w:bCs/>
        </w:rPr>
        <w:t xml:space="preserve">It de-risks the customer's security review, </w:t>
      </w:r>
      <w:r>
        <w:t xml:space="preserve">which is the real blocker to Bedrock consumption in regulated accounts — so it converts stalled pilots into funded production.</w:t>
      </w:r>
    </w:p>
    <w:p>
      <w:pPr>
        <w:pStyle w:val="Heading2"/>
      </w:pPr>
      <w:r>
        <w:t xml:space="preserve">10.5 The add-on / marketplace commercial model</w:t>
      </w:r>
    </w:p>
    <w:p>
      <w:pPr>
        <w:pStyle w:val="ListParagraph"/>
        <w:numPr>
          <w:ilvl w:val="0"/>
          <w:numId w:val="2"/>
        </w:numPr>
        <w:spacing w:after="60" w:line="268"/>
      </w:pPr>
      <w:r>
        <w:rPr>
          <w:b/>
          <w:bCs/>
        </w:rPr>
        <w:t xml:space="preserve">Platform (Aegis core + packs) </w:t>
      </w:r>
      <w:r>
        <w:t xml:space="preserve">— the governed paved road; sold/deployed per environment.</w:t>
      </w:r>
    </w:p>
    <w:p>
      <w:pPr>
        <w:pStyle w:val="ListParagraph"/>
        <w:numPr>
          <w:ilvl w:val="0"/>
          <w:numId w:val="2"/>
        </w:numPr>
        <w:spacing w:after="60" w:line="268"/>
      </w:pPr>
      <w:r>
        <w:rPr>
          <w:b/>
          <w:bCs/>
        </w:rPr>
        <w:t xml:space="preserve">Add-on agents </w:t>
      </w:r>
      <w:r>
        <w:t xml:space="preserve">— packaged, manifest-conformant agents sold as products; each inherits the customer's governance on deploy. Priced per agent / per seat / per usage; chargeback makes consumption transparent.</w:t>
      </w:r>
    </w:p>
    <w:p>
      <w:pPr>
        <w:pStyle w:val="ListParagraph"/>
        <w:numPr>
          <w:ilvl w:val="0"/>
          <w:numId w:val="2"/>
        </w:numPr>
        <w:spacing w:after="60" w:line="268"/>
      </w:pPr>
      <w:r>
        <w:rPr>
          <w:b/>
          <w:bCs/>
        </w:rPr>
        <w:t xml:space="preserve">Why it compounds: </w:t>
      </w:r>
      <w:r>
        <w:t xml:space="preserve">every new pack opens an industry; every new agent is sellable into every existing governed customer with zero governance rework. The moat is the governance, not the agent.</w:t>
      </w:r>
    </w:p>
    <w:p>
      <w:pPr>
        <w:pStyle w:val="Heading2"/>
      </w:pPr>
      <w:r>
        <w:t xml:space="preserve">10.6 Objection handling</w:t>
      </w:r>
    </w:p>
    <w:p>
      <w:pPr>
        <w:spacing w:after="40" w:before="100"/>
      </w:pPr>
      <w:r>
        <w:rPr>
          <w:b/>
          <w:bCs/>
          <w:color w:val="1F3864"/>
          <w:sz w:val="22"/>
          <w:szCs w:val="22"/>
        </w:rPr>
        <w:t xml:space="preserve">“Is this production-ready?”</w:t>
      </w:r>
    </w:p>
    <w:p>
      <w:pPr>
        <w:pBdr>
          <w:left w:val="single" w:color="2E75B6" w:sz="18" w:space="10"/>
        </w:pBdr>
        <w:spacing w:after="120" w:line="276"/>
        <w:ind w:left="360"/>
      </w:pPr>
      <w:r>
        <w:rPr>
          <w:i/>
          <w:iCs/>
        </w:rPr>
        <w:t xml:space="preserve">“It's a production-shaped accelerator with the hard controls built and tested; live connectors, ATO/GovRAMP, and third-party security testing are scoped engagement work. That candor is why the rest is credible.”</w:t>
      </w:r>
    </w:p>
    <w:p>
      <w:pPr>
        <w:spacing w:after="40" w:before="100"/>
      </w:pPr>
      <w:r>
        <w:rPr>
          <w:b/>
          <w:bCs/>
          <w:color w:val="1F3864"/>
          <w:sz w:val="22"/>
          <w:szCs w:val="22"/>
        </w:rPr>
        <w:t xml:space="preserve">“Why not just use a model vendor's console?”</w:t>
      </w:r>
    </w:p>
    <w:p>
      <w:pPr>
        <w:pBdr>
          <w:left w:val="single" w:color="2E75B6" w:sz="18" w:space="10"/>
        </w:pBdr>
        <w:spacing w:after="120" w:line="276"/>
        <w:ind w:left="360"/>
      </w:pPr>
      <w:r>
        <w:rPr>
          <w:i/>
          <w:iCs/>
        </w:rPr>
        <w:t xml:space="preserve">“A console doesn't give you least-privilege intersection, a human gate withheld in code, WORM audit, per-department chargeback, or a control-mapping pack that survives a review board.”</w:t>
      </w:r>
    </w:p>
    <w:p>
      <w:pPr>
        <w:spacing w:after="40" w:before="100"/>
      </w:pPr>
      <w:r>
        <w:rPr>
          <w:b/>
          <w:bCs/>
          <w:color w:val="1F3864"/>
          <w:sz w:val="22"/>
          <w:szCs w:val="22"/>
        </w:rPr>
        <w:t xml:space="preserve">“Lock-in?”</w:t>
      </w:r>
    </w:p>
    <w:p>
      <w:pPr>
        <w:pBdr>
          <w:left w:val="single" w:color="2E75B6" w:sz="18" w:space="10"/>
        </w:pBdr>
        <w:spacing w:after="120" w:line="276"/>
        <w:ind w:left="360"/>
      </w:pPr>
      <w:r>
        <w:rPr>
          <w:i/>
          <w:iCs/>
        </w:rPr>
        <w:t xml:space="preserve">“Readable code, AWS-native GA services, IaC you own in your account.”</w:t>
      </w:r>
    </w:p>
    <w:p>
      <w:r>
        <w:br w:type="page"/>
      </w:r>
    </w:p>
    <w:p>
      <w:pPr>
        <w:pStyle w:val="Heading1"/>
      </w:pPr>
      <w:r>
        <w:t xml:space="preserve">11. Production Readiness and Shared Responsibility</w:t>
      </w:r>
    </w:p>
    <w:p>
      <w:pPr>
        <w:spacing w:after="120" w:before="0" w:line="276"/>
      </w:pPr>
      <w:r>
        <w:t xml:space="preserve">Aegis is a reference platform for architecture workshops, scoped pilots, and AWS/customer positioning — not an AWS-authorized, ATO'd, production-certified system. This section states plainly what gives confidence today, what must still be built or authorized before go-live, and who owns each item. The candor is a selling feature, not a disclaimer.</w:t>
      </w:r>
    </w:p>
    <w:p>
      <w:pPr>
        <w:pStyle w:val="Heading2"/>
      </w:pPr>
      <w:r>
        <w:t xml:space="preserve">11.1 What gives confidence today</w:t>
      </w:r>
    </w:p>
    <w:p>
      <w:pPr>
        <w:pStyle w:val="ListParagraph"/>
        <w:numPr>
          <w:ilvl w:val="0"/>
          <w:numId w:val="2"/>
        </w:numPr>
        <w:spacing w:after="60" w:line="268"/>
      </w:pPr>
      <w:r>
        <w:t xml:space="preserve">Deny-by-default authorization gateway with least-privilege as an intersection (agent grant intersected with user entitlement) — the agent can never exceed the human it acts for.</w:t>
      </w:r>
    </w:p>
    <w:p>
      <w:pPr>
        <w:pStyle w:val="ListParagraph"/>
        <w:numPr>
          <w:ilvl w:val="0"/>
          <w:numId w:val="2"/>
        </w:numPr>
        <w:spacing w:after="60" w:line="268"/>
      </w:pPr>
      <w:r>
        <w:t xml:space="preserve">Consequential actions withheld in code plus a framework-enforced human gate (Step Functions waitForTaskToken / interrupt_before) with bound, single-use, separation-of-duties approvals.</w:t>
      </w:r>
    </w:p>
    <w:p>
      <w:pPr>
        <w:pStyle w:val="ListParagraph"/>
        <w:numPr>
          <w:ilvl w:val="0"/>
          <w:numId w:val="2"/>
        </w:numPr>
        <w:spacing w:after="60" w:line="268"/>
      </w:pPr>
      <w:r>
        <w:t xml:space="preserve">Tamper-evident audit — append-only DynamoDB (PutItem-only IAM, conditional writes) + S3 Object Lock WORM; fail-closed masking of PII/PHI/FTI/CJI.</w:t>
      </w:r>
    </w:p>
    <w:p>
      <w:pPr>
        <w:pStyle w:val="ListParagraph"/>
        <w:numPr>
          <w:ilvl w:val="0"/>
          <w:numId w:val="2"/>
        </w:numPr>
        <w:spacing w:after="60" w:line="268"/>
      </w:pPr>
      <w:r>
        <w:t xml:space="preserve">In-account Bedrock plus mandatory Guardrails over PrivateLink, governed RAG, plus contextual grounding and automated reasoning checks.</w:t>
      </w:r>
    </w:p>
    <w:p>
      <w:pPr>
        <w:pStyle w:val="ListParagraph"/>
        <w:numPr>
          <w:ilvl w:val="0"/>
          <w:numId w:val="2"/>
        </w:numPr>
        <w:spacing w:after="60" w:line="268"/>
      </w:pPr>
      <w:r>
        <w:t xml:space="preserve">Cryptographic identity (RS256 over Cognito JWKS, issuer/audience/expiry + alg-confusion guard).</w:t>
      </w:r>
    </w:p>
    <w:p>
      <w:pPr>
        <w:pStyle w:val="ListParagraph"/>
        <w:numPr>
          <w:ilvl w:val="0"/>
          <w:numId w:val="2"/>
        </w:numPr>
        <w:spacing w:after="60" w:line="268"/>
      </w:pPr>
      <w:r>
        <w:t xml:space="preserve">Agent manifest + minimum-bar CI gate and a tool registry with validation/revocation.</w:t>
      </w:r>
    </w:p>
    <w:p>
      <w:pPr>
        <w:pStyle w:val="ListParagraph"/>
        <w:numPr>
          <w:ilvl w:val="0"/>
          <w:numId w:val="2"/>
        </w:numPr>
        <w:spacing w:after="60" w:line="268"/>
      </w:pPr>
      <w:r>
        <w:t xml:space="preserve">FinOps: token budgets with hard caps + chargeback via application inference profiles and cost-allocation tags.</w:t>
      </w:r>
    </w:p>
    <w:p>
      <w:pPr>
        <w:pStyle w:val="ListParagraph"/>
        <w:numPr>
          <w:ilvl w:val="0"/>
          <w:numId w:val="2"/>
        </w:numPr>
        <w:spacing w:after="60" w:line="268"/>
      </w:pPr>
      <w:r>
        <w:t xml:space="preserve">IaC parity (CloudFormation + Terraform, commercial + GovCloud) and a no-API-key test suite with control-plane negative cases. The predecessor stack was deployed and torn down on a live AWS account, which caught two real bugs the offline suite missed.</w:t>
      </w:r>
    </w:p>
    <w:p>
      <w:pPr>
        <w:pStyle w:val="Heading2"/>
      </w:pPr>
      <w:r>
        <w:t xml:space="preserve">11.2 What must still be built or authorized before go-live</w:t>
      </w:r>
    </w:p>
    <w:p>
      <w:pPr>
        <w:spacing w:after="120" w:before="0" w:line="276"/>
      </w:pPr>
      <w:r>
        <w:t xml:space="preserve">These are not platform-guaranteed and must be completed during a customer engagement: live connectors (tool backends are fixtures; at least one must be built end-to-end, usually the largest line item); no ATO / GovRAMP / FedRAMP (AgentCore is pursuing FedRAMP but is not authorized); no third-party security testing; model-risk validation (eval gold sets, fairness baselines, guardrail/red-team tuning); a signed AWS BAA before any PHI (HIPAA-eligible is not HIPAA-compliant); production IdP integration and MFA enforcement; the records-retention/legal-hold schedule on WORM; and HITL queue staffing (people, SLAs, rotation).</w:t>
      </w:r>
    </w:p>
    <w:p>
      <w:pPr>
        <w:pBdr>
          <w:top w:val="single" w:color="C55A11" w:sz="4" w:space="4"/>
          <w:left w:val="single" w:color="C55A11" w:sz="4" w:space="4"/>
          <w:bottom w:val="single" w:color="C55A11" w:sz="4" w:space="4"/>
          <w:right w:val="single" w:color="C55A11" w:sz="4" w:space="4"/>
        </w:pBdr>
        <w:shd w:fill="FCEFE6" w:val="clear"/>
        <w:spacing w:after="120" w:before="60"/>
      </w:pPr>
      <w:r>
        <w:rPr>
          <w:b/>
          <w:bCs/>
          <w:color w:val="C55A11"/>
        </w:rPr>
        <w:t xml:space="preserve">“HIPAA-eligible” is not “HIPAA-compliant.” </w:t>
      </w:r>
      <w:r>
        <w:rPr>
          <w:color w:val="C55A11"/>
        </w:rPr>
        <w:t xml:space="preserve">The same logic applies to every regime: the platform implements the technical controls and maps them to the framework, but authorization, agreements (BAA), and operational ownership are customer responsibilities.</w:t>
      </w:r>
    </w:p>
    <w:p>
      <w:pPr>
        <w:pStyle w:val="Heading2"/>
      </w:pPr>
      <w:r>
        <w:t xml:space="preserve">11.3 RACI matrix</w:t>
      </w:r>
    </w:p>
    <w:p>
      <w:pPr>
        <w:spacing w:after="120" w:before="0" w:line="276"/>
      </w:pPr>
      <w:r>
        <w:rPr>
          <w:i/>
          <w:iCs/>
          <w:color w:val="595959"/>
        </w:rPr>
        <w:t xml:space="preserve">R = Responsible (does the work) · A = Accountable (owns the outcome) · C = Consulted · I = Informed. “Delivery Partner” = the AWS Partner / SI standing up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500"/>
        <w:gridCol w:w="1500"/>
        <w:gridCol w:w="1300"/>
        <w:gridCol w:w="1500"/>
      </w:tblGrid>
      <w:tr>
        <w:trPr>
          <w:tblHeader/>
        </w:trPr>
        <w:tc>
          <w:tcPr>
            <w:tcW w:type="dxa" w:w="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w:t>
            </w:r>
          </w:p>
        </w:tc>
        <w:tc>
          <w:tcPr>
            <w:tcW w:type="dxa" w:w="4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Item</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AWS</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Delivery Partner</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line="252"/>
              <w:jc w:val="center"/>
            </w:pPr>
            <w:r>
              <w:rPr>
                <w:b/>
                <w:bCs/>
                <w:color w:val="1F3864"/>
                <w:sz w:val="18"/>
                <w:szCs w:val="18"/>
              </w:rPr>
              <w:t xml:space="preserve">Customer</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1</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Authorized cloud / region (commercial, GovCloud)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A/R</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I</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2</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BAA for HIPAA (signed before any PHI)</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R (provides)</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3</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Live connectors to systems of record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4</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IdP integration + MFA (Entra/Okta/Ping/Login.gov via Cognito)</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R</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5</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Data classification (CJI/FTI/PHI/EDU/public) + class isolation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6</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ATO / GovRAMP / FedRAMP authorization</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C (FedRAMP path)</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R (control package)</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7</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Guardrail tuning (grounding thresholds, automated-reasoning policy)</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8</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Red-team / prompt-injection testing</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R</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9</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Retention schedule (WORM/Object-Lock durations, legal hold)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10</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Model-risk validation (eval gold sets, fairness baselines)</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11</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Accessibility testing (axe-core + manual, ADA Title II)</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12</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Third-party penetration test</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13</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Day-2 operations (monitoring, drift checks, IR runbooks)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14</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Chargeback reconciliation (gateway meter vs CUR truth)</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15</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Compliance pack selection (which regimes are active)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16</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Agent manifests (scope, grants, budget, grounding, evals)</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17</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Tool registration / revocation (registry, scopes, provenance)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18</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HITL queue staffing (approvers, SLAs, separation of duties)</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I</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19</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val="false"/>
                <w:bCs w:val="false"/>
                <w:sz w:val="18"/>
                <w:szCs w:val="18"/>
              </w:rPr>
              <w:t xml:space="preserve">Encryption keys (KMS CMK lifecycle per data class)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C (KMS service)</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val="false"/>
                <w:bCs w:val="false"/>
                <w:sz w:val="18"/>
                <w:szCs w:val="18"/>
              </w:rPr>
              <w:t xml:space="preserve">A/R</w:t>
            </w:r>
          </w:p>
        </w:tc>
      </w:tr>
      <w:tr>
        <w:tc>
          <w:tcPr>
            <w:tcW w:type="dxa" w:w="56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20</w:t>
            </w:r>
          </w:p>
        </w:tc>
        <w:tc>
          <w:tcPr>
            <w:tcW w:type="dxa" w:w="4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pPr>
            <w:r>
              <w:rPr>
                <w:b w:val="false"/>
                <w:bCs w:val="false"/>
                <w:sz w:val="18"/>
                <w:szCs w:val="18"/>
              </w:rPr>
              <w:t xml:space="preserve">Shared Responsibility boundary (security of vs in the cloud)</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 (of cloud)</w:t>
            </w:r>
          </w:p>
        </w:tc>
        <w:tc>
          <w:tcPr>
            <w:tcW w:type="dxa" w:w="13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C</w:t>
            </w:r>
          </w:p>
        </w:tc>
        <w:tc>
          <w:tcPr>
            <w:tcW w:type="dxa" w:w="1500"/>
            <w:tcBorders>
              <w:top w:val="single" w:color="BBBBBB" w:sz="1"/>
              <w:left w:val="single" w:color="BBBBBB" w:sz="1"/>
              <w:bottom w:val="single" w:color="BBBBBB" w:sz="1"/>
              <w:right w:val="single" w:color="BBBBBB" w:sz="1"/>
            </w:tcBorders>
            <w:shd w:fill="EEF3FA" w:val="clear"/>
            <w:tcMar>
              <w:top w:type="dxa" w:w="60"/>
              <w:left w:type="dxa" w:w="110"/>
              <w:bottom w:type="dxa" w:w="60"/>
              <w:right w:type="dxa" w:w="110"/>
            </w:tcMar>
            <w:vAlign w:val="center"/>
          </w:tcPr>
          <w:p>
            <w:pPr>
              <w:spacing w:after="0" w:line="252"/>
              <w:jc w:val="center"/>
            </w:pPr>
            <w:r>
              <w:rPr>
                <w:b w:val="false"/>
                <w:bCs w:val="false"/>
                <w:sz w:val="18"/>
                <w:szCs w:val="18"/>
              </w:rPr>
              <w:t xml:space="preserve">A (in cloud)</w:t>
            </w:r>
          </w:p>
        </w:tc>
      </w:tr>
    </w:tbl>
    <w:p>
      <w:pPr>
        <w:pStyle w:val="Heading2"/>
      </w:pPr>
      <w:r>
        <w:t xml:space="preserve">11.4 Gated go-live checklist</w:t>
      </w:r>
    </w:p>
    <w:p>
      <w:pPr>
        <w:spacing w:after="120" w:before="0" w:line="276"/>
      </w:pPr>
      <w:r>
        <w:t xml:space="preserve">Go-live is gated — each item must be green before an agent touches production data. No item may be waived silently; a waiver is itself an audited, accountable decision.</w:t>
      </w:r>
    </w:p>
    <w:p>
      <w:pPr>
        <w:spacing w:after="50" w:line="264"/>
      </w:pPr>
      <w:r>
        <w:rPr>
          <w:sz w:val="22"/>
          <w:szCs w:val="22"/>
        </w:rPr>
        <w:t xml:space="preserve">☐  </w:t>
      </w:r>
      <w:r>
        <w:rPr>
          <w:b/>
          <w:bCs/>
        </w:rPr>
        <w:t xml:space="preserve">Authorized region </w:t>
      </w:r>
      <w:r>
        <w:t xml:space="preserve">selected and provisioned (GovCloud for High-impact / CJI / FTI).</w:t>
      </w:r>
    </w:p>
    <w:p>
      <w:pPr>
        <w:spacing w:after="50" w:line="264"/>
      </w:pPr>
      <w:r>
        <w:rPr>
          <w:sz w:val="22"/>
          <w:szCs w:val="22"/>
        </w:rPr>
        <w:t xml:space="preserve">☐  </w:t>
      </w:r>
      <w:r>
        <w:rPr>
          <w:b/>
          <w:bCs/>
        </w:rPr>
        <w:t xml:space="preserve">Signed BAA </w:t>
      </w:r>
      <w:r>
        <w:t xml:space="preserve">in place (if any PHI) — blocks all PHI workloads until done.</w:t>
      </w:r>
    </w:p>
    <w:p>
      <w:pPr>
        <w:spacing w:after="50" w:line="264"/>
      </w:pPr>
      <w:r>
        <w:rPr>
          <w:sz w:val="22"/>
          <w:szCs w:val="22"/>
        </w:rPr>
        <w:t xml:space="preserve">☐  </w:t>
      </w:r>
      <w:r>
        <w:rPr>
          <w:b/>
          <w:bCs/>
        </w:rPr>
        <w:t xml:space="preserve">Compliance pack(s) </w:t>
      </w:r>
      <w:r>
        <w:t xml:space="preserve">selected and active for the target environment.</w:t>
      </w:r>
    </w:p>
    <w:p>
      <w:pPr>
        <w:spacing w:after="50" w:line="264"/>
      </w:pPr>
      <w:r>
        <w:rPr>
          <w:sz w:val="22"/>
          <w:szCs w:val="22"/>
        </w:rPr>
        <w:t xml:space="preserve">☐  </w:t>
      </w:r>
      <w:r>
        <w:rPr>
          <w:b/>
          <w:bCs/>
        </w:rPr>
        <w:t xml:space="preserve">Production IdP </w:t>
      </w:r>
      <w:r>
        <w:t xml:space="preserve">federated through Cognito; MFA enforced (mandatory for CJI under CJIS v6.0).</w:t>
      </w:r>
    </w:p>
    <w:p>
      <w:pPr>
        <w:spacing w:after="50" w:line="264"/>
      </w:pPr>
      <w:r>
        <w:rPr>
          <w:sz w:val="22"/>
          <w:szCs w:val="22"/>
        </w:rPr>
        <w:t xml:space="preserve">☐  </w:t>
      </w:r>
      <w:r>
        <w:rPr>
          <w:b/>
          <w:bCs/>
        </w:rPr>
        <w:t xml:space="preserve">Data classification </w:t>
      </w:r>
      <w:r>
        <w:t xml:space="preserve">completed; class isolation (account/VPC/key) verified.</w:t>
      </w:r>
    </w:p>
    <w:p>
      <w:pPr>
        <w:spacing w:after="50" w:line="264"/>
      </w:pPr>
      <w:r>
        <w:rPr>
          <w:sz w:val="22"/>
          <w:szCs w:val="22"/>
        </w:rPr>
        <w:t xml:space="preserve">☐  </w:t>
      </w:r>
      <w:r>
        <w:rPr>
          <w:b/>
          <w:bCs/>
        </w:rPr>
        <w:t xml:space="preserve">At least one live connector </w:t>
      </w:r>
      <w:r>
        <w:t xml:space="preserve">built, tested end-to-end, and registered in the tool registry.</w:t>
      </w:r>
    </w:p>
    <w:p>
      <w:pPr>
        <w:spacing w:after="50" w:line="264"/>
      </w:pPr>
      <w:r>
        <w:rPr>
          <w:sz w:val="22"/>
          <w:szCs w:val="22"/>
        </w:rPr>
        <w:t xml:space="preserve">☐  </w:t>
      </w:r>
      <w:r>
        <w:rPr>
          <w:b/>
          <w:bCs/>
        </w:rPr>
        <w:t xml:space="preserve">Guardrail policy tuned: </w:t>
      </w:r>
      <w:r>
        <w:t xml:space="preserve">grounding thresholds set per agent; automated-reasoning policy authored.</w:t>
      </w:r>
    </w:p>
    <w:p>
      <w:pPr>
        <w:spacing w:after="50" w:line="264"/>
      </w:pPr>
      <w:r>
        <w:rPr>
          <w:sz w:val="22"/>
          <w:szCs w:val="22"/>
        </w:rPr>
        <w:t xml:space="preserve">☐  </w:t>
      </w:r>
      <w:r>
        <w:rPr>
          <w:b/>
          <w:bCs/>
        </w:rPr>
        <w:t xml:space="preserve">Eval suite passing </w:t>
      </w:r>
      <w:r>
        <w:t xml:space="preserve">at the declared rate (accuracy, refusal, fairness, injection, a11y).</w:t>
      </w:r>
    </w:p>
    <w:p>
      <w:pPr>
        <w:spacing w:after="50" w:line="264"/>
      </w:pPr>
      <w:r>
        <w:rPr>
          <w:sz w:val="22"/>
          <w:szCs w:val="22"/>
        </w:rPr>
        <w:t xml:space="preserve">☐  </w:t>
      </w:r>
      <w:r>
        <w:rPr>
          <w:b/>
          <w:bCs/>
        </w:rPr>
        <w:t xml:space="preserve">Red-team / prompt-injection </w:t>
      </w:r>
      <w:r>
        <w:t xml:space="preserve">testing completed; findings remediated.</w:t>
      </w:r>
    </w:p>
    <w:p>
      <w:pPr>
        <w:spacing w:after="50" w:line="264"/>
      </w:pPr>
      <w:r>
        <w:rPr>
          <w:sz w:val="22"/>
          <w:szCs w:val="22"/>
        </w:rPr>
        <w:t xml:space="preserve">☐  </w:t>
      </w:r>
      <w:r>
        <w:rPr>
          <w:b/>
          <w:bCs/>
        </w:rPr>
        <w:t xml:space="preserve">Accessibility testing </w:t>
      </w:r>
      <w:r>
        <w:t xml:space="preserve">passed for any public-facing agent.</w:t>
      </w:r>
    </w:p>
    <w:p>
      <w:pPr>
        <w:spacing w:after="50" w:line="264"/>
      </w:pPr>
      <w:r>
        <w:rPr>
          <w:sz w:val="22"/>
          <w:szCs w:val="22"/>
        </w:rPr>
        <w:t xml:space="preserve">☐  </w:t>
      </w:r>
      <w:r>
        <w:rPr>
          <w:b/>
          <w:bCs/>
        </w:rPr>
        <w:t xml:space="preserve">Third-party penetration test </w:t>
      </w:r>
      <w:r>
        <w:t xml:space="preserve">completed; criticals/highs remediated.</w:t>
      </w:r>
    </w:p>
    <w:p>
      <w:pPr>
        <w:spacing w:after="50" w:line="264"/>
      </w:pPr>
      <w:r>
        <w:rPr>
          <w:sz w:val="22"/>
          <w:szCs w:val="22"/>
        </w:rPr>
        <w:t xml:space="preserve">☐  </w:t>
      </w:r>
      <w:r>
        <w:rPr>
          <w:b/>
          <w:bCs/>
        </w:rPr>
        <w:t xml:space="preserve">Retention schedule </w:t>
      </w:r>
      <w:r>
        <w:t xml:space="preserve">configured on WORM/Object-Lock per the customer's records policy.</w:t>
      </w:r>
    </w:p>
    <w:p>
      <w:pPr>
        <w:spacing w:after="50" w:line="264"/>
      </w:pPr>
      <w:r>
        <w:rPr>
          <w:sz w:val="22"/>
          <w:szCs w:val="22"/>
        </w:rPr>
        <w:t xml:space="preserve">☐  </w:t>
      </w:r>
      <w:r>
        <w:rPr>
          <w:b/>
          <w:bCs/>
        </w:rPr>
        <w:t xml:space="preserve">Token budgets </w:t>
      </w:r>
      <w:r>
        <w:t xml:space="preserve">set with hard caps + alert thresholds; chargeback reconciliation process agreed.</w:t>
      </w:r>
    </w:p>
    <w:p>
      <w:pPr>
        <w:spacing w:after="50" w:line="264"/>
      </w:pPr>
      <w:r>
        <w:rPr>
          <w:sz w:val="22"/>
          <w:szCs w:val="22"/>
        </w:rPr>
        <w:t xml:space="preserve">☐  </w:t>
      </w:r>
      <w:r>
        <w:rPr>
          <w:b/>
          <w:bCs/>
        </w:rPr>
        <w:t xml:space="preserve">HITL queue staffed </w:t>
      </w:r>
      <w:r>
        <w:t xml:space="preserve">with approvers, SLAs, and separation of duties.</w:t>
      </w:r>
    </w:p>
    <w:p>
      <w:pPr>
        <w:spacing w:after="50" w:line="264"/>
      </w:pPr>
      <w:r>
        <w:rPr>
          <w:sz w:val="22"/>
          <w:szCs w:val="22"/>
        </w:rPr>
        <w:t xml:space="preserve">☐  </w:t>
      </w:r>
      <w:r>
        <w:rPr>
          <w:b/>
          <w:bCs/>
        </w:rPr>
        <w:t xml:space="preserve">Day-2 runbooks </w:t>
      </w:r>
      <w:r>
        <w:t xml:space="preserve">in place (monitoring, drift checks, eval re-runs on model/prompt change, IR).</w:t>
      </w:r>
    </w:p>
    <w:p>
      <w:pPr>
        <w:spacing w:after="50" w:line="264"/>
      </w:pPr>
      <w:r>
        <w:rPr>
          <w:sz w:val="22"/>
          <w:szCs w:val="22"/>
        </w:rPr>
        <w:t xml:space="preserve">☐  </w:t>
      </w:r>
      <w:r>
        <w:rPr>
          <w:b/>
          <w:bCs/>
        </w:rPr>
        <w:t xml:space="preserve">Authorization path </w:t>
      </w:r>
      <w:r>
        <w:t xml:space="preserve">underway (ATO / GovRAMP / FedRAMP control package produced).</w:t>
      </w:r>
    </w:p>
    <w:p>
      <w:r>
        <w:br w:type="page"/>
      </w:r>
    </w:p>
    <w:p>
      <w:pPr>
        <w:pStyle w:val="Heading1"/>
      </w:pPr>
      <w:r>
        <w:t xml:space="preserve">Appendix A. Sources and Evidence Base</w:t>
      </w:r>
    </w:p>
    <w:p>
      <w:pPr>
        <w:spacing w:after="120" w:before="0" w:line="276"/>
      </w:pPr>
      <w:r>
        <w:rPr>
          <w:i/>
          <w:iCs/>
          <w:color w:val="595959"/>
        </w:rPr>
        <w:t xml:space="preserve">Every architectural and compliance claim in this document is grounded in a primary or authoritative source. Each source is tagged by evidence tier: [AWS] = AWS official docs / what's-new / blogs; [GOV] = government / regulator / standards body; [PEER] = peer-reviewed; [VENDOR] = analyst- or vendor-reported. Last verified: 2026-06-30.</w:t>
      </w:r>
    </w:p>
    <w:p>
      <w:pPr>
        <w:spacing w:after="80" w:before="160"/>
      </w:pPr>
      <w:r>
        <w:rPr>
          <w:b/>
          <w:bCs/>
          <w:color w:val="1F3864"/>
          <w:sz w:val="22"/>
          <w:szCs w:val="22"/>
        </w:rPr>
        <w:t xml:space="preserve">AWS agent platform primitives</w:t>
      </w:r>
    </w:p>
    <w:p>
      <w:pPr>
        <w:pStyle w:val="ListParagraph"/>
        <w:numPr>
          <w:ilvl w:val="0"/>
          <w:numId w:val="2"/>
        </w:numPr>
        <w:spacing w:after="80" w:line="256"/>
      </w:pPr>
      <w:r>
        <w:rPr>
          <w:b/>
          <w:bCs/>
          <w:color w:val="C55A11"/>
          <w:sz w:val="18"/>
          <w:szCs w:val="18"/>
        </w:rPr>
        <w:t xml:space="preserve">[AWS] </w:t>
      </w:r>
      <w:r>
        <w:rPr>
          <w:sz w:val="18"/>
          <w:szCs w:val="18"/>
        </w:rPr>
        <w:t xml:space="preserve">Amazon Bedrock AgentCore is now generally available (GA 2025-10-13). Gateway connects to existing MCP servers and turns APIs/Lambda into tools; supports IAM and OAuth; one secure tool endpoint. Identity adds identity-aware authorization + secure token vault. All services support VPC, PrivateLink, CloudFormation, and resource tagging. </w:t>
      </w:r>
      <w:hyperlink w:history="1" r:id="rIdqk2zorqrfvj4mk9nomn0y">
        <w:r>
          <w:rPr>
            <w:rStyle w:val="Hyperlink"/>
            <w:sz w:val="16"/>
            <w:szCs w:val="16"/>
          </w:rPr>
          <w:t xml:space="preserve">https://aws.amazon.com/about-aws/whats-new/2025/10/amazon-bedrock-agentcore-available/</w:t>
        </w:r>
      </w:hyperlink>
    </w:p>
    <w:p>
      <w:pPr>
        <w:pStyle w:val="ListParagraph"/>
        <w:numPr>
          <w:ilvl w:val="0"/>
          <w:numId w:val="2"/>
        </w:numPr>
        <w:spacing w:after="80" w:line="256"/>
      </w:pPr>
      <w:r>
        <w:rPr>
          <w:b/>
          <w:bCs/>
          <w:color w:val="C55A11"/>
          <w:sz w:val="18"/>
          <w:szCs w:val="18"/>
        </w:rPr>
        <w:t xml:space="preserve">[AWS] </w:t>
      </w:r>
      <w:r>
        <w:rPr>
          <w:sz w:val="18"/>
          <w:szCs w:val="18"/>
        </w:rPr>
        <w:t xml:space="preserve">AgentCore compliance validation — HIPAA eligible, pursuing FedRAMP, aligns with HITRUST. </w:t>
      </w:r>
      <w:hyperlink w:history="1" r:id="rIdzf6px0b_md1fmyisognn_">
        <w:r>
          <w:rPr>
            <w:rStyle w:val="Hyperlink"/>
            <w:sz w:val="16"/>
            <w:szCs w:val="16"/>
          </w:rPr>
          <w:t xml:space="preserve">https://docs.aws.amazon.com/bedrock-agentcore/latest/devguide/compliance-validation.html</w:t>
        </w:r>
      </w:hyperlink>
    </w:p>
    <w:p>
      <w:pPr>
        <w:spacing w:after="80" w:before="160"/>
      </w:pPr>
      <w:r>
        <w:rPr>
          <w:b/>
          <w:bCs/>
          <w:color w:val="1F3864"/>
          <w:sz w:val="22"/>
          <w:szCs w:val="22"/>
        </w:rPr>
        <w:t xml:space="preserve">Policy engine, landing zone and scoped delegation</w:t>
      </w:r>
    </w:p>
    <w:p>
      <w:pPr>
        <w:pStyle w:val="ListParagraph"/>
        <w:numPr>
          <w:ilvl w:val="0"/>
          <w:numId w:val="2"/>
        </w:numPr>
        <w:spacing w:after="80" w:line="256"/>
      </w:pPr>
      <w:r>
        <w:rPr>
          <w:b/>
          <w:bCs/>
          <w:color w:val="C55A11"/>
          <w:sz w:val="18"/>
          <w:szCs w:val="18"/>
        </w:rPr>
        <w:t xml:space="preserve">[AWS] </w:t>
      </w:r>
      <w:r>
        <w:rPr>
          <w:sz w:val="18"/>
          <w:szCs w:val="18"/>
        </w:rPr>
        <w:t xml:space="preserve">Policy in Amazon Bedrock AgentCore — deterministic enforcement evaluating every agent-to-tool request against Cedar policies, outside the agent's reasoning loop. Cedar is the same policy language behind Amazon Verified Permissions. </w:t>
      </w:r>
      <w:hyperlink w:history="1" r:id="rIdt1id1wwk6ggvmoguw4vsu">
        <w:r>
          <w:rPr>
            <w:rStyle w:val="Hyperlink"/>
            <w:sz w:val="16"/>
            <w:szCs w:val="16"/>
          </w:rPr>
          <w:t xml:space="preserve">https://docs.aws.amazon.com/bedrock-agentcore/latest/devguide/policy.html</w:t>
        </w:r>
      </w:hyperlink>
    </w:p>
    <w:p>
      <w:pPr>
        <w:pStyle w:val="ListParagraph"/>
        <w:numPr>
          <w:ilvl w:val="0"/>
          <w:numId w:val="2"/>
        </w:numPr>
        <w:spacing w:after="80" w:line="256"/>
      </w:pPr>
      <w:r>
        <w:rPr>
          <w:b/>
          <w:bCs/>
          <w:color w:val="C55A11"/>
          <w:sz w:val="18"/>
          <w:szCs w:val="18"/>
        </w:rPr>
        <w:t xml:space="preserve">[AWS] </w:t>
      </w:r>
      <w:r>
        <w:rPr>
          <w:sz w:val="18"/>
          <w:szCs w:val="18"/>
        </w:rPr>
        <w:t xml:space="preserve">Why Policy in Amazon Bedrock AgentCore chose Cedar for securing agentic workflows. </w:t>
      </w:r>
      <w:hyperlink w:history="1" r:id="rIdc5w6d7x2dwhf802wpsbqx">
        <w:r>
          <w:rPr>
            <w:rStyle w:val="Hyperlink"/>
            <w:sz w:val="16"/>
            <w:szCs w:val="16"/>
          </w:rPr>
          <w:t xml:space="preserve">https://aws.amazon.com/blogs/security/why-policy-in-amazon-bedrock-agentcore-chose-cedar-for-securing-agentic-workflows/</w:t>
        </w:r>
      </w:hyperlink>
    </w:p>
    <w:p>
      <w:pPr>
        <w:pStyle w:val="ListParagraph"/>
        <w:numPr>
          <w:ilvl w:val="0"/>
          <w:numId w:val="2"/>
        </w:numPr>
        <w:spacing w:after="80" w:line="256"/>
      </w:pPr>
      <w:r>
        <w:rPr>
          <w:b/>
          <w:bCs/>
          <w:color w:val="C55A11"/>
          <w:sz w:val="18"/>
          <w:szCs w:val="18"/>
        </w:rPr>
        <w:t xml:space="preserve">[AWS] </w:t>
      </w:r>
      <w:r>
        <w:rPr>
          <w:sz w:val="18"/>
          <w:szCs w:val="18"/>
        </w:rPr>
        <w:t xml:space="preserve">Amazon Verified Permissions — managed Cedar authorization service. </w:t>
      </w:r>
      <w:hyperlink w:history="1" r:id="rIdstgzi_y86y3630ilbqrao">
        <w:r>
          <w:rPr>
            <w:rStyle w:val="Hyperlink"/>
            <w:sz w:val="16"/>
            <w:szCs w:val="16"/>
          </w:rPr>
          <w:t xml:space="preserve">https://docs.aws.amazon.com/verifiedpermissions/latest/userguide/what-is-avp.html</w:t>
        </w:r>
      </w:hyperlink>
    </w:p>
    <w:p>
      <w:pPr>
        <w:pStyle w:val="ListParagraph"/>
        <w:numPr>
          <w:ilvl w:val="0"/>
          <w:numId w:val="2"/>
        </w:numPr>
        <w:spacing w:after="80" w:line="256"/>
      </w:pPr>
      <w:r>
        <w:rPr>
          <w:b/>
          <w:bCs/>
          <w:color w:val="C55A11"/>
          <w:sz w:val="18"/>
          <w:szCs w:val="18"/>
        </w:rPr>
        <w:t xml:space="preserve">[AWS] </w:t>
      </w:r>
      <w:r>
        <w:rPr>
          <w:sz w:val="18"/>
          <w:szCs w:val="18"/>
        </w:rPr>
        <w:t xml:space="preserve">AgentCore Identity / on-behalf-of (OBO) token exchange — scoped, short-lived downstream credentials. </w:t>
      </w:r>
      <w:hyperlink w:history="1" r:id="rIdfnnpeg9k57qayntkhdxyi">
        <w:r>
          <w:rPr>
            <w:rStyle w:val="Hyperlink"/>
            <w:sz w:val="16"/>
            <w:szCs w:val="16"/>
          </w:rPr>
          <w:t xml:space="preserve">https://docs.aws.amazon.com/bedrock-agentcore/latest/devguide/on-behalf-of-token-exchange.html</w:t>
        </w:r>
      </w:hyperlink>
    </w:p>
    <w:p>
      <w:pPr>
        <w:pStyle w:val="ListParagraph"/>
        <w:numPr>
          <w:ilvl w:val="0"/>
          <w:numId w:val="2"/>
        </w:numPr>
        <w:spacing w:after="80" w:line="256"/>
      </w:pPr>
      <w:r>
        <w:rPr>
          <w:b/>
          <w:bCs/>
          <w:color w:val="C55A11"/>
          <w:sz w:val="18"/>
          <w:szCs w:val="18"/>
        </w:rPr>
        <w:t xml:space="preserve">[AWS] </w:t>
      </w:r>
      <w:r>
        <w:rPr>
          <w:sz w:val="18"/>
          <w:szCs w:val="18"/>
        </w:rPr>
        <w:t xml:space="preserve">AWS Control Tower — multi-account landing zone with guardrails; the basis for account-per-data-class isolation. </w:t>
      </w:r>
      <w:hyperlink w:history="1" r:id="rIdvx-xxbxzdyneh0numjxqb">
        <w:r>
          <w:rPr>
            <w:rStyle w:val="Hyperlink"/>
            <w:sz w:val="16"/>
            <w:szCs w:val="16"/>
          </w:rPr>
          <w:t xml:space="preserve">https://docs.aws.amazon.com/controltower/latest/userguide/what-is-control-tower.html</w:t>
        </w:r>
      </w:hyperlink>
    </w:p>
    <w:p>
      <w:pPr>
        <w:pStyle w:val="ListParagraph"/>
        <w:numPr>
          <w:ilvl w:val="0"/>
          <w:numId w:val="2"/>
        </w:numPr>
        <w:spacing w:after="80" w:line="256"/>
      </w:pPr>
      <w:r>
        <w:rPr>
          <w:b/>
          <w:bCs/>
          <w:color w:val="C55A11"/>
          <w:sz w:val="18"/>
          <w:szCs w:val="18"/>
        </w:rPr>
        <w:t xml:space="preserve">[AWS] </w:t>
      </w:r>
      <w:r>
        <w:rPr>
          <w:sz w:val="18"/>
          <w:szCs w:val="18"/>
        </w:rPr>
        <w:t xml:space="preserve">Bedrock model invocation logging — capture full request/response + token metrics to CloudWatch/S3 (feeds the usage ledger). </w:t>
      </w:r>
      <w:hyperlink w:history="1" r:id="rId_vnlri5_xovnoy0yocnvx">
        <w:r>
          <w:rPr>
            <w:rStyle w:val="Hyperlink"/>
            <w:sz w:val="16"/>
            <w:szCs w:val="16"/>
          </w:rPr>
          <w:t xml:space="preserve">https://docs.aws.amazon.com/bedrock/latest/userguide/model-invocation-logging.html</w:t>
        </w:r>
      </w:hyperlink>
    </w:p>
    <w:p>
      <w:pPr>
        <w:pStyle w:val="ListParagraph"/>
        <w:numPr>
          <w:ilvl w:val="0"/>
          <w:numId w:val="2"/>
        </w:numPr>
        <w:spacing w:after="80" w:line="256"/>
      </w:pPr>
      <w:r>
        <w:rPr>
          <w:b/>
          <w:bCs/>
          <w:color w:val="C55A11"/>
          <w:sz w:val="18"/>
          <w:szCs w:val="18"/>
        </w:rPr>
        <w:t xml:space="preserve">[AWS] </w:t>
      </w:r>
      <w:r>
        <w:rPr>
          <w:sz w:val="18"/>
          <w:szCs w:val="18"/>
        </w:rPr>
        <w:t xml:space="preserve">Bedrock VPC interface endpoints (PrivateLink). </w:t>
      </w:r>
      <w:hyperlink w:history="1" r:id="rIdk_iy51jhvwcmlvqrhhqwj">
        <w:r>
          <w:rPr>
            <w:rStyle w:val="Hyperlink"/>
            <w:sz w:val="16"/>
            <w:szCs w:val="16"/>
          </w:rPr>
          <w:t xml:space="preserve">https://docs.aws.amazon.com/bedrock/latest/userguide/vpc-interface-endpoints.html</w:t>
        </w:r>
      </w:hyperlink>
    </w:p>
    <w:p>
      <w:pPr>
        <w:pStyle w:val="ListParagraph"/>
        <w:numPr>
          <w:ilvl w:val="0"/>
          <w:numId w:val="2"/>
        </w:numPr>
        <w:spacing w:after="80" w:line="256"/>
      </w:pPr>
      <w:r>
        <w:rPr>
          <w:b/>
          <w:bCs/>
          <w:color w:val="C55A11"/>
          <w:sz w:val="18"/>
          <w:szCs w:val="18"/>
        </w:rPr>
        <w:t xml:space="preserve">[AWS] </w:t>
      </w:r>
      <w:r>
        <w:rPr>
          <w:sz w:val="18"/>
          <w:szCs w:val="18"/>
        </w:rPr>
        <w:t xml:space="preserve">S3 Object Lock (WORM). </w:t>
      </w:r>
      <w:hyperlink w:history="1" r:id="rId8zf-zpnqb49wktithxe5x">
        <w:r>
          <w:rPr>
            <w:rStyle w:val="Hyperlink"/>
            <w:sz w:val="16"/>
            <w:szCs w:val="16"/>
          </w:rPr>
          <w:t xml:space="preserve">https://docs.aws.amazon.com/AmazonS3/latest/userguide/object-lock.html</w:t>
        </w:r>
      </w:hyperlink>
    </w:p>
    <w:p>
      <w:pPr>
        <w:spacing w:after="80" w:before="160"/>
      </w:pPr>
      <w:r>
        <w:rPr>
          <w:b/>
          <w:bCs/>
          <w:color w:val="1F3864"/>
          <w:sz w:val="22"/>
          <w:szCs w:val="22"/>
        </w:rPr>
        <w:t xml:space="preserve">Cost attribution, chargeback and token governance</w:t>
      </w:r>
    </w:p>
    <w:p>
      <w:pPr>
        <w:pStyle w:val="ListParagraph"/>
        <w:numPr>
          <w:ilvl w:val="0"/>
          <w:numId w:val="2"/>
        </w:numPr>
        <w:spacing w:after="80" w:line="256"/>
      </w:pPr>
      <w:r>
        <w:rPr>
          <w:b/>
          <w:bCs/>
          <w:color w:val="C55A11"/>
          <w:sz w:val="18"/>
          <w:szCs w:val="18"/>
        </w:rPr>
        <w:t xml:space="preserve">[AWS] </w:t>
      </w:r>
      <w:r>
        <w:rPr>
          <w:sz w:val="18"/>
          <w:szCs w:val="18"/>
        </w:rPr>
        <w:t xml:space="preserve">Manage multi-tenant Amazon Bedrock costs using application inference profiles — AIPs attribute InvokeModel/Converse costs via cost-allocation tags flowing to Cost Explorer and CUR/CUR 2.0; use the profile ARN in place of the model ID. </w:t>
      </w:r>
      <w:hyperlink w:history="1" r:id="rIdsddsqwuceug31tqfo-a8g">
        <w:r>
          <w:rPr>
            <w:rStyle w:val="Hyperlink"/>
            <w:sz w:val="16"/>
            <w:szCs w:val="16"/>
          </w:rPr>
          <w:t xml:space="preserve">https://aws.amazon.com/blogs/machine-learning/manage-multi-tenant-amazon-bedrock-costs-using-application-inference-profiles/</w:t>
        </w:r>
      </w:hyperlink>
    </w:p>
    <w:p>
      <w:pPr>
        <w:pStyle w:val="ListParagraph"/>
        <w:numPr>
          <w:ilvl w:val="0"/>
          <w:numId w:val="2"/>
        </w:numPr>
        <w:spacing w:after="80" w:line="256"/>
      </w:pPr>
      <w:r>
        <w:rPr>
          <w:b/>
          <w:bCs/>
          <w:color w:val="C55A11"/>
          <w:sz w:val="18"/>
          <w:szCs w:val="18"/>
        </w:rPr>
        <w:t xml:space="preserve">[AWS] </w:t>
      </w:r>
      <w:r>
        <w:rPr>
          <w:sz w:val="18"/>
          <w:szCs w:val="18"/>
        </w:rPr>
        <w:t xml:space="preserve">Introducing granular cost attribution for Amazon Bedrock. </w:t>
      </w:r>
      <w:hyperlink w:history="1" r:id="rIddbthzrhqaeldhc1awk7s1">
        <w:r>
          <w:rPr>
            <w:rStyle w:val="Hyperlink"/>
            <w:sz w:val="16"/>
            <w:szCs w:val="16"/>
          </w:rPr>
          <w:t xml:space="preserve">https://aws.amazon.com/blogs/machine-learning/introducing-granular-cost-attribution-for-amazon-bedrock/</w:t>
        </w:r>
      </w:hyperlink>
    </w:p>
    <w:p>
      <w:pPr>
        <w:pStyle w:val="ListParagraph"/>
        <w:numPr>
          <w:ilvl w:val="0"/>
          <w:numId w:val="2"/>
        </w:numPr>
        <w:spacing w:after="80" w:line="256"/>
      </w:pPr>
      <w:r>
        <w:rPr>
          <w:b/>
          <w:bCs/>
          <w:color w:val="C55A11"/>
          <w:sz w:val="18"/>
          <w:szCs w:val="18"/>
        </w:rPr>
        <w:t xml:space="preserve">[AWS] </w:t>
      </w:r>
      <w:r>
        <w:rPr>
          <w:sz w:val="18"/>
          <w:szCs w:val="18"/>
        </w:rPr>
        <w:t xml:space="preserve">Track Amazon Bedrock costs by caller identity (IAM principal-based cost allocation). </w:t>
      </w:r>
      <w:hyperlink w:history="1" r:id="rIdlej1zv3qajjuwsgj3otxd">
        <w:r>
          <w:rPr>
            <w:rStyle w:val="Hyperlink"/>
            <w:sz w:val="16"/>
            <w:szCs w:val="16"/>
          </w:rPr>
          <w:t xml:space="preserve">https://aws.amazon.com/blogs/aws-cloud-financial-management/track-amazon-bedrock-costs-by-caller-identity-with-iam-based-cost-allocation/</w:t>
        </w:r>
      </w:hyperlink>
    </w:p>
    <w:p>
      <w:pPr>
        <w:pStyle w:val="ListParagraph"/>
        <w:numPr>
          <w:ilvl w:val="0"/>
          <w:numId w:val="2"/>
        </w:numPr>
        <w:spacing w:after="80" w:line="256"/>
      </w:pPr>
      <w:r>
        <w:rPr>
          <w:b/>
          <w:bCs/>
          <w:color w:val="C55A11"/>
          <w:sz w:val="18"/>
          <w:szCs w:val="18"/>
        </w:rPr>
        <w:t xml:space="preserve">[AWS] </w:t>
      </w:r>
      <w:r>
        <w:rPr>
          <w:sz w:val="18"/>
          <w:szCs w:val="18"/>
        </w:rPr>
        <w:t xml:space="preserve">Application inference profiles (docs). </w:t>
      </w:r>
      <w:hyperlink w:history="1" r:id="rIduh0vrgddo_fnvk4ond-bz">
        <w:r>
          <w:rPr>
            <w:rStyle w:val="Hyperlink"/>
            <w:sz w:val="16"/>
            <w:szCs w:val="16"/>
          </w:rPr>
          <w:t xml:space="preserve">https://docs.aws.amazon.com/bedrock/latest/userguide/cost-mgmt-application-inference-profiles.html</w:t>
        </w:r>
      </w:hyperlink>
    </w:p>
    <w:p>
      <w:pPr>
        <w:spacing w:after="80" w:before="160"/>
      </w:pPr>
      <w:r>
        <w:rPr>
          <w:b/>
          <w:bCs/>
          <w:color w:val="1F3864"/>
          <w:sz w:val="22"/>
          <w:szCs w:val="22"/>
        </w:rPr>
        <w:t xml:space="preserve">Hallucination control and response validation</w:t>
      </w:r>
    </w:p>
    <w:p>
      <w:pPr>
        <w:pStyle w:val="ListParagraph"/>
        <w:numPr>
          <w:ilvl w:val="0"/>
          <w:numId w:val="2"/>
        </w:numPr>
        <w:spacing w:after="80" w:line="256"/>
      </w:pPr>
      <w:r>
        <w:rPr>
          <w:b/>
          <w:bCs/>
          <w:color w:val="C55A11"/>
          <w:sz w:val="18"/>
          <w:szCs w:val="18"/>
        </w:rPr>
        <w:t xml:space="preserve">[AWS] </w:t>
      </w:r>
      <w:r>
        <w:rPr>
          <w:sz w:val="18"/>
          <w:szCs w:val="18"/>
        </w:rPr>
        <w:t xml:space="preserve">Contextual grounding check — scores grounding and relevance (0–0.99) to detect/filter hallucinations in RAG. </w:t>
      </w:r>
      <w:hyperlink w:history="1" r:id="rIdqnkkoxb7oyqiovpd15pip">
        <w:r>
          <w:rPr>
            <w:rStyle w:val="Hyperlink"/>
            <w:sz w:val="16"/>
            <w:szCs w:val="16"/>
          </w:rPr>
          <w:t xml:space="preserve">https://docs.aws.amazon.com/bedrock/latest/userguide/guardrails-contextual-grounding-check.html</w:t>
        </w:r>
      </w:hyperlink>
    </w:p>
    <w:p>
      <w:pPr>
        <w:pStyle w:val="ListParagraph"/>
        <w:numPr>
          <w:ilvl w:val="0"/>
          <w:numId w:val="2"/>
        </w:numPr>
        <w:spacing w:after="80" w:line="256"/>
      </w:pPr>
      <w:r>
        <w:rPr>
          <w:b/>
          <w:bCs/>
          <w:color w:val="C55A11"/>
          <w:sz w:val="18"/>
          <w:szCs w:val="18"/>
        </w:rPr>
        <w:t xml:space="preserve">[AWS] </w:t>
      </w:r>
      <w:r>
        <w:rPr>
          <w:sz w:val="18"/>
          <w:szCs w:val="18"/>
        </w:rPr>
        <w:t xml:space="preserve">Automated Reasoning checks in Amazon Bedrock Guardrails — formal logic / mathematical techniques to validate responses against defined policies; first GenAI safeguard to use formal logic against hallucination. </w:t>
      </w:r>
      <w:hyperlink w:history="1" r:id="rId33ehhaejhghjqxlshxey5">
        <w:r>
          <w:rPr>
            <w:rStyle w:val="Hyperlink"/>
            <w:sz w:val="16"/>
            <w:szCs w:val="16"/>
          </w:rPr>
          <w:t xml:space="preserve">https://docs.aws.amazon.com/bedrock/latest/userguide/guardrails-automated-reasoning-checks.html</w:t>
        </w:r>
      </w:hyperlink>
    </w:p>
    <w:p>
      <w:pPr>
        <w:pStyle w:val="ListParagraph"/>
        <w:numPr>
          <w:ilvl w:val="0"/>
          <w:numId w:val="2"/>
        </w:numPr>
        <w:spacing w:after="80" w:line="256"/>
      </w:pPr>
      <w:r>
        <w:rPr>
          <w:b/>
          <w:bCs/>
          <w:color w:val="C55A11"/>
          <w:sz w:val="18"/>
          <w:szCs w:val="18"/>
        </w:rPr>
        <w:t xml:space="preserve">[AWS] </w:t>
      </w:r>
      <w:r>
        <w:rPr>
          <w:sz w:val="18"/>
          <w:szCs w:val="18"/>
        </w:rPr>
        <w:t xml:space="preserve">Guardrails can now detect hallucinations / safeguard custom and third-party FMs. </w:t>
      </w:r>
      <w:hyperlink w:history="1" r:id="rIdmzeg1nxi5ixp3hq_1lpaf">
        <w:r>
          <w:rPr>
            <w:rStyle w:val="Hyperlink"/>
            <w:sz w:val="16"/>
            <w:szCs w:val="16"/>
          </w:rPr>
          <w:t xml:space="preserve">https://aws.amazon.com/blogs/aws/guardrails-for-amazon-bedrock-can-now-detect-hallucinations-and-safeguard-apps-built-using-custom-or-third-party-fms/</w:t>
        </w:r>
      </w:hyperlink>
    </w:p>
    <w:p>
      <w:pPr>
        <w:pStyle w:val="ListParagraph"/>
        <w:numPr>
          <w:ilvl w:val="0"/>
          <w:numId w:val="2"/>
        </w:numPr>
        <w:spacing w:after="80" w:line="256"/>
      </w:pPr>
      <w:r>
        <w:rPr>
          <w:b/>
          <w:bCs/>
          <w:color w:val="C55A11"/>
          <w:sz w:val="18"/>
          <w:szCs w:val="18"/>
        </w:rPr>
        <w:t xml:space="preserve">[AWS] </w:t>
      </w:r>
      <w:r>
        <w:rPr>
          <w:sz w:val="18"/>
          <w:szCs w:val="18"/>
        </w:rPr>
        <w:t xml:space="preserve">Bedrock Guardrails overview. </w:t>
      </w:r>
      <w:hyperlink w:history="1" r:id="rId8ggybgb_iqrosyeecu1tf">
        <w:r>
          <w:rPr>
            <w:rStyle w:val="Hyperlink"/>
            <w:sz w:val="16"/>
            <w:szCs w:val="16"/>
          </w:rPr>
          <w:t xml:space="preserve">https://aws.amazon.com/bedrock/guardrails/</w:t>
        </w:r>
      </w:hyperlink>
    </w:p>
    <w:p>
      <w:pPr>
        <w:spacing w:after="80" w:before="160"/>
      </w:pPr>
      <w:r>
        <w:rPr>
          <w:b/>
          <w:bCs/>
          <w:color w:val="1F3864"/>
          <w:sz w:val="22"/>
          <w:szCs w:val="22"/>
        </w:rPr>
        <w:t xml:space="preserve">Sensitive-data discovery and masking</w:t>
      </w:r>
    </w:p>
    <w:p>
      <w:pPr>
        <w:pStyle w:val="ListParagraph"/>
        <w:numPr>
          <w:ilvl w:val="0"/>
          <w:numId w:val="2"/>
        </w:numPr>
        <w:spacing w:after="80" w:line="256"/>
      </w:pPr>
      <w:r>
        <w:rPr>
          <w:b/>
          <w:bCs/>
          <w:color w:val="C55A11"/>
          <w:sz w:val="18"/>
          <w:szCs w:val="18"/>
        </w:rPr>
        <w:t xml:space="preserve">[AWS] </w:t>
      </w:r>
      <w:r>
        <w:rPr>
          <w:sz w:val="18"/>
          <w:szCs w:val="18"/>
        </w:rPr>
        <w:t xml:space="preserve">Detecting and redacting PII using Amazon Comprehend. </w:t>
      </w:r>
      <w:hyperlink w:history="1" r:id="rIdqnciy2uvlnl0kdoh2lf-t">
        <w:r>
          <w:rPr>
            <w:rStyle w:val="Hyperlink"/>
            <w:sz w:val="16"/>
            <w:szCs w:val="16"/>
          </w:rPr>
          <w:t xml:space="preserve">https://aws.amazon.com/blogs/machine-learning/detecting-and-redacting-pii-using-amazon-comprehend/</w:t>
        </w:r>
      </w:hyperlink>
    </w:p>
    <w:p>
      <w:pPr>
        <w:pStyle w:val="ListParagraph"/>
        <w:numPr>
          <w:ilvl w:val="0"/>
          <w:numId w:val="2"/>
        </w:numPr>
        <w:spacing w:after="80" w:line="256"/>
      </w:pPr>
      <w:r>
        <w:rPr>
          <w:b/>
          <w:bCs/>
          <w:color w:val="C55A11"/>
          <w:sz w:val="18"/>
          <w:szCs w:val="18"/>
        </w:rPr>
        <w:t xml:space="preserve">[AWS] </w:t>
      </w:r>
      <w:r>
        <w:rPr>
          <w:sz w:val="18"/>
          <w:szCs w:val="18"/>
        </w:rPr>
        <w:t xml:space="preserve">Common techniques to detect PHI and PII using AWS services (Comprehend Medical for PHI; Macie for S3 discovery). </w:t>
      </w:r>
      <w:hyperlink w:history="1" r:id="rIdabo6yoanhm5xqc0xj_mux">
        <w:r>
          <w:rPr>
            <w:rStyle w:val="Hyperlink"/>
            <w:sz w:val="16"/>
            <w:szCs w:val="16"/>
          </w:rPr>
          <w:t xml:space="preserve">https://aws.amazon.com/blogs/industries/common-techniques-to-detect-phi-and-pii-data-using-aws-services/</w:t>
        </w:r>
      </w:hyperlink>
    </w:p>
    <w:p>
      <w:pPr>
        <w:pStyle w:val="ListParagraph"/>
        <w:numPr>
          <w:ilvl w:val="0"/>
          <w:numId w:val="2"/>
        </w:numPr>
        <w:spacing w:after="80" w:line="256"/>
      </w:pPr>
      <w:r>
        <w:rPr>
          <w:b/>
          <w:bCs/>
          <w:color w:val="C55A11"/>
          <w:sz w:val="18"/>
          <w:szCs w:val="18"/>
        </w:rPr>
        <w:t xml:space="preserve">[AWS] </w:t>
      </w:r>
      <w:r>
        <w:rPr>
          <w:sz w:val="18"/>
          <w:szCs w:val="18"/>
        </w:rPr>
        <w:t xml:space="preserve">Amazon Macie managed data identifiers — discover/classify PII, PHI, financial data, credentials in S3. </w:t>
      </w:r>
      <w:hyperlink w:history="1" r:id="rId3cttlugny5-fsq67lo9uv">
        <w:r>
          <w:rPr>
            <w:rStyle w:val="Hyperlink"/>
            <w:sz w:val="16"/>
            <w:szCs w:val="16"/>
          </w:rPr>
          <w:t xml:space="preserve">https://docs.aws.amazon.com/macie/latest/user/managed-data-identifiers.html</w:t>
        </w:r>
      </w:hyperlink>
    </w:p>
    <w:p>
      <w:pPr>
        <w:pStyle w:val="ListParagraph"/>
        <w:numPr>
          <w:ilvl w:val="0"/>
          <w:numId w:val="2"/>
        </w:numPr>
        <w:spacing w:after="80" w:line="256"/>
      </w:pPr>
      <w:r>
        <w:rPr>
          <w:b/>
          <w:bCs/>
          <w:color w:val="C55A11"/>
          <w:sz w:val="18"/>
          <w:szCs w:val="18"/>
        </w:rPr>
        <w:t xml:space="preserve">[AWS] </w:t>
      </w:r>
      <w:r>
        <w:rPr>
          <w:sz w:val="18"/>
          <w:szCs w:val="18"/>
        </w:rPr>
        <w:t xml:space="preserve">Redacting PII with S3 Object Lambda + Comprehend. </w:t>
      </w:r>
      <w:hyperlink w:history="1" r:id="rId4fy5e6vd86arrkdpyu-pb">
        <w:r>
          <w:rPr>
            <w:rStyle w:val="Hyperlink"/>
            <w:sz w:val="16"/>
            <w:szCs w:val="16"/>
          </w:rPr>
          <w:t xml:space="preserve">https://docs.aws.amazon.com/AmazonS3/latest/userguide/tutorial-s3-object-lambda-redact-pii.html</w:t>
        </w:r>
      </w:hyperlink>
    </w:p>
    <w:p>
      <w:pPr>
        <w:pStyle w:val="ListParagraph"/>
        <w:numPr>
          <w:ilvl w:val="0"/>
          <w:numId w:val="2"/>
        </w:numPr>
        <w:spacing w:after="80" w:line="256"/>
      </w:pPr>
      <w:r>
        <w:rPr>
          <w:b/>
          <w:bCs/>
          <w:color w:val="C55A11"/>
          <w:sz w:val="18"/>
          <w:szCs w:val="18"/>
        </w:rPr>
        <w:t xml:space="preserve">[AWS] </w:t>
      </w:r>
      <w:r>
        <w:rPr>
          <w:sz w:val="18"/>
          <w:szCs w:val="18"/>
        </w:rPr>
        <w:t xml:space="preserve">Bedrock sensitive information (PII) filters in Guardrails. </w:t>
      </w:r>
      <w:hyperlink w:history="1" r:id="rIdolytfgmlz-eckheyaqkxl">
        <w:r>
          <w:rPr>
            <w:rStyle w:val="Hyperlink"/>
            <w:sz w:val="16"/>
            <w:szCs w:val="16"/>
          </w:rPr>
          <w:t xml:space="preserve">https://docs.aws.amazon.com/bedrock/latest/userguide/guardrails-sensitive-filters.html</w:t>
        </w:r>
      </w:hyperlink>
    </w:p>
    <w:p>
      <w:pPr>
        <w:spacing w:after="80" w:before="160"/>
      </w:pPr>
      <w:r>
        <w:rPr>
          <w:b/>
          <w:bCs/>
          <w:color w:val="1F3864"/>
          <w:sz w:val="22"/>
          <w:szCs w:val="22"/>
        </w:rPr>
        <w:t xml:space="preserve">Public-sector authorization frameworks</w:t>
      </w:r>
    </w:p>
    <w:p>
      <w:pPr>
        <w:pStyle w:val="ListParagraph"/>
        <w:numPr>
          <w:ilvl w:val="0"/>
          <w:numId w:val="2"/>
        </w:numPr>
        <w:spacing w:after="80" w:line="256"/>
      </w:pPr>
      <w:r>
        <w:rPr>
          <w:b/>
          <w:bCs/>
          <w:color w:val="2E7D32"/>
          <w:sz w:val="18"/>
          <w:szCs w:val="18"/>
        </w:rPr>
        <w:t xml:space="preserve">[GOV] </w:t>
      </w:r>
      <w:r>
        <w:rPr>
          <w:sz w:val="18"/>
          <w:szCs w:val="18"/>
        </w:rPr>
        <w:t xml:space="preserve">StateRAMP rebranded to GovRAMP (Feb 2025) — scope expanded to local governments, K-12, higher education, and hospitals. </w:t>
      </w:r>
      <w:hyperlink w:history="1" r:id="rIdco_c4imk5yltxa3o4w9_c">
        <w:r>
          <w:rPr>
            <w:rStyle w:val="Hyperlink"/>
            <w:sz w:val="16"/>
            <w:szCs w:val="16"/>
          </w:rPr>
          <w:t xml:space="preserve">https://statetechmagazine.com/article/2025/04/stateramp-rebrands-to-govramp-perfcon</w:t>
        </w:r>
      </w:hyperlink>
    </w:p>
    <w:p>
      <w:pPr>
        <w:pStyle w:val="ListParagraph"/>
        <w:numPr>
          <w:ilvl w:val="0"/>
          <w:numId w:val="2"/>
        </w:numPr>
        <w:spacing w:after="80" w:line="256"/>
      </w:pPr>
      <w:r>
        <w:rPr>
          <w:b/>
          <w:bCs/>
          <w:color w:val="2E7D32"/>
          <w:sz w:val="18"/>
          <w:szCs w:val="18"/>
        </w:rPr>
        <w:t xml:space="preserve">[GOV] </w:t>
      </w:r>
      <w:r>
        <w:rPr>
          <w:sz w:val="18"/>
          <w:szCs w:val="18"/>
        </w:rPr>
        <w:t xml:space="preserve">FedRAMP 20x — pilot to compress authorization timelines; Phase 1 (Low) produced 13 authorizations from 27 submissions in FY25. </w:t>
      </w:r>
      <w:hyperlink w:history="1" r:id="rIdof1bpt-g7zqcgoux6zdl-">
        <w:r>
          <w:rPr>
            <w:rStyle w:val="Hyperlink"/>
            <w:sz w:val="16"/>
            <w:szCs w:val="16"/>
          </w:rPr>
          <w:t xml:space="preserve">https://www.compliancepoint.com/cyber-security/comparing-fedramp-and-govramp/</w:t>
        </w:r>
      </w:hyperlink>
    </w:p>
    <w:p>
      <w:pPr>
        <w:pStyle w:val="ListParagraph"/>
        <w:numPr>
          <w:ilvl w:val="0"/>
          <w:numId w:val="2"/>
        </w:numPr>
        <w:spacing w:after="80" w:line="256"/>
      </w:pPr>
      <w:r>
        <w:rPr>
          <w:b/>
          <w:bCs/>
          <w:color w:val="2E7D32"/>
          <w:sz w:val="18"/>
          <w:szCs w:val="18"/>
        </w:rPr>
        <w:t xml:space="preserve">[GOV] </w:t>
      </w:r>
      <w:r>
        <w:rPr>
          <w:sz w:val="18"/>
          <w:szCs w:val="18"/>
        </w:rPr>
        <w:t xml:space="preserve">CJIS Security Policy v6.0 — released 2024-12-27; audits began 2025-10-01; full compliance ~2027; MFA mandatory for all CJI access. </w:t>
      </w:r>
      <w:hyperlink w:history="1" r:id="rIdcunu4k_4s-bbsfployrjk">
        <w:r>
          <w:rPr>
            <w:rStyle w:val="Hyperlink"/>
            <w:sz w:val="16"/>
            <w:szCs w:val="16"/>
          </w:rPr>
          <w:t xml:space="preserve">https://www.compassitc.com/blog/cjis-security-policy-v6.0-key-updates-you-need-to-know</w:t>
        </w:r>
      </w:hyperlink>
    </w:p>
    <w:p>
      <w:pPr>
        <w:pStyle w:val="ListParagraph"/>
        <w:numPr>
          <w:ilvl w:val="0"/>
          <w:numId w:val="2"/>
        </w:numPr>
        <w:spacing w:after="80" w:line="256"/>
      </w:pPr>
      <w:r>
        <w:rPr>
          <w:b/>
          <w:bCs/>
          <w:color w:val="2E7D32"/>
          <w:sz w:val="18"/>
          <w:szCs w:val="18"/>
        </w:rPr>
        <w:t xml:space="preserve">[GOV] </w:t>
      </w:r>
      <w:r>
        <w:rPr>
          <w:sz w:val="18"/>
          <w:szCs w:val="18"/>
        </w:rPr>
        <w:t xml:space="preserve">MFA for CJIS: NIST IR 8523. </w:t>
      </w:r>
      <w:hyperlink w:history="1" r:id="rId9jsappwyji8s3ofylsrre">
        <w:r>
          <w:rPr>
            <w:rStyle w:val="Hyperlink"/>
            <w:sz w:val="16"/>
            <w:szCs w:val="16"/>
          </w:rPr>
          <w:t xml:space="preserve">https://csrc.nist.gov/News/2025/mfa-for-cjis-nist-ir-8523</w:t>
        </w:r>
      </w:hyperlink>
    </w:p>
    <w:p>
      <w:pPr>
        <w:pStyle w:val="ListParagraph"/>
        <w:numPr>
          <w:ilvl w:val="0"/>
          <w:numId w:val="2"/>
        </w:numPr>
        <w:spacing w:after="80" w:line="256"/>
      </w:pPr>
      <w:r>
        <w:rPr>
          <w:b/>
          <w:bCs/>
          <w:color w:val="2E7D32"/>
          <w:sz w:val="18"/>
          <w:szCs w:val="18"/>
        </w:rPr>
        <w:t xml:space="preserve">[GOV] </w:t>
      </w:r>
      <w:r>
        <w:rPr>
          <w:sz w:val="18"/>
          <w:szCs w:val="18"/>
        </w:rPr>
        <w:t xml:space="preserve">FBI CJIS Security Policy v6.0 (PDF, 2024-12-27). </w:t>
      </w:r>
      <w:hyperlink w:history="1" r:id="rIdwjziva_1qmbvmfzvhxwfj">
        <w:r>
          <w:rPr>
            <w:rStyle w:val="Hyperlink"/>
            <w:sz w:val="16"/>
            <w:szCs w:val="16"/>
          </w:rPr>
          <w:t xml:space="preserve">https://le.fbi.gov/file-repository/cjis_security_policy_v6-0_20241227.pdf</w:t>
        </w:r>
      </w:hyperlink>
    </w:p>
    <w:p>
      <w:pPr>
        <w:pStyle w:val="ListParagraph"/>
        <w:numPr>
          <w:ilvl w:val="0"/>
          <w:numId w:val="2"/>
        </w:numPr>
        <w:spacing w:after="80" w:line="256"/>
      </w:pPr>
      <w:r>
        <w:rPr>
          <w:b/>
          <w:bCs/>
          <w:color w:val="2E7D32"/>
          <w:sz w:val="18"/>
          <w:szCs w:val="18"/>
        </w:rPr>
        <w:t xml:space="preserve">[GOV] </w:t>
      </w:r>
      <w:r>
        <w:rPr>
          <w:sz w:val="18"/>
          <w:szCs w:val="18"/>
        </w:rPr>
        <w:t xml:space="preserve">IRS Publication 1075 (FTI safeguards). </w:t>
      </w:r>
      <w:hyperlink w:history="1" r:id="rId6jzmggpd_gcwgnwycznbr">
        <w:r>
          <w:rPr>
            <w:rStyle w:val="Hyperlink"/>
            <w:sz w:val="16"/>
            <w:szCs w:val="16"/>
          </w:rPr>
          <w:t xml:space="preserve">https://www.irs.gov/pub/irs-pdf/p1075.pdf</w:t>
        </w:r>
      </w:hyperlink>
    </w:p>
    <w:p>
      <w:pPr>
        <w:pStyle w:val="ListParagraph"/>
        <w:numPr>
          <w:ilvl w:val="0"/>
          <w:numId w:val="2"/>
        </w:numPr>
        <w:spacing w:after="80" w:line="256"/>
      </w:pPr>
      <w:r>
        <w:rPr>
          <w:b/>
          <w:bCs/>
          <w:color w:val="C55A11"/>
          <w:sz w:val="18"/>
          <w:szCs w:val="18"/>
        </w:rPr>
        <w:t xml:space="preserve">[AWS] </w:t>
      </w:r>
      <w:r>
        <w:rPr>
          <w:sz w:val="18"/>
          <w:szCs w:val="18"/>
        </w:rPr>
        <w:t xml:space="preserve">AWS GovRAMP. </w:t>
      </w:r>
      <w:hyperlink w:history="1" r:id="rIdxdagwu-voj1_qsgkscff_">
        <w:r>
          <w:rPr>
            <w:rStyle w:val="Hyperlink"/>
            <w:sz w:val="16"/>
            <w:szCs w:val="16"/>
          </w:rPr>
          <w:t xml:space="preserve">https://aws.amazon.com/compliance/govramp/</w:t>
        </w:r>
      </w:hyperlink>
    </w:p>
    <w:p>
      <w:pPr>
        <w:spacing w:after="80" w:before="160"/>
      </w:pPr>
      <w:r>
        <w:rPr>
          <w:b/>
          <w:bCs/>
          <w:color w:val="1F3864"/>
          <w:sz w:val="22"/>
          <w:szCs w:val="22"/>
        </w:rPr>
        <w:t xml:space="preserve">Healthcare and life-sciences regimes</w:t>
      </w:r>
    </w:p>
    <w:p>
      <w:pPr>
        <w:pStyle w:val="ListParagraph"/>
        <w:numPr>
          <w:ilvl w:val="0"/>
          <w:numId w:val="2"/>
        </w:numPr>
        <w:spacing w:after="80" w:line="256"/>
      </w:pPr>
      <w:r>
        <w:rPr>
          <w:b/>
          <w:bCs/>
          <w:color w:val="C55A11"/>
          <w:sz w:val="18"/>
          <w:szCs w:val="18"/>
        </w:rPr>
        <w:t xml:space="preserve">[AWS] </w:t>
      </w:r>
      <w:r>
        <w:rPr>
          <w:sz w:val="18"/>
          <w:szCs w:val="18"/>
        </w:rPr>
        <w:t xml:space="preserve">HIPAA compliance for generative AI solutions on AWS — Bedrock/AgentCore are HIPAA-eligible; a signed BAA + customer controls are required. HIPAA-eligible is not HIPAA-compliant. </w:t>
      </w:r>
      <w:hyperlink w:history="1" r:id="rIdkiqowyaxzt7lhi1e7l2_b">
        <w:r>
          <w:rPr>
            <w:rStyle w:val="Hyperlink"/>
            <w:sz w:val="16"/>
            <w:szCs w:val="16"/>
          </w:rPr>
          <w:t xml:space="preserve">https://aws.amazon.com/blogs/industries/hipaa-compliance-for-generative-ai-solutions-on-aws/</w:t>
        </w:r>
      </w:hyperlink>
    </w:p>
    <w:p>
      <w:pPr>
        <w:pStyle w:val="ListParagraph"/>
        <w:numPr>
          <w:ilvl w:val="0"/>
          <w:numId w:val="2"/>
        </w:numPr>
        <w:spacing w:after="80" w:line="256"/>
      </w:pPr>
      <w:r>
        <w:rPr>
          <w:b/>
          <w:bCs/>
          <w:color w:val="C55A11"/>
          <w:sz w:val="18"/>
          <w:szCs w:val="18"/>
        </w:rPr>
        <w:t xml:space="preserve">[AWS] </w:t>
      </w:r>
      <w:r>
        <w:rPr>
          <w:sz w:val="18"/>
          <w:szCs w:val="18"/>
        </w:rPr>
        <w:t xml:space="preserve">GxP / 21 CFR Part 11 &amp; EU Annex 11 on AWS. </w:t>
      </w:r>
      <w:hyperlink w:history="1" r:id="rIdg3m9bhrnnlcactdhdxkuz">
        <w:r>
          <w:rPr>
            <w:rStyle w:val="Hyperlink"/>
            <w:sz w:val="16"/>
            <w:szCs w:val="16"/>
          </w:rPr>
          <w:t xml:space="preserve">https://aws.amazon.com/compliance/gxp-part-11-annex-11/</w:t>
        </w:r>
      </w:hyperlink>
    </w:p>
    <w:p>
      <w:pPr>
        <w:pStyle w:val="ListParagraph"/>
        <w:numPr>
          <w:ilvl w:val="0"/>
          <w:numId w:val="2"/>
        </w:numPr>
        <w:spacing w:after="80" w:line="256"/>
      </w:pPr>
      <w:r>
        <w:rPr>
          <w:b/>
          <w:bCs/>
          <w:color w:val="C55A11"/>
          <w:sz w:val="18"/>
          <w:szCs w:val="18"/>
        </w:rPr>
        <w:t xml:space="preserve">[AWS] </w:t>
      </w:r>
      <w:r>
        <w:rPr>
          <w:sz w:val="18"/>
          <w:szCs w:val="18"/>
        </w:rPr>
        <w:t xml:space="preserve">A guide to building AI agents in GxP environments (Computer Software Assurance, risk-based validation). </w:t>
      </w:r>
      <w:hyperlink w:history="1" r:id="rId-y-kidh7snodhxbm3easm">
        <w:r>
          <w:rPr>
            <w:rStyle w:val="Hyperlink"/>
            <w:sz w:val="16"/>
            <w:szCs w:val="16"/>
          </w:rPr>
          <w:t xml:space="preserve">https://aws.amazon.com/blogs/machine-learning/a-guide-to-building-ai-agents-in-gxp-environments/</w:t>
        </w:r>
      </w:hyperlink>
    </w:p>
    <w:p>
      <w:pPr>
        <w:pStyle w:val="ListParagraph"/>
        <w:numPr>
          <w:ilvl w:val="0"/>
          <w:numId w:val="2"/>
        </w:numPr>
        <w:spacing w:after="80" w:line="256"/>
      </w:pPr>
      <w:r>
        <w:rPr>
          <w:b/>
          <w:bCs/>
          <w:color w:val="C55A11"/>
          <w:sz w:val="18"/>
          <w:szCs w:val="18"/>
        </w:rPr>
        <w:t xml:space="preserve">[AWS] </w:t>
      </w:r>
      <w:r>
        <w:rPr>
          <w:sz w:val="18"/>
          <w:szCs w:val="18"/>
        </w:rPr>
        <w:t xml:space="preserve">GxP Systems on AWS (whitepaper). </w:t>
      </w:r>
      <w:hyperlink w:history="1" r:id="rIdbmlfjcohzengingcni6pm">
        <w:r>
          <w:rPr>
            <w:rStyle w:val="Hyperlink"/>
            <w:sz w:val="16"/>
            <w:szCs w:val="16"/>
          </w:rPr>
          <w:t xml:space="preserve">https://d1.awsstatic.com/whitepapers/compliance/Using_AWS_in_GxP_Systems.pdf</w:t>
        </w:r>
      </w:hyperlink>
    </w:p>
    <w:p>
      <w:pPr>
        <w:spacing w:after="80" w:before="160"/>
      </w:pPr>
      <w:r>
        <w:rPr>
          <w:b/>
          <w:bCs/>
          <w:color w:val="1F3864"/>
          <w:sz w:val="22"/>
          <w:szCs w:val="22"/>
        </w:rPr>
        <w:t xml:space="preserve">Education regimes</w:t>
      </w:r>
    </w:p>
    <w:p>
      <w:pPr>
        <w:pStyle w:val="ListParagraph"/>
        <w:numPr>
          <w:ilvl w:val="0"/>
          <w:numId w:val="2"/>
        </w:numPr>
        <w:spacing w:after="80" w:line="256"/>
      </w:pPr>
      <w:r>
        <w:rPr>
          <w:b/>
          <w:bCs/>
          <w:color w:val="2E7D32"/>
          <w:sz w:val="18"/>
          <w:szCs w:val="18"/>
        </w:rPr>
        <w:t xml:space="preserve">[GOV] </w:t>
      </w:r>
      <w:r>
        <w:rPr>
          <w:sz w:val="18"/>
          <w:szCs w:val="18"/>
        </w:rPr>
        <w:t xml:space="preserve">Amended COPPA Rule (2025) — effective 2025-06-23, compliance deadline 2026-04-22; expands personal information to biometric identifiers; shifts to opt-in parental consent; requires a written security program. </w:t>
      </w:r>
      <w:hyperlink w:history="1" r:id="rIdcgk7agtxupeqqmkp2ovha">
        <w:r>
          <w:rPr>
            <w:rStyle w:val="Hyperlink"/>
            <w:sz w:val="16"/>
            <w:szCs w:val="16"/>
          </w:rPr>
          <w:t xml:space="preserve">https://www.loeb.com/en/insights/publications/2025/05/childrens-online-privacy-in-2025-the-amended-coppa-rule</w:t>
        </w:r>
      </w:hyperlink>
    </w:p>
    <w:p>
      <w:pPr>
        <w:pStyle w:val="ListParagraph"/>
        <w:numPr>
          <w:ilvl w:val="0"/>
          <w:numId w:val="2"/>
        </w:numPr>
        <w:spacing w:after="80" w:line="256"/>
      </w:pPr>
      <w:r>
        <w:rPr>
          <w:b/>
          <w:bCs/>
          <w:color w:val="2E7D32"/>
          <w:sz w:val="18"/>
          <w:szCs w:val="18"/>
        </w:rPr>
        <w:t xml:space="preserve">[GOV] </w:t>
      </w:r>
      <w:r>
        <w:rPr>
          <w:sz w:val="18"/>
          <w:szCs w:val="18"/>
        </w:rPr>
        <w:t xml:space="preserve">FERPA &amp; AI — feeding student records to general-purpose AI without an agreement can be an unauthorized disclosure; school-official exception requires direct control + data limits. </w:t>
      </w:r>
      <w:hyperlink w:history="1" r:id="rIdaad6k7qusju9e8_pk7njg">
        <w:r>
          <w:rPr>
            <w:rStyle w:val="Hyperlink"/>
            <w:sz w:val="16"/>
            <w:szCs w:val="16"/>
          </w:rPr>
          <w:t xml:space="preserve">https://www.nea.org/sites/default/files/2025-06/5.1-ai-policy-overview-of-federal-regulations-final.pdf</w:t>
        </w:r>
      </w:hyperlink>
    </w:p>
    <w:p>
      <w:pPr>
        <w:spacing w:after="80" w:before="160"/>
      </w:pPr>
      <w:r>
        <w:rPr>
          <w:b/>
          <w:bCs/>
          <w:color w:val="1F3864"/>
          <w:sz w:val="22"/>
          <w:szCs w:val="22"/>
        </w:rPr>
        <w:t xml:space="preserve">Accessibility</w:t>
      </w:r>
    </w:p>
    <w:p>
      <w:pPr>
        <w:pStyle w:val="ListParagraph"/>
        <w:numPr>
          <w:ilvl w:val="0"/>
          <w:numId w:val="2"/>
        </w:numPr>
        <w:spacing w:after="80" w:line="256"/>
      </w:pPr>
      <w:r>
        <w:rPr>
          <w:b/>
          <w:bCs/>
          <w:color w:val="2E7D32"/>
          <w:sz w:val="18"/>
          <w:szCs w:val="18"/>
        </w:rPr>
        <w:t xml:space="preserve">[GOV] </w:t>
      </w:r>
      <w:r>
        <w:rPr>
          <w:sz w:val="18"/>
          <w:szCs w:val="18"/>
        </w:rPr>
        <w:t xml:space="preserve">DOJ ADA Title II Interim Final Rule (eff. 2026-04-20) — State/local entities with population &gt;= 50,000 by April 26, 2027; &lt; 50,000 or special districts by April 26, 2028; standard WCAG 2.1 Level AA. </w:t>
      </w:r>
      <w:hyperlink w:history="1" r:id="rIdwij8jmus3qnr-g_ylg7ov">
        <w:r>
          <w:rPr>
            <w:rStyle w:val="Hyperlink"/>
            <w:sz w:val="16"/>
            <w:szCs w:val="16"/>
          </w:rPr>
          <w:t xml:space="preserve">https://www.federalregister.gov/documents/2026/04/20/2026-07663/extension-of-compliance-dates-for-nondiscrimination-on-the-basis-of-disability-accessibility-of-web</w:t>
        </w:r>
      </w:hyperlink>
    </w:p>
    <w:p>
      <w:pPr>
        <w:spacing w:after="80" w:before="160"/>
      </w:pPr>
      <w:r>
        <w:rPr>
          <w:b/>
          <w:bCs/>
          <w:color w:val="1F3864"/>
          <w:sz w:val="22"/>
          <w:szCs w:val="22"/>
        </w:rPr>
        <w:t xml:space="preserve">AI risk management</w:t>
      </w:r>
    </w:p>
    <w:p>
      <w:pPr>
        <w:pStyle w:val="ListParagraph"/>
        <w:numPr>
          <w:ilvl w:val="0"/>
          <w:numId w:val="2"/>
        </w:numPr>
        <w:spacing w:after="80" w:line="256"/>
      </w:pPr>
      <w:r>
        <w:rPr>
          <w:b/>
          <w:bCs/>
          <w:color w:val="2E7D32"/>
          <w:sz w:val="18"/>
          <w:szCs w:val="18"/>
        </w:rPr>
        <w:t xml:space="preserve">[GOV] </w:t>
      </w:r>
      <w:r>
        <w:rPr>
          <w:sz w:val="18"/>
          <w:szCs w:val="18"/>
        </w:rPr>
        <w:t xml:space="preserve">NIST AI 600-1 — AI RMF Generative AI Profile (2024-07-26). 12 risk areas including Confabulation, Data Privacy, Information Integrity, Information Security; 200+ suggested actions across Govern / Map / Measure / Manage. </w:t>
      </w:r>
      <w:hyperlink w:history="1" r:id="rId4nba_cl1zh3wocqqyyqtl">
        <w:r>
          <w:rPr>
            <w:rStyle w:val="Hyperlink"/>
            <w:sz w:val="16"/>
            <w:szCs w:val="16"/>
          </w:rPr>
          <w:t xml:space="preserve">https://nvlpubs.nist.gov/nistpubs/ai/NIST.AI.600-1.pdf</w:t>
        </w:r>
      </w:hyperlink>
    </w:p>
    <w:p>
      <w:pPr>
        <w:pStyle w:val="ListParagraph"/>
        <w:numPr>
          <w:ilvl w:val="0"/>
          <w:numId w:val="2"/>
        </w:numPr>
        <w:spacing w:after="80" w:line="256"/>
      </w:pPr>
      <w:r>
        <w:rPr>
          <w:b/>
          <w:bCs/>
          <w:color w:val="2E7D32"/>
          <w:sz w:val="18"/>
          <w:szCs w:val="18"/>
        </w:rPr>
        <w:t xml:space="preserve">[GOV] </w:t>
      </w:r>
      <w:r>
        <w:rPr>
          <w:sz w:val="18"/>
          <w:szCs w:val="18"/>
        </w:rPr>
        <w:t xml:space="preserve">NIST AI RMF 1.0 (base framework). </w:t>
      </w:r>
      <w:hyperlink w:history="1" r:id="rIdswacerwxye6ahhlppmjm0">
        <w:r>
          <w:rPr>
            <w:rStyle w:val="Hyperlink"/>
            <w:sz w:val="16"/>
            <w:szCs w:val="16"/>
          </w:rPr>
          <w:t xml:space="preserve">https://www.nist.gov/itl/ai-risk-management-framework</w:t>
        </w:r>
      </w:hyperlink>
    </w:p>
    <w:p>
      <w:pPr>
        <w:spacing w:after="80" w:before="160"/>
      </w:pPr>
      <w:r>
        <w:rPr>
          <w:b/>
          <w:bCs/>
          <w:color w:val="1F3864"/>
          <w:sz w:val="22"/>
          <w:szCs w:val="22"/>
        </w:rPr>
        <w:t xml:space="preserve">Inherited evidence base</w:t>
      </w:r>
    </w:p>
    <w:p>
      <w:pPr>
        <w:pStyle w:val="ListParagraph"/>
        <w:numPr>
          <w:ilvl w:val="0"/>
          <w:numId w:val="2"/>
        </w:numPr>
        <w:spacing w:after="80" w:line="256"/>
      </w:pPr>
      <w:r>
        <w:rPr>
          <w:b/>
          <w:bCs/>
          <w:color w:val="1F3864"/>
          <w:sz w:val="18"/>
          <w:szCs w:val="18"/>
        </w:rPr>
        <w:t xml:space="preserve">[VENDOR] </w:t>
      </w:r>
      <w:r>
        <w:rPr>
          <w:sz w:val="18"/>
          <w:szCs w:val="18"/>
        </w:rPr>
        <w:t xml:space="preserve">Predecessor repo virtualryder/slg-ai-agents carries its own grounded citation set (SOURCES.md, decks/DECK-SOURCES.md) for SLG workflow pain/ROI figures (DOJ OIP FOIA backlog, KFF Medicaid unwinding, CMS call-center metrics, NASCIO state-CIO priorities, Gartner self-service economics, named state/county deployments). Reused only where this platform's docs cite SLG outcomes, labeled by evidence tier on-slide.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center" w:pos="4680"/>
        <w:tab w:val="right" w:pos="9360"/>
      </w:tabs>
      <w:spacing w:before="40"/>
    </w:pPr>
    <w:r>
      <w:rPr>
        <w:color w:val="595959"/>
        <w:sz w:val="15"/>
        <w:szCs w:val="15"/>
      </w:rPr>
      <w:t xml:space="preserve">Reference platform — not yet AWS-authorized / ATO'd</w:t>
    </w:r>
    <w:r>
      <w:rPr>
        <w:sz w:val="15"/>
        <w:szCs w:val="15"/>
      </w:rP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5"/>
        <w:szCs w:val="15"/>
      </w:rPr>
      <w:t xml:space="preserve">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360"/>
      </w:tabs>
      <w:spacing w:after="0"/>
    </w:pPr>
    <w:r>
      <w:rPr>
        <w:color w:val="595959"/>
        <w:sz w:val="16"/>
        <w:szCs w:val="16"/>
      </w:rPr>
      <w:t xml:space="preserve">Aegis — Governed-Agent Reference Architecture</w:t>
    </w:r>
    <w:r>
      <w:rPr>
        <w:color w:val="595959"/>
        <w:sz w:val="16"/>
        <w:szCs w:val="16"/>
      </w:rPr>
      <w:t xml:space="preserve">	Architecture &amp; Go-to-Market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k2zorqrfvj4mk9nomn0y" Type="http://schemas.openxmlformats.org/officeDocument/2006/relationships/hyperlink" Target="https://aws.amazon.com/about-aws/whats-new/2025/10/amazon-bedrock-agentcore-available/" TargetMode="External"/><Relationship Id="rIdzf6px0b_md1fmyisognn_" Type="http://schemas.openxmlformats.org/officeDocument/2006/relationships/hyperlink" Target="https://docs.aws.amazon.com/bedrock-agentcore/latest/devguide/compliance-validation.html" TargetMode="External"/><Relationship Id="rIdt1id1wwk6ggvmoguw4vsu" Type="http://schemas.openxmlformats.org/officeDocument/2006/relationships/hyperlink" Target="https://docs.aws.amazon.com/bedrock-agentcore/latest/devguide/policy.html" TargetMode="External"/><Relationship Id="rIdc5w6d7x2dwhf802wpsbqx" Type="http://schemas.openxmlformats.org/officeDocument/2006/relationships/hyperlink" Target="https://aws.amazon.com/blogs/security/why-policy-in-amazon-bedrock-agentcore-chose-cedar-for-securing-agentic-workflows/" TargetMode="External"/><Relationship Id="rIdstgzi_y86y3630ilbqrao" Type="http://schemas.openxmlformats.org/officeDocument/2006/relationships/hyperlink" Target="https://docs.aws.amazon.com/verifiedpermissions/latest/userguide/what-is-avp.html" TargetMode="External"/><Relationship Id="rIdfnnpeg9k57qayntkhdxyi" Type="http://schemas.openxmlformats.org/officeDocument/2006/relationships/hyperlink" Target="https://docs.aws.amazon.com/bedrock-agentcore/latest/devguide/on-behalf-of-token-exchange.html" TargetMode="External"/><Relationship Id="rIdvx-xxbxzdyneh0numjxqb" Type="http://schemas.openxmlformats.org/officeDocument/2006/relationships/hyperlink" Target="https://docs.aws.amazon.com/controltower/latest/userguide/what-is-control-tower.html" TargetMode="External"/><Relationship Id="rId_vnlri5_xovnoy0yocnvx" Type="http://schemas.openxmlformats.org/officeDocument/2006/relationships/hyperlink" Target="https://docs.aws.amazon.com/bedrock/latest/userguide/model-invocation-logging.html" TargetMode="External"/><Relationship Id="rIdk_iy51jhvwcmlvqrhhqwj" Type="http://schemas.openxmlformats.org/officeDocument/2006/relationships/hyperlink" Target="https://docs.aws.amazon.com/bedrock/latest/userguide/vpc-interface-endpoints.html" TargetMode="External"/><Relationship Id="rId8zf-zpnqb49wktithxe5x" Type="http://schemas.openxmlformats.org/officeDocument/2006/relationships/hyperlink" Target="https://docs.aws.amazon.com/AmazonS3/latest/userguide/object-lock.html" TargetMode="External"/><Relationship Id="rIdsddsqwuceug31tqfo-a8g" Type="http://schemas.openxmlformats.org/officeDocument/2006/relationships/hyperlink" Target="https://aws.amazon.com/blogs/machine-learning/manage-multi-tenant-amazon-bedrock-costs-using-application-inference-profiles/" TargetMode="External"/><Relationship Id="rIddbthzrhqaeldhc1awk7s1" Type="http://schemas.openxmlformats.org/officeDocument/2006/relationships/hyperlink" Target="https://aws.amazon.com/blogs/machine-learning/introducing-granular-cost-attribution-for-amazon-bedrock/" TargetMode="External"/><Relationship Id="rIdlej1zv3qajjuwsgj3otxd" Type="http://schemas.openxmlformats.org/officeDocument/2006/relationships/hyperlink" Target="https://aws.amazon.com/blogs/aws-cloud-financial-management/track-amazon-bedrock-costs-by-caller-identity-with-iam-based-cost-allocation/" TargetMode="External"/><Relationship Id="rIduh0vrgddo_fnvk4ond-bz" Type="http://schemas.openxmlformats.org/officeDocument/2006/relationships/hyperlink" Target="https://docs.aws.amazon.com/bedrock/latest/userguide/cost-mgmt-application-inference-profiles.html" TargetMode="External"/><Relationship Id="rIdqnkkoxb7oyqiovpd15pip" Type="http://schemas.openxmlformats.org/officeDocument/2006/relationships/hyperlink" Target="https://docs.aws.amazon.com/bedrock/latest/userguide/guardrails-contextual-grounding-check.html" TargetMode="External"/><Relationship Id="rId33ehhaejhghjqxlshxey5" Type="http://schemas.openxmlformats.org/officeDocument/2006/relationships/hyperlink" Target="https://docs.aws.amazon.com/bedrock/latest/userguide/guardrails-automated-reasoning-checks.html" TargetMode="External"/><Relationship Id="rIdmzeg1nxi5ixp3hq_1lpaf" Type="http://schemas.openxmlformats.org/officeDocument/2006/relationships/hyperlink" Target="https://aws.amazon.com/blogs/aws/guardrails-for-amazon-bedrock-can-now-detect-hallucinations-and-safeguard-apps-built-using-custom-or-third-party-fms/" TargetMode="External"/><Relationship Id="rId8ggybgb_iqrosyeecu1tf" Type="http://schemas.openxmlformats.org/officeDocument/2006/relationships/hyperlink" Target="https://aws.amazon.com/bedrock/guardrails/" TargetMode="External"/><Relationship Id="rIdqnciy2uvlnl0kdoh2lf-t" Type="http://schemas.openxmlformats.org/officeDocument/2006/relationships/hyperlink" Target="https://aws.amazon.com/blogs/machine-learning/detecting-and-redacting-pii-using-amazon-comprehend/" TargetMode="External"/><Relationship Id="rIdabo6yoanhm5xqc0xj_mux" Type="http://schemas.openxmlformats.org/officeDocument/2006/relationships/hyperlink" Target="https://aws.amazon.com/blogs/industries/common-techniques-to-detect-phi-and-pii-data-using-aws-services/" TargetMode="External"/><Relationship Id="rId3cttlugny5-fsq67lo9uv" Type="http://schemas.openxmlformats.org/officeDocument/2006/relationships/hyperlink" Target="https://docs.aws.amazon.com/macie/latest/user/managed-data-identifiers.html" TargetMode="External"/><Relationship Id="rId4fy5e6vd86arrkdpyu-pb" Type="http://schemas.openxmlformats.org/officeDocument/2006/relationships/hyperlink" Target="https://docs.aws.amazon.com/AmazonS3/latest/userguide/tutorial-s3-object-lambda-redact-pii.html" TargetMode="External"/><Relationship Id="rIdolytfgmlz-eckheyaqkxl" Type="http://schemas.openxmlformats.org/officeDocument/2006/relationships/hyperlink" Target="https://docs.aws.amazon.com/bedrock/latest/userguide/guardrails-sensitive-filters.html" TargetMode="External"/><Relationship Id="rIdco_c4imk5yltxa3o4w9_c" Type="http://schemas.openxmlformats.org/officeDocument/2006/relationships/hyperlink" Target="https://statetechmagazine.com/article/2025/04/stateramp-rebrands-to-govramp-perfcon" TargetMode="External"/><Relationship Id="rIdof1bpt-g7zqcgoux6zdl-" Type="http://schemas.openxmlformats.org/officeDocument/2006/relationships/hyperlink" Target="https://www.compliancepoint.com/cyber-security/comparing-fedramp-and-govramp/" TargetMode="External"/><Relationship Id="rIdcunu4k_4s-bbsfployrjk" Type="http://schemas.openxmlformats.org/officeDocument/2006/relationships/hyperlink" Target="https://www.compassitc.com/blog/cjis-security-policy-v6.0-key-updates-you-need-to-know" TargetMode="External"/><Relationship Id="rId9jsappwyji8s3ofylsrre" Type="http://schemas.openxmlformats.org/officeDocument/2006/relationships/hyperlink" Target="https://csrc.nist.gov/News/2025/mfa-for-cjis-nist-ir-8523" TargetMode="External"/><Relationship Id="rIdwjziva_1qmbvmfzvhxwfj" Type="http://schemas.openxmlformats.org/officeDocument/2006/relationships/hyperlink" Target="https://le.fbi.gov/file-repository/cjis_security_policy_v6-0_20241227.pdf" TargetMode="External"/><Relationship Id="rId6jzmggpd_gcwgnwycznbr" Type="http://schemas.openxmlformats.org/officeDocument/2006/relationships/hyperlink" Target="https://www.irs.gov/pub/irs-pdf/p1075.pdf" TargetMode="External"/><Relationship Id="rIdxdagwu-voj1_qsgkscff_" Type="http://schemas.openxmlformats.org/officeDocument/2006/relationships/hyperlink" Target="https://aws.amazon.com/compliance/govramp/" TargetMode="External"/><Relationship Id="rIdkiqowyaxzt7lhi1e7l2_b" Type="http://schemas.openxmlformats.org/officeDocument/2006/relationships/hyperlink" Target="https://aws.amazon.com/blogs/industries/hipaa-compliance-for-generative-ai-solutions-on-aws/" TargetMode="External"/><Relationship Id="rIdg3m9bhrnnlcactdhdxkuz" Type="http://schemas.openxmlformats.org/officeDocument/2006/relationships/hyperlink" Target="https://aws.amazon.com/compliance/gxp-part-11-annex-11/" TargetMode="External"/><Relationship Id="rId-y-kidh7snodhxbm3easm" Type="http://schemas.openxmlformats.org/officeDocument/2006/relationships/hyperlink" Target="https://aws.amazon.com/blogs/machine-learning/a-guide-to-building-ai-agents-in-gxp-environments/" TargetMode="External"/><Relationship Id="rIdbmlfjcohzengingcni6pm" Type="http://schemas.openxmlformats.org/officeDocument/2006/relationships/hyperlink" Target="https://d1.awsstatic.com/whitepapers/compliance/Using_AWS_in_GxP_Systems.pdf" TargetMode="External"/><Relationship Id="rIdcgk7agtxupeqqmkp2ovha" Type="http://schemas.openxmlformats.org/officeDocument/2006/relationships/hyperlink" Target="https://www.loeb.com/en/insights/publications/2025/05/childrens-online-privacy-in-2025-the-amended-coppa-rule" TargetMode="External"/><Relationship Id="rIdaad6k7qusju9e8_pk7njg" Type="http://schemas.openxmlformats.org/officeDocument/2006/relationships/hyperlink" Target="https://www.nea.org/sites/default/files/2025-06/5.1-ai-policy-overview-of-federal-regulations-final.pdf" TargetMode="External"/><Relationship Id="rIdwij8jmus3qnr-g_ylg7ov" Type="http://schemas.openxmlformats.org/officeDocument/2006/relationships/hyperlink" Target="https://www.federalregister.gov/documents/2026/04/20/2026-07663/extension-of-compliance-dates-for-nondiscrimination-on-the-basis-of-disability-accessibility-of-web" TargetMode="External"/><Relationship Id="rId4nba_cl1zh3wocqqyyqtl" Type="http://schemas.openxmlformats.org/officeDocument/2006/relationships/hyperlink" Target="https://nvlpubs.nist.gov/nistpubs/ai/NIST.AI.600-1.pdf" TargetMode="External"/><Relationship Id="rIdswacerwxye6ahhlppmjm0" Type="http://schemas.openxmlformats.org/officeDocument/2006/relationships/hyperlink" Target="https://www.nist.gov/itl/ai-risk-management-framework" TargetMode="External"/><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Governed-Agent Reference Architecture: Architecture and Go-to-Market</dc:title>
  <dc:creator>David Ryder</dc:creator>
  <cp:lastModifiedBy>David Ryder</cp:lastModifiedBy>
  <cp:revision>1</cp:revision>
  <dcterms:created xsi:type="dcterms:W3CDTF">2026-06-30T20:01:21.722Z</dcterms:created>
  <dcterms:modified xsi:type="dcterms:W3CDTF">2026-06-30T20:01:21.723Z</dcterms:modified>
</cp:coreProperties>
</file>

<file path=docProps/custom.xml><?xml version="1.0" encoding="utf-8"?>
<Properties xmlns="http://schemas.openxmlformats.org/officeDocument/2006/custom-properties" xmlns:vt="http://schemas.openxmlformats.org/officeDocument/2006/docPropsVTypes"/>
</file>