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AEGIS</w:t>
      </w:r>
      <w:r>
        <w:rPr>
          <w:b/>
          <w:bCs/>
          <w:color w:val="2E4E86"/>
          <w:sz w:val="26"/>
          <w:szCs w:val="26"/>
        </w:rPr>
        <w:t xml:space="preserve">  —  Governed-Agent Reference Architecture for AWS</w:t>
      </w:r>
    </w:p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CISO / Authorizing Official One-Pager</w:t>
      </w:r>
    </w:p>
    <w:p>
      <w:pPr>
        <w:pBdr>
          <w:bottom w:val="single" w:color="1F3864" w:sz="12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40" w:line="252"/>
      </w:pPr>
      <w:r>
        <w:rPr>
          <w:b/>
          <w:bCs/>
          <w:color w:val="1F3864"/>
        </w:rPr>
        <w:t xml:space="preserve">The governance layer that makes any AI agent deployable in a regulated environment</w:t>
      </w:r>
      <w:r>
        <w:t xml:space="preserve"> — build the paved road once on AWS, and every agent, model, and tool inherits identity, authorization, audit, compliance, hallucination control, and chargeback automatically.</w:t>
      </w:r>
    </w:p>
    <w:p>
      <w:pPr>
        <w:spacing w:after="60"/>
        <w:jc w:val="center"/>
      </w:pPr>
      <w:r>
        <w:drawing>
          <wp:inline distT="0" distB="0" distL="0" distR="0">
            <wp:extent cx="5943600" cy="1162050"/>
            <wp:effectExtent t="0" r="0" b="0" l="0"/>
            <wp:docPr id="1" name="flow" descr="Edge to data governed control plane flow" title="Aegis referenc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60" w:before="160"/>
      </w:pPr>
      <w:r>
        <w:rPr>
          <w:b/>
          <w:bCs/>
          <w:color w:val="1F3864"/>
        </w:rPr>
        <w:t xml:space="preserve">The four CISO questions, answered</w:t>
      </w:r>
    </w:p>
    <w:p>
      <w:pPr>
        <w:spacing w:after="80" w:line="252"/>
      </w:pPr>
      <w:r>
        <w:rPr>
          <w:b/>
          <w:bCs/>
          <w:color w:val="2E4E86"/>
        </w:rPr>
        <w:t xml:space="preserve">Can the AI act on its own?  </w:t>
      </w:r>
      <w:r>
        <w:t xml:space="preserve">No. Every consequential action — issue, adjudicate, release, award, transfer — is withheld from the agent in code and proven absent by a test. It executes only after a bound, single-use, separation-of-duties human approval (Step Functions </w:t>
      </w:r>
      <w:r>
        <w:rPr>
          <w:i/>
          <w:iCs/>
        </w:rPr>
        <w:t xml:space="preserve">waitForTaskToken</w:t>
      </w:r>
      <w:r>
        <w:t xml:space="preserve">), never on the agent’s own authority.</w:t>
      </w:r>
    </w:p>
    <w:p>
      <w:pPr>
        <w:spacing w:after="80" w:line="252"/>
      </w:pPr>
      <w:r>
        <w:rPr>
          <w:b/>
          <w:bCs/>
          <w:color w:val="2E4E86"/>
        </w:rPr>
        <w:t xml:space="preserve">Can I trust identity?  </w:t>
      </w:r>
      <w:r>
        <w:t xml:space="preserve">Yes. Identity is cryptographically verified (RS256 over the Cognito JWKS, issuer/audience/expiry + alg-confusion guard); client-supplied roles are never trusted. This satisfies the MFA and identity-proofing demands of CJIS v6.0 and HIPAA access control, and anchors least-privilege as an intersection (agent grant ∩ user entitlement).</w:t>
      </w:r>
    </w:p>
    <w:p>
      <w:pPr>
        <w:spacing w:after="80" w:line="252"/>
      </w:pPr>
      <w:r>
        <w:rPr>
          <w:b/>
          <w:bCs/>
          <w:color w:val="2E4E86"/>
        </w:rPr>
        <w:t xml:space="preserve">Will the audit hold up?  </w:t>
      </w:r>
      <w:r>
        <w:t xml:space="preserve">Yes. The audit is append-only and WORM: DynamoDB with PutItem-only IAM plus explicit Update/Delete deny and conditional writes, and S3 Object Lock immutable evidence. It can’t be quietly edited — which is what survives a review board, a FOIA request, or an OIG audit.</w:t>
      </w:r>
    </w:p>
    <w:p>
      <w:pPr>
        <w:spacing w:after="40" w:line="252"/>
      </w:pPr>
      <w:r>
        <w:rPr>
          <w:b/>
          <w:bCs/>
          <w:color w:val="2E4E86"/>
        </w:rPr>
        <w:t xml:space="preserve">Where does the data go?  </w:t>
      </w:r>
      <w:r>
        <w:t xml:space="preserve">Bedrock inference stays in-account over AWS PrivateLink with mandatory Guardrails on input and output; PII/PHI/FTI is masked fail-closed — if masking can’t run, the boundary denies rather than leaks. KMS customer-managed keys and account/VPC isolation separate every data class (CJI, FTI, PHI, EDU, public).</w:t>
      </w:r>
    </w:p>
    <w:p>
      <w:pPr>
        <w:pStyle w:val="Heading1"/>
        <w:spacing w:after="60" w:before="160"/>
      </w:pPr>
      <w:r>
        <w:rPr>
          <w:b/>
          <w:bCs/>
          <w:color w:val="1F3864"/>
        </w:rPr>
        <w:t xml:space="preserve">Control → regime coverage</w:t>
      </w:r>
    </w:p>
    <w:p>
      <w:pPr>
        <w:spacing w:after="60" w:line="252"/>
      </w:pPr>
      <w:r>
        <w:rPr>
          <w:color w:val="595959"/>
          <w:sz w:val="16"/>
          <w:szCs w:val="16"/>
        </w:rPr>
        <w:t xml:space="preserve">How Aegis’s implemented controls map to the regimes a regulated buyer must satisfy. </w:t>
      </w:r>
      <w:r>
        <w:rPr>
          <w:b/>
          <w:bCs/>
          <w:color w:val="1E7A34"/>
          <w:sz w:val="16"/>
          <w:szCs w:val="16"/>
        </w:rPr>
        <w:t xml:space="preserve">✓</w:t>
      </w:r>
      <w:r>
        <w:rPr>
          <w:color w:val="595959"/>
          <w:sz w:val="16"/>
          <w:szCs w:val="16"/>
        </w:rPr>
        <w:t xml:space="preserve"> = control addresses the regime’s requirement.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050"/>
        <w:gridCol w:w="1000"/>
        <w:gridCol w:w="820"/>
        <w:gridCol w:w="820"/>
        <w:gridCol w:w="700"/>
        <w:gridCol w:w="2290"/>
      </w:tblGrid>
      <w:tr>
        <w:trPr>
          <w:tblHeader/>
        </w:trPr>
        <w:tc>
          <w:tcPr>
            <w:tcW w:type="dxa" w:w="268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Control (Aegis)</w:t>
            </w:r>
          </w:p>
        </w:tc>
        <w:tc>
          <w:tcPr>
            <w:tcW w:type="dxa" w:w="105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GovRAMP</w:t>
            </w:r>
          </w:p>
        </w:tc>
        <w:tc>
          <w:tcPr>
            <w:tcW w:type="dxa" w:w="10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CJIS v6.0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HIPAA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FERPA</w:t>
            </w:r>
          </w:p>
        </w:tc>
        <w:tc>
          <w:tcPr>
            <w:tcW w:type="dxa" w:w="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PCI</w:t>
            </w:r>
          </w:p>
        </w:tc>
        <w:tc>
          <w:tcPr>
            <w:tcW w:type="dxa" w:w="229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NIST AI RMF</w:t>
            </w:r>
          </w:p>
        </w:tc>
      </w:tr>
      <w:tr>
        <w:tc>
          <w:tcPr>
            <w:tcW w:type="dxa" w:w="268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Cryptographic identity + MFA</w:t>
            </w:r>
          </w:p>
        </w:tc>
        <w:tc>
          <w:tcPr>
            <w:tcW w:type="dxa" w:w="105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  <w:r>
              <w:rPr>
                <w:color w:val="595959"/>
                <w:sz w:val="11"/>
                <w:szCs w:val="11"/>
              </w:rPr>
              <w:t xml:space="preserve"> MFA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FBFBF"/>
                <w:sz w:val="16"/>
                <w:szCs w:val="16"/>
              </w:rPr>
              <w:t xml:space="preserve">—</w:t>
            </w:r>
          </w:p>
        </w:tc>
        <w:tc>
          <w:tcPr>
            <w:tcW w:type="dxa" w:w="229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3"/>
                <w:szCs w:val="13"/>
              </w:rPr>
              <w:t xml:space="preserve">Human-AI Config</w:t>
            </w:r>
          </w:p>
        </w:tc>
      </w:tr>
      <w:tr>
        <w:tc>
          <w:tcPr>
            <w:tcW w:type="dxa" w:w="268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Deny-by-default gateway / least-priv</w:t>
            </w:r>
          </w:p>
        </w:tc>
        <w:tc>
          <w:tcPr>
            <w:tcW w:type="dxa" w:w="105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229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3"/>
                <w:szCs w:val="13"/>
              </w:rPr>
              <w:t xml:space="preserve">Manage</w:t>
            </w:r>
          </w:p>
        </w:tc>
      </w:tr>
      <w:tr>
        <w:tc>
          <w:tcPr>
            <w:tcW w:type="dxa" w:w="268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Human gate (bound, single-use, SoD)</w:t>
            </w:r>
          </w:p>
        </w:tc>
        <w:tc>
          <w:tcPr>
            <w:tcW w:type="dxa" w:w="105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FBFBF"/>
                <w:sz w:val="16"/>
                <w:szCs w:val="16"/>
              </w:rPr>
              <w:t xml:space="preserve">—</w:t>
            </w:r>
          </w:p>
        </w:tc>
        <w:tc>
          <w:tcPr>
            <w:tcW w:type="dxa" w:w="229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3"/>
                <w:szCs w:val="13"/>
              </w:rPr>
              <w:t xml:space="preserve">Human-AI Config</w:t>
            </w:r>
          </w:p>
        </w:tc>
      </w:tr>
      <w:tr>
        <w:tc>
          <w:tcPr>
            <w:tcW w:type="dxa" w:w="268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In-account inference + Guardrails</w:t>
            </w:r>
          </w:p>
        </w:tc>
        <w:tc>
          <w:tcPr>
            <w:tcW w:type="dxa" w:w="105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FBFBF"/>
                <w:sz w:val="16"/>
                <w:szCs w:val="16"/>
              </w:rPr>
              <w:t xml:space="preserve">—</w:t>
            </w:r>
          </w:p>
        </w:tc>
        <w:tc>
          <w:tcPr>
            <w:tcW w:type="dxa" w:w="229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3"/>
                <w:szCs w:val="13"/>
              </w:rPr>
              <w:t xml:space="preserve">Data Privacy</w:t>
            </w:r>
          </w:p>
        </w:tc>
      </w:tr>
      <w:tr>
        <w:tc>
          <w:tcPr>
            <w:tcW w:type="dxa" w:w="268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Append-only audit + WORM</w:t>
            </w:r>
          </w:p>
        </w:tc>
        <w:tc>
          <w:tcPr>
            <w:tcW w:type="dxa" w:w="105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229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3"/>
                <w:szCs w:val="13"/>
              </w:rPr>
              <w:t xml:space="preserve">Measure</w:t>
            </w:r>
          </w:p>
        </w:tc>
      </w:tr>
      <w:tr>
        <w:tc>
          <w:tcPr>
            <w:tcW w:type="dxa" w:w="268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Masking (PII/PHI/FTI/card), fail-closed</w:t>
            </w:r>
          </w:p>
        </w:tc>
        <w:tc>
          <w:tcPr>
            <w:tcW w:type="dxa" w:w="105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229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3"/>
                <w:szCs w:val="13"/>
              </w:rPr>
              <w:t xml:space="preserve">Data Privacy</w:t>
            </w:r>
          </w:p>
        </w:tc>
      </w:tr>
      <w:tr>
        <w:tc>
          <w:tcPr>
            <w:tcW w:type="dxa" w:w="268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KMS CMK + data-class isolation</w:t>
            </w:r>
          </w:p>
        </w:tc>
        <w:tc>
          <w:tcPr>
            <w:tcW w:type="dxa" w:w="105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10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82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 xml:space="preserve">✓</w:t>
            </w:r>
          </w:p>
        </w:tc>
        <w:tc>
          <w:tcPr>
            <w:tcW w:type="dxa" w:w="229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color w:val="595959"/>
                <w:sz w:val="13"/>
                <w:szCs w:val="13"/>
              </w:rPr>
              <w:t xml:space="preserve">Info Security</w:t>
            </w:r>
          </w:p>
        </w:tc>
      </w:tr>
    </w:tbl>
    <w:p>
      <w:pPr>
        <w:pStyle w:val="Heading1"/>
        <w:spacing w:after="60" w:before="160"/>
      </w:pPr>
      <w:r>
        <w:rPr>
          <w:b/>
          <w:bCs/>
          <w:color w:val="1F3864"/>
        </w:rPr>
        <w:t xml:space="preserve">Proven on AWS — not just claimed</w:t>
      </w:r>
    </w:p>
    <w:p>
      <w:pPr>
        <w:spacing w:after="40" w:line="252"/>
      </w:pPr>
      <w:r>
        <w:t xml:space="preserve">The </w:t>
      </w:r>
      <w:r>
        <w:rPr>
          <w:i/>
          <w:iCs/>
        </w:rPr>
        <w:t xml:space="preserve">governance-core</w:t>
      </w:r>
      <w:r>
        <w:t xml:space="preserve"> CloudFormation stack was deployed live (account 864217980669, </w:t>
      </w:r>
      <w:r>
        <w:rPr>
          <w:i/>
          <w:iCs/>
        </w:rPr>
        <w:t xml:space="preserve">us-east-1</w:t>
      </w:r>
      <w:r>
        <w:t xml:space="preserve">, 2026-06-30), verified at runtime, and cleanly torn down. It caught a real bug </w:t>
      </w:r>
      <w:r>
        <w:rPr>
          <w:i/>
          <w:iCs/>
        </w:rPr>
        <w:t xml:space="preserve">cfn-lint</w:t>
      </w:r>
      <w:r>
        <w:t xml:space="preserve"> did not.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Bedrock Guardrail status </w:t>
      </w:r>
      <w:r>
        <w:rPr>
          <w:b/>
          <w:bCs/>
          <w:color w:val="1E7A34"/>
        </w:rPr>
        <w:t xml:space="preserve">READY</w:t>
      </w:r>
      <w:r>
        <w:t xml:space="preserve"> — contextual grounding (0.80 / 0.75), PII filters (email, phone, SSN), </w:t>
      </w:r>
      <w:r>
        <w:rPr>
          <w:i/>
          <w:iCs/>
        </w:rPr>
        <w:t xml:space="preserve">UngroundedConsequentialAction</w:t>
      </w:r>
      <w:r>
        <w:t xml:space="preserve"> denied topic.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End-to-end control loop — the gateway Lambda applied the guardrail and wrote </w:t>
      </w:r>
      <w:r>
        <w:rPr>
          <w:b/>
          <w:bCs/>
        </w:rPr>
        <w:t xml:space="preserve">exactly one append-only audit record</w:t>
      </w:r>
      <w:r>
        <w:t xml:space="preserve"> (decision=allow, data_class=pii).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IAM policy simulation on the gateway role: </w:t>
      </w:r>
      <w:r>
        <w:rPr>
          <w:b/>
          <w:bCs/>
          <w:color w:val="1E7A34"/>
        </w:rPr>
        <w:t xml:space="preserve">PutItem = allowed</w:t>
      </w:r>
      <w:r>
        <w:t xml:space="preserve">, </w:t>
      </w:r>
      <w:r>
        <w:rPr>
          <w:b/>
          <w:bCs/>
          <w:color w:val="B00000"/>
        </w:rPr>
        <w:t xml:space="preserve">UpdateItem = DeleteItem = explicitDeny</w:t>
      </w:r>
      <w:r>
        <w:t xml:space="preserve"> — the agent cannot alter or delete audit history.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WORM confirmed — S3 </w:t>
      </w:r>
      <w:r>
        <w:rPr>
          <w:i/>
          <w:iCs/>
        </w:rPr>
        <w:t xml:space="preserve">get-object-lock-configuration</w:t>
      </w:r>
      <w:r>
        <w:t xml:space="preserve"> returns </w:t>
      </w:r>
      <w:r>
        <w:rPr>
          <w:b/>
          <w:bCs/>
        </w:rPr>
        <w:t xml:space="preserve">ObjectLockEnabled: Enabled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t xml:space="preserve">Clean teardown — bucket 404, no tables, no guardrails; zero </w:t>
      </w:r>
      <w:r>
        <w:rPr>
          <w:i/>
          <w:iCs/>
        </w:rPr>
        <w:t xml:space="preserve">aegis-*</w:t>
      </w:r>
      <w:r>
        <w:t xml:space="preserve"> runtime resources remain (KMS CMK in the mandatory pending-deletion window).</w:t>
      </w:r>
    </w:p>
    <w:p>
      <w:pPr>
        <w:pStyle w:val="Heading1"/>
        <w:spacing w:after="60" w:before="160"/>
      </w:pPr>
      <w:r>
        <w:rPr>
          <w:b/>
          <w:bCs/>
          <w:color w:val="1F3864"/>
        </w:rPr>
        <w:t xml:space="preserve">What Aegis owns vs. what you own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1900"/>
        <w:gridCol w:w="170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Responsibility item</w:t>
            </w:r>
          </w:p>
        </w:tc>
        <w:tc>
          <w:tcPr>
            <w:tcW w:type="dxa" w:w="12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AWS</w:t>
            </w:r>
          </w:p>
        </w:tc>
        <w:tc>
          <w:tcPr>
            <w:tcW w:type="dxa" w:w="19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Delivery Partner</w:t>
            </w:r>
          </w:p>
        </w:tc>
        <w:tc>
          <w:tcPr>
            <w:tcW w:type="dxa" w:w="1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Customer</w:t>
            </w:r>
          </w:p>
        </w:tc>
      </w:tr>
      <w:tr>
        <w:tc>
          <w:tcPr>
            <w:tcW w:type="dxa" w:w="456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Authorized cloud / region (commercial, GovCloud)</w:t>
            </w:r>
          </w:p>
        </w:tc>
        <w:tc>
          <w:tcPr>
            <w:tcW w:type="dxa" w:w="12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A/R</w:t>
            </w:r>
          </w:p>
        </w:tc>
        <w:tc>
          <w:tcPr>
            <w:tcW w:type="dxa" w:w="19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C</w:t>
            </w:r>
          </w:p>
        </w:tc>
        <w:tc>
          <w:tcPr>
            <w:tcW w:type="dxa" w:w="1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I</w:t>
            </w:r>
          </w:p>
        </w:tc>
      </w:tr>
      <w:tr>
        <w:tc>
          <w:tcPr>
            <w:tcW w:type="dxa" w:w="456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BAA for HIPAA (signed before any PHI)</w:t>
            </w:r>
          </w:p>
        </w:tc>
        <w:tc>
          <w:tcPr>
            <w:tcW w:type="dxa" w:w="12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 (provides)</w:t>
            </w:r>
          </w:p>
        </w:tc>
        <w:tc>
          <w:tcPr>
            <w:tcW w:type="dxa" w:w="19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C</w:t>
            </w:r>
          </w:p>
        </w:tc>
        <w:tc>
          <w:tcPr>
            <w:tcW w:type="dxa" w:w="1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</w:t>
            </w:r>
          </w:p>
        </w:tc>
      </w:tr>
      <w:tr>
        <w:tc>
          <w:tcPr>
            <w:tcW w:type="dxa" w:w="456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Live connectors to systems of record</w:t>
            </w:r>
          </w:p>
        </w:tc>
        <w:tc>
          <w:tcPr>
            <w:tcW w:type="dxa" w:w="12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I</w:t>
            </w:r>
          </w:p>
        </w:tc>
        <w:tc>
          <w:tcPr>
            <w:tcW w:type="dxa" w:w="19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</w:t>
            </w:r>
          </w:p>
        </w:tc>
        <w:tc>
          <w:tcPr>
            <w:tcW w:type="dxa" w:w="1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</w:t>
            </w:r>
          </w:p>
        </w:tc>
      </w:tr>
      <w:tr>
        <w:tc>
          <w:tcPr>
            <w:tcW w:type="dxa" w:w="456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IdP integration + MFA (Entra/Okta/Ping/Login.gov)</w:t>
            </w:r>
          </w:p>
        </w:tc>
        <w:tc>
          <w:tcPr>
            <w:tcW w:type="dxa" w:w="12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I</w:t>
            </w:r>
          </w:p>
        </w:tc>
        <w:tc>
          <w:tcPr>
            <w:tcW w:type="dxa" w:w="19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</w:t>
            </w:r>
          </w:p>
        </w:tc>
        <w:tc>
          <w:tcPr>
            <w:tcW w:type="dxa" w:w="1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</w:t>
            </w:r>
          </w:p>
        </w:tc>
      </w:tr>
      <w:tr>
        <w:tc>
          <w:tcPr>
            <w:tcW w:type="dxa" w:w="456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ATO / GovRAMP / FedRAMP authorization</w:t>
            </w:r>
          </w:p>
        </w:tc>
        <w:tc>
          <w:tcPr>
            <w:tcW w:type="dxa" w:w="12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C (FedRAMP path)</w:t>
            </w:r>
          </w:p>
        </w:tc>
        <w:tc>
          <w:tcPr>
            <w:tcW w:type="dxa" w:w="19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R (control pkg)</w:t>
            </w:r>
          </w:p>
        </w:tc>
        <w:tc>
          <w:tcPr>
            <w:tcW w:type="dxa" w:w="1700"/>
            <w:tcBorders>
              <w:top w:val="single" w:color="BFBFBF" w:sz="1"/>
              <w:start w:val="single" w:color="BFBFBF" w:sz="1"/>
              <w:bottom w:val="single" w:color="BFBFBF" w:sz="1"/>
              <w:end w:val="single" w:color="BFBFBF" w:sz="1"/>
            </w:tcBorders>
            <w:shd w:fill="EAF0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</w:t>
            </w:r>
          </w:p>
        </w:tc>
      </w:tr>
    </w:tbl>
    <w:p>
      <w:pPr>
        <w:pBdr>
          <w:top w:val="single" w:color="1F3864" w:sz="4" w:space="6"/>
          <w:left w:val="single" w:color="1F3864" w:sz="4" w:space="6"/>
          <w:bottom w:val="single" w:color="1F3864" w:sz="4" w:space="6"/>
          <w:right w:val="single" w:color="1F3864" w:sz="4" w:space="6"/>
        </w:pBdr>
        <w:shd w:fill="D9E2F3" w:val="clear"/>
        <w:spacing w:after="20" w:before="100"/>
      </w:pPr>
      <w:r>
        <w:rPr>
          <w:b/>
          <w:bCs/>
          <w:color w:val="1F3864"/>
        </w:rPr>
        <w:t xml:space="preserve">Candor is the selling point:  </w:t>
      </w:r>
      <w:r>
        <w:t xml:space="preserve">Aegis implements and tests the </w:t>
      </w:r>
      <w:r>
        <w:rPr>
          <w:i/>
          <w:iCs/>
        </w:rPr>
        <w:t xml:space="preserve">technical</w:t>
      </w:r>
      <w:r>
        <w:t xml:space="preserve"> controls and maps them to each framework. It is </w:t>
      </w:r>
      <w:r>
        <w:rPr>
          <w:b/>
          <w:bCs/>
        </w:rPr>
        <w:t xml:space="preserve">not yet ATO’d / GovRAMP- or FedRAMP-certified</w:t>
      </w:r>
      <w:r>
        <w:t xml:space="preserve">, has no live connectors or third-party penetration test, and </w:t>
      </w:r>
      <w:r>
        <w:rPr>
          <w:b/>
          <w:bCs/>
        </w:rPr>
        <w:t xml:space="preserve">“HIPAA-eligible” ≠ “HIPAA-compliant”</w:t>
      </w:r>
      <w:r>
        <w:t xml:space="preserve"> — that requires a signed AWS BAA plus customer-implemented controls. Authorization, agreements, and operational ownership are customer responsibilities.</w:t>
      </w:r>
    </w:p>
    <w:p>
      <w:pPr>
        <w:spacing w:before="120"/>
      </w:pPr>
      <w:r>
        <w:rPr>
          <w:i/>
          <w:iCs/>
          <w:color w:val="595959"/>
          <w:sz w:val="13"/>
          <w:szCs w:val="13"/>
        </w:rPr>
        <w:t xml:space="preserve">Sources: figures and controls grounded in the Aegis repo (docs 02, 05, 08, 10; DEPLOYED-AND-VALIDATED.md) and SOURCES.md (AWS official docs, government/standards bodies, NIST AI RMF). Live-deployment proofs from the 2026-06-30 run.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4"/>
        <w:szCs w:val="14"/>
      </w:rPr>
      <w:t xml:space="preserve">Aegis — Governed-Agent Reference Architecture for AWS   ·   CISO Briefing</w:t>
    </w:r>
    <w:r>
      <w:rPr>
        <w:color w:val="595959"/>
        <w:sz w:val="14"/>
        <w:szCs w:val="14"/>
      </w:rPr>
      <w:t xml:space="preserve">	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b6e37f96319ca9c1a5c464d5d1400d89f9df3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 CISO One-Pager</dc:title>
  <dc:creator>David Ryder</dc:creator>
  <cp:lastModifiedBy>David Ryder</cp:lastModifiedBy>
  <cp:revision>1</cp:revision>
  <dcterms:created xsi:type="dcterms:W3CDTF">2026-07-01T02:36:39.620Z</dcterms:created>
  <dcterms:modified xsi:type="dcterms:W3CDTF">2026-07-01T02:36:39.620Z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