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  <w:sz w:val="44"/>
        </w:rPr>
        <w:t>Customer Prep &amp; Deploy Playbook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B31E1E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INTERNAL — AE / DELIVERY  ·  CONTAINS TALK TRACKS AND “DO NOT PROMISE” LINES</w:t>
            </w:r>
          </w:p>
        </w:tc>
      </w:tr>
    </w:tbl>
    <w:p/>
    <w:p>
      <w:r>
        <w:rPr>
          <w:i/>
          <w:color w:val="555555"/>
          <w:sz w:val="19"/>
        </w:rPr>
        <w:t>How to prepare for a customer conversation and deploy a governed pilot with them, step by step, with the reasoning behind each step. Fast in-room version: `DAVES-CHEAT-SHEET.md`. Proof log: `../DEPLOYED-AND-VALIDATED.md`. Honesty/RACI: `10-PRODUCTION-READINESS-RACI.md`.</w:t>
      </w:r>
    </w:p>
    <w:tbl>
      <w:tblPr>
        <w:tblW w:type="auto" w:w="0"/>
        <w:tblBorders>
          <w:top w:val="none"/>
          <w:left w:val="single" w:sz="24" w:space="0" w:color="2E75B6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3A5F"/>
              </w:rPr>
              <w:t>Frame everything honestly:</w:t>
            </w:r>
            <w:r>
              <w:rPr>
                <w:color w:val="1F3A5F"/>
              </w:rPr>
              <w:t xml:space="preserve"> Aegis is a </w:t>
            </w:r>
            <w:r>
              <w:rPr>
                <w:b/>
                <w:color w:val="1F3A5F"/>
              </w:rPr>
              <w:t>live-validated reference platform, not an authorized product.</w:t>
            </w:r>
            <w:r>
              <w:rPr>
                <w:color w:val="1F3A5F"/>
              </w:rPr>
              <w:t xml:space="preserve"> Pilots run on </w:t>
            </w:r>
            <w:r>
              <w:rPr>
                <w:b/>
                <w:color w:val="1F3A5F"/>
              </w:rPr>
              <w:t>synthetic data</w:t>
            </w:r>
            <w:r>
              <w:rPr>
                <w:color w:val="1F3A5F"/>
              </w:rPr>
              <w:t xml:space="preserve"> until the customer’s security review clears production data (and, for healthcare, a signed AWS BAA). Say this out loud early — the candor is what makes the rest of the claims believable.</w:t>
            </w:r>
          </w:p>
        </w:tc>
      </w:tr>
    </w:tbl>
    <w:p/>
    <w:p>
      <w:pPr>
        <w:pStyle w:val="Heading1"/>
      </w:pPr>
      <w:r>
        <w:t>Part A — Prep for the conversation</w:t>
      </w:r>
    </w:p>
    <w:p>
      <w:pPr>
        <w:pStyle w:val="Heading2"/>
      </w:pPr>
      <w:r>
        <w:t>A1. Qualify before you book the room</w:t>
      </w:r>
    </w:p>
    <w:p>
      <w:r>
        <w:t xml:space="preserve">Get three facts: (a) a real, painful, </w:t>
      </w:r>
      <w:r>
        <w:rPr>
          <w:b/>
        </w:rPr>
        <w:t>low-blast-radius</w:t>
      </w:r>
      <w:r>
        <w:t xml:space="preserve"> workflow (IT service desk, resident/311, HR helpdesk — reversible, high-volume, clear ROI); (b) their industry → the control-mapping pack (</w:t>
      </w:r>
      <w:r>
        <w:rPr>
          <w:rFonts w:ascii="Consolas" w:hAnsi="Consolas" w:cs="Consolas"/>
          <w:sz w:val="20"/>
        </w:rPr>
        <w:t>packs/slg | education | healthcare-lifesciences | enterprise</w:t>
      </w:r>
      <w:r>
        <w:t xml:space="preserve">); (c) their IdP (Entra / Okta / PingFederate / Login.gov). </w:t>
      </w:r>
      <w:r>
        <w:rPr>
          <w:b/>
        </w:rPr>
        <w:t>Why:</w:t>
      </w:r>
      <w:r>
        <w:t xml:space="preserve"> the pitch only lands if slide one names </w:t>
      </w:r>
      <w:r>
        <w:rPr>
          <w:i/>
        </w:rPr>
        <w:t>their</w:t>
      </w:r>
      <w:r>
        <w:t xml:space="preserve"> workflow and </w:t>
      </w:r>
      <w:r>
        <w:rPr>
          <w:i/>
        </w:rPr>
        <w:t>their</w:t>
      </w:r>
      <w:r>
        <w:t xml:space="preserve"> regime. Never lead with benefits adjudication, public safety, treatment, or records release.</w:t>
      </w:r>
    </w:p>
    <w:p>
      <w:pPr>
        <w:pStyle w:val="Heading2"/>
      </w:pPr>
      <w:r>
        <w:t>A2. Tailor the deck (don’t present all 24 slides)</w:t>
      </w:r>
    </w:p>
    <w:p>
      <w:r>
        <w:t xml:space="preserve">Exec core (slides 1-10) + the </w:t>
      </w:r>
      <w:r>
        <w:rPr>
          <w:b/>
        </w:rPr>
        <w:t>“Proven on AWS — nine live runs”</w:t>
      </w:r>
      <w:r>
        <w:t xml:space="preserve"> slide + Appendix A (CISO/architect). Swap the vertical example to theirs. </w:t>
      </w:r>
      <w:r>
        <w:rPr>
          <w:b/>
        </w:rPr>
        <w:t>Why:</w:t>
      </w:r>
      <w:r>
        <w:t xml:space="preserve"> a 30-minute exec meeting needs ~12 slides; the proof slide is what separates you from vendors who only have a diagram.</w:t>
      </w:r>
    </w:p>
    <w:p>
      <w:pPr>
        <w:pStyle w:val="Heading2"/>
      </w:pPr>
      <w:r>
        <w:t>A3. Leave-behinds by persona (all already in the repo)</w:t>
      </w:r>
    </w:p>
    <w:p>
      <w:pPr>
        <w:pStyle w:val="ListBullet"/>
      </w:pPr>
      <w:r>
        <w:rPr>
          <w:b/>
        </w:rPr>
        <w:t>CISO</w:t>
      </w:r>
      <w:r>
        <w:t xml:space="preserve"> → </w:t>
      </w:r>
      <w:r>
        <w:rPr>
          <w:rFonts w:ascii="Consolas" w:hAnsi="Consolas" w:cs="Consolas"/>
          <w:sz w:val="20"/>
        </w:rPr>
        <w:t>Aegis-CISO-One-Pager.docx</w:t>
      </w:r>
      <w:r>
        <w:t xml:space="preserve"> + </w:t>
      </w:r>
      <w:r>
        <w:rPr>
          <w:rFonts w:ascii="Consolas" w:hAnsi="Consolas" w:cs="Consolas"/>
          <w:sz w:val="20"/>
        </w:rPr>
        <w:t>docs/security/THREAT-MODEL.md</w:t>
      </w:r>
      <w:r>
        <w:t xml:space="preserve"> + </w:t>
      </w:r>
      <w:r>
        <w:rPr>
          <w:rFonts w:ascii="Consolas" w:hAnsi="Consolas" w:cs="Consolas"/>
          <w:sz w:val="20"/>
        </w:rPr>
        <w:t>10-PRODUCTION-READINESS-RACI.md</w:t>
      </w:r>
    </w:p>
    <w:p>
      <w:pPr>
        <w:pStyle w:val="ListBullet"/>
      </w:pPr>
      <w:r>
        <w:rPr>
          <w:b/>
        </w:rPr>
        <w:t>CFO</w:t>
      </w:r>
      <w:r>
        <w:t xml:space="preserve"> → </w:t>
      </w:r>
      <w:r>
        <w:rPr>
          <w:rFonts w:ascii="Consolas" w:hAnsi="Consolas" w:cs="Consolas"/>
          <w:sz w:val="20"/>
        </w:rPr>
        <w:t>Aegis-ROI-Worksheet.xlsx</w:t>
      </w:r>
      <w:r>
        <w:t xml:space="preserve"> (edit inputs to their volumes live)</w:t>
      </w:r>
    </w:p>
    <w:p>
      <w:pPr>
        <w:pStyle w:val="ListBullet"/>
      </w:pPr>
      <w:r>
        <w:rPr>
          <w:b/>
        </w:rPr>
        <w:t>Architect</w:t>
      </w:r>
      <w:r>
        <w:t xml:space="preserve"> → </w:t>
      </w:r>
      <w:r>
        <w:rPr>
          <w:rFonts w:ascii="Consolas" w:hAnsi="Consolas" w:cs="Consolas"/>
          <w:sz w:val="20"/>
        </w:rPr>
        <w:t>docs/02-REFERENCE-ARCHITECTURE.md</w:t>
      </w:r>
      <w:r>
        <w:t xml:space="preserve"> + </w:t>
      </w:r>
      <w:r>
        <w:rPr>
          <w:rFonts w:ascii="Consolas" w:hAnsi="Consolas" w:cs="Consolas"/>
          <w:sz w:val="20"/>
        </w:rPr>
        <w:t>docs/security/SECURITY-ARCHITECTURE.md</w:t>
      </w:r>
    </w:p>
    <w:p>
      <w:pPr>
        <w:pStyle w:val="ListBullet"/>
      </w:pPr>
      <w:r>
        <w:rPr>
          <w:b/>
        </w:rPr>
        <w:t>CEO / sponsor</w:t>
      </w:r>
      <w:r>
        <w:t xml:space="preserve"> → </w:t>
      </w:r>
      <w:r>
        <w:rPr>
          <w:rFonts w:ascii="Consolas" w:hAnsi="Consolas" w:cs="Consolas"/>
          <w:sz w:val="20"/>
        </w:rPr>
        <w:t>Aegis-Leadership-Status-Brief.docx</w:t>
      </w:r>
    </w:p>
    <w:p>
      <w:pPr>
        <w:pStyle w:val="ListBullet"/>
      </w:pPr>
      <w:r>
        <w:rPr>
          <w:b/>
        </w:rPr>
        <w:t>The skeptic</w:t>
      </w:r>
      <w:r>
        <w:t xml:space="preserve"> → </w:t>
      </w:r>
      <w:r>
        <w:rPr>
          <w:rFonts w:ascii="Consolas" w:hAnsi="Consolas" w:cs="Consolas"/>
          <w:sz w:val="20"/>
        </w:rPr>
        <w:t>DEPLOYED-AND-VALIDATED.md</w:t>
      </w:r>
      <w:r>
        <w:t xml:space="preserve"> (the nine runs)</w:t>
      </w:r>
    </w:p>
    <w:p>
      <w:pPr>
        <w:pStyle w:val="Heading2"/>
      </w:pPr>
      <w:r>
        <w:t>A4. Rehearse two demos</w:t>
      </w:r>
    </w:p>
    <w:p>
      <w:pPr>
        <w:pStyle w:val="ListBullet"/>
      </w:pPr>
      <w:r>
        <w:rPr>
          <w:b/>
        </w:rPr>
        <w:t>Laptop demo (cannot fail):</w:t>
      </w:r>
      <w:r>
        <w:t xml:space="preserve"> </w:t>
      </w:r>
      <w:r>
        <w:rPr>
          <w:rFonts w:ascii="Consolas" w:hAnsi="Consolas" w:cs="Consolas"/>
          <w:sz w:val="20"/>
        </w:rPr>
        <w:t>python demo/clean_account_acceptance.py</w:t>
      </w:r>
      <w:r>
        <w:t xml:space="preserve"> — 18/18 green, no AWS/API key.</w:t>
      </w:r>
    </w:p>
    <w:p>
      <w:pPr>
        <w:pStyle w:val="ListBullet"/>
      </w:pPr>
      <w:r>
        <w:rPr>
          <w:b/>
        </w:rPr>
        <w:t>Live proof (2 min):</w:t>
      </w:r>
      <w:r>
        <w:t xml:space="preserve"> </w:t>
      </w:r>
      <w:r>
        <w:rPr>
          <w:rFonts w:ascii="Consolas" w:hAnsi="Consolas" w:cs="Consolas"/>
          <w:sz w:val="20"/>
        </w:rPr>
        <w:t>infra/golden-pilot/run_authz_tests.sh</w:t>
      </w:r>
      <w:r>
        <w:t xml:space="preserve"> — Cedar ALLOW/DENY on Verified Permissions.</w:t>
      </w:r>
    </w:p>
    <w:p>
      <w:r>
        <w:rPr>
          <w:b/>
        </w:rPr>
        <w:t>Why:</w:t>
      </w:r>
      <w:r>
        <w:t xml:space="preserve"> the laptop demo removes demo-gods risk; the live run answers “is this real?” on the spot.</w:t>
      </w:r>
    </w:p>
    <w:p>
      <w:pPr>
        <w:pStyle w:val="Heading2"/>
      </w:pPr>
      <w:r>
        <w:t>A5. Pre-load the four CISO answers</w:t>
      </w:r>
    </w:p>
    <w:p>
      <w:r>
        <w:t xml:space="preserve">Verbatim in </w:t>
      </w:r>
      <w:r>
        <w:rPr>
          <w:rFonts w:ascii="Consolas" w:hAnsi="Consolas" w:cs="Consolas"/>
          <w:sz w:val="20"/>
        </w:rPr>
        <w:t>docs/08-GTM-AND-POSITIONING.md</w:t>
      </w:r>
      <w:r>
        <w:t xml:space="preserve"> §5 and on the cheat sheet. The room-winner: </w:t>
      </w:r>
      <w:r>
        <w:rPr>
          <w:i/>
        </w:rPr>
        <w:t>“Can the AI act on its own? No — consequential actions are withheld in code and proven absent by a test.”</w:t>
      </w:r>
    </w:p>
    <w:p>
      <w:pPr>
        <w:pStyle w:val="Heading2"/>
      </w:pPr>
      <w:r>
        <w:t>Meeting flow (60-90 min)</w:t>
      </w:r>
    </w:p>
    <w:p>
      <w:r>
        <w:t>Pilot trap (5) → the insight: governance is the product (5) → what it is, 5 layers (5) → live proof + reproduce one run (10) → their workflow mapped to a golden path (10) → control-mapping pack + CISO Q&amp;A (15) → ROI worksheet with their numbers (10) → the ask: a fixed-scope paid pilot (10).</w:t>
      </w:r>
    </w:p>
    <w:p>
      <w:pPr>
        <w:pStyle w:val="Heading1"/>
      </w:pPr>
      <w:r>
        <w:t>Part B — Deploying WITH the customer, step by step (and why)</w:t>
      </w:r>
    </w:p>
    <w:p>
      <w:r>
        <w:t xml:space="preserve">A land-and-expand pilot </w:t>
      </w:r>
      <w:r>
        <w:rPr>
          <w:b/>
        </w:rPr>
        <w:t>in the customer’s own AWS account</w:t>
      </w:r>
      <w:r>
        <w:t>, synthetic data first. Each phase maps to repo artifacts so nothing is hand-waved.</w:t>
      </w:r>
    </w:p>
    <w:p>
      <w:r>
        <w:rPr>
          <w:b/>
        </w:rPr>
        <w:t>Phase 0 — Discovery &amp; architecture workshop (0.5-1 day).</w:t>
      </w:r>
      <w:r>
        <w:t xml:space="preserve"> Map their IdP, data classes, the one workflow, and the success metric; select the control-mapping pack. </w:t>
      </w:r>
      <w:r>
        <w:rPr>
          <w:b/>
        </w:rPr>
        <w:t>Why:</w:t>
      </w:r>
      <w:r>
        <w:t xml:space="preserve"> the pack drives regions, KMS topology, retention, and masking sets — getting it wrong restarts security review. </w:t>
      </w:r>
      <w:r>
        <w:rPr>
          <w:i/>
        </w:rPr>
        <w:t>Output:</w:t>
      </w:r>
      <w:r>
        <w:t xml:space="preserve"> a filled scope + a signed </w:t>
      </w:r>
      <w:r>
        <w:rPr>
          <w:rFonts w:ascii="Consolas" w:hAnsi="Consolas" w:cs="Consolas"/>
          <w:sz w:val="20"/>
        </w:rPr>
        <w:t>PILOT-SOW-TEMPLATE.md</w:t>
      </w:r>
      <w:r>
        <w:t>.</w:t>
      </w:r>
    </w:p>
    <w:p>
      <w:r>
        <w:rPr>
          <w:b/>
        </w:rPr>
        <w:t>Phase 1 — Prerequisites in their account (0.5 day).</w:t>
      </w:r>
      <w:r>
        <w:t xml:space="preserve"> Confirm region (commercial vs GovCloud), enable Bedrock model access, provision a </w:t>
      </w:r>
      <w:r>
        <w:rPr>
          <w:b/>
        </w:rPr>
        <w:t>deployment IAM role</w:t>
      </w:r>
      <w:r>
        <w:t xml:space="preserve"> (not a human admin), pick a dedicated pilot account (ideally under Control Tower). </w:t>
      </w:r>
      <w:r>
        <w:rPr>
          <w:b/>
        </w:rPr>
        <w:t>Why:</w:t>
      </w:r>
      <w:r>
        <w:t xml:space="preserve"> a scoped role + isolated account is the first thing their security team checks, and it keeps the pilot cleanly removable.</w:t>
      </w:r>
    </w:p>
    <w:p>
      <w:r>
        <w:rPr>
          <w:b/>
        </w:rPr>
        <w:t>Phase 2 — Governance core (30 min).</w:t>
      </w:r>
      <w:r>
        <w:t xml:space="preserve"> </w:t>
      </w:r>
      <w:r>
        <w:rPr>
          <w:rFonts w:ascii="Consolas" w:hAnsi="Consolas" w:cs="Consolas"/>
          <w:sz w:val="20"/>
        </w:rPr>
        <w:t>infra/scripts/deploy.sh</w:t>
      </w:r>
      <w:r>
        <w:t xml:space="preserve"> → </w:t>
      </w:r>
      <w:r>
        <w:rPr>
          <w:rFonts w:ascii="Consolas" w:hAnsi="Consolas" w:cs="Consolas"/>
          <w:sz w:val="20"/>
        </w:rPr>
        <w:t>governance-core.yaml</w:t>
      </w:r>
      <w:r>
        <w:t xml:space="preserve">, then </w:t>
      </w:r>
      <w:r>
        <w:rPr>
          <w:rFonts w:ascii="Consolas" w:hAnsi="Consolas" w:cs="Consolas"/>
          <w:sz w:val="20"/>
        </w:rPr>
        <w:t>smoke_test.sh</w:t>
      </w:r>
      <w:r>
        <w:t xml:space="preserve">. Stands up KMS CMK per data class, append-only audit, S3 WORM, Bedrock Guardrail, Cognito, the fail-closed gateway. </w:t>
      </w:r>
      <w:r>
        <w:rPr>
          <w:b/>
        </w:rPr>
        <w:t>Why:</w:t>
      </w:r>
      <w:r>
        <w:t xml:space="preserve"> the paved road every future agent inherits — identity / audit / masking / guardrails built once. This reproduces Run 1 (proven), not an experiment.</w:t>
      </w:r>
    </w:p>
    <w:p>
      <w:r>
        <w:rPr>
          <w:b/>
        </w:rPr>
        <w:t>Phase 3 — Real identity (0.5 day).</w:t>
      </w:r>
      <w:r>
        <w:t xml:space="preserve"> Federate their IdP into Cognito, enforce MFA, map their groups to roles (</w:t>
      </w:r>
      <w:r>
        <w:rPr>
          <w:rFonts w:ascii="Consolas" w:hAnsi="Consolas" w:cs="Consolas"/>
          <w:sz w:val="20"/>
        </w:rPr>
        <w:t>infra/golden-pilot/role_map.json</w:t>
      </w:r>
      <w:r>
        <w:t xml:space="preserve">), stand up the API Gateway + JWT authorizer. </w:t>
      </w:r>
      <w:r>
        <w:rPr>
          <w:b/>
        </w:rPr>
        <w:t>Why:</w:t>
      </w:r>
      <w:r>
        <w:t xml:space="preserve"> “client-supplied roles are never trusted” becomes true only when their real directory drives the Cedar context (Runs 4 + 7).</w:t>
      </w:r>
    </w:p>
    <w:p>
      <w:r>
        <w:rPr>
          <w:b/>
        </w:rPr>
        <w:t>Phase 4 — Golden-pilot agent (0.5 day).</w:t>
      </w:r>
      <w:r>
        <w:t xml:space="preserve"> Deploy </w:t>
      </w:r>
      <w:r>
        <w:rPr>
          <w:rFonts w:ascii="Consolas" w:hAnsi="Consolas" w:cs="Consolas"/>
          <w:sz w:val="20"/>
        </w:rPr>
        <w:t>sample-agent.yaml</w:t>
      </w:r>
      <w:r>
        <w:t xml:space="preserve"> or scaffold theirs with </w:t>
      </w:r>
      <w:r>
        <w:rPr>
          <w:rFonts w:ascii="Consolas" w:hAnsi="Consolas" w:cs="Consolas"/>
          <w:sz w:val="20"/>
        </w:rPr>
        <w:t>tools/add_agent.py</w:t>
      </w:r>
      <w:r>
        <w:t xml:space="preserve">; attach the pack; wire the </w:t>
      </w:r>
      <w:r>
        <w:rPr>
          <w:b/>
        </w:rPr>
        <w:t>reviewer service</w:t>
      </w:r>
      <w:r>
        <w:t xml:space="preserve"> for the one consequential action. </w:t>
      </w:r>
      <w:r>
        <w:rPr>
          <w:b/>
        </w:rPr>
        <w:t>Why:</w:t>
      </w:r>
      <w:r>
        <w:t xml:space="preserve"> proves human gate + deny-by-default + audit on </w:t>
      </w:r>
      <w:r>
        <w:rPr>
          <w:i/>
        </w:rPr>
        <w:t>their</w:t>
      </w:r>
      <w:r>
        <w:t xml:space="preserve"> workflow (Runs 2 + 3 + 5).</w:t>
      </w:r>
    </w:p>
    <w:p>
      <w:r>
        <w:rPr>
          <w:b/>
        </w:rPr>
        <w:t>Phase 5 — One real system of record, in a sandbox (1-3 days — the long pole).</w:t>
      </w:r>
      <w:r>
        <w:t xml:space="preserve"> Register their ServiceNow / CRM / 311 sandbox as a gateway tool with </w:t>
      </w:r>
      <w:r>
        <w:rPr>
          <w:b/>
        </w:rPr>
        <w:t>idempotency + rollback</w:t>
      </w:r>
      <w:r>
        <w:t xml:space="preserve"> (Run 9 pattern), credentials in Secrets Manager. Read + draft first; the write is human-gated. </w:t>
      </w:r>
      <w:r>
        <w:rPr>
          <w:b/>
        </w:rPr>
        <w:t>Why:</w:t>
      </w:r>
      <w:r>
        <w:t xml:space="preserve"> this is the single biggest line item and what turns a demo into a pilot — everything else is fast because it is already built.</w:t>
      </w:r>
    </w:p>
    <w:p>
      <w:r>
        <w:rPr>
          <w:b/>
        </w:rPr>
        <w:t>Phase 6 — Prove the outcome + turn on FinOps (1-2 days).</w:t>
      </w:r>
      <w:r>
        <w:t xml:space="preserve"> Run the workflow on synthetic data against the success metric; switch on the </w:t>
      </w:r>
      <w:r>
        <w:rPr>
          <w:b/>
        </w:rPr>
        <w:t>application inference profile + token budgets</w:t>
      </w:r>
      <w:r>
        <w:t xml:space="preserve"> so spend is attributed and capped (Run 8). </w:t>
      </w:r>
      <w:r>
        <w:rPr>
          <w:b/>
        </w:rPr>
        <w:t>Why:</w:t>
      </w:r>
      <w:r>
        <w:t xml:space="preserve"> the CFO funds expansion only when they see per-department cost and an outcome number — this is where the ROI worksheet becomes their real data.</w:t>
      </w:r>
    </w:p>
    <w:p>
      <w:r>
        <w:rPr>
          <w:b/>
        </w:rPr>
        <w:t>Phase 7 — Evidence package + security review (parallel).</w:t>
      </w:r>
      <w:r>
        <w:t xml:space="preserve"> Produce the run log + </w:t>
      </w:r>
      <w:r>
        <w:rPr>
          <w:rFonts w:ascii="Consolas" w:hAnsi="Consolas" w:cs="Consolas"/>
          <w:sz w:val="20"/>
        </w:rPr>
        <w:t>docs/security/COMPLIANCE-EVIDENCE-INDEX.md</w:t>
      </w:r>
      <w:r>
        <w:t xml:space="preserve"> (controls → NIST 800-53 → evidence) and hand the CISO the threat model + pen-test scope. </w:t>
      </w:r>
      <w:r>
        <w:rPr>
          <w:b/>
        </w:rPr>
        <w:t>Why:</w:t>
      </w:r>
      <w:r>
        <w:t xml:space="preserve"> you sign the shared-responsibility RACI here — the gate to production data.</w:t>
      </w:r>
    </w:p>
    <w:p>
      <w:r>
        <w:rPr>
          <w:b/>
        </w:rPr>
        <w:t>Phase 8 — Promote or tear down.</w:t>
      </w:r>
      <w:r>
        <w:t xml:space="preserve"> Time-boxed PoV → </w:t>
      </w:r>
      <w:r>
        <w:rPr>
          <w:rFonts w:ascii="Consolas" w:hAnsi="Consolas" w:cs="Consolas"/>
          <w:sz w:val="20"/>
        </w:rPr>
        <w:t>teardown.sh</w:t>
      </w:r>
      <w:r>
        <w:t xml:space="preserve"> leaves zero residue (proven nine times). Funding production → begin the </w:t>
      </w:r>
      <w:r>
        <w:rPr>
          <w:b/>
        </w:rPr>
        <w:t>customer-owned</w:t>
      </w:r>
      <w:r>
        <w:t xml:space="preserve"> ATO/GovRAMP path (or AWS BAA for healthcare), move the reference gateway to AgentCore Gateway/Policy, and land agent #2 on the same road. </w:t>
      </w:r>
      <w:r>
        <w:rPr>
          <w:b/>
        </w:rPr>
        <w:t>Why:</w:t>
      </w:r>
      <w:r>
        <w:t xml:space="preserve"> land-and-expand — every new agent is days, not a project, and each is sellable as an add-on.</w:t>
      </w:r>
    </w:p>
    <w:p>
      <w:pPr>
        <w:pStyle w:val="Heading1"/>
      </w:pPr>
      <w:r>
        <w:t>Ground rules (state and hold)</w:t>
      </w:r>
    </w:p>
    <w:p>
      <w:r>
        <w:t xml:space="preserve">Synthetic data until security review + (healthcare) a signed BAA · costs are pennies in pilot, torn down when idle · you promise a </w:t>
      </w:r>
      <w:r>
        <w:rPr>
          <w:b/>
        </w:rPr>
        <w:t>governed pilot, not an authorization</w:t>
      </w:r>
      <w:r>
        <w:t xml:space="preserve"> · the connector is a stand-in until their sandbox is wired.</w:t>
      </w:r>
    </w:p>
    <w:p>
      <w:pPr>
        <w:pStyle w:val="Heading1"/>
      </w:pPr>
      <w:r>
        <w:t>What you need FROM them</w:t>
      </w:r>
    </w:p>
    <w:p>
      <w:r>
        <w:t xml:space="preserve">A pilot AWS account + deployment role · Bedrock model access enabled · IdP federation metadata · a </w:t>
      </w:r>
      <w:r>
        <w:rPr>
          <w:b/>
        </w:rPr>
        <w:t>sandbox</w:t>
      </w:r>
      <w:r>
        <w:t xml:space="preserve"> instance of the target system · synthetic/representative data · a named business owner + approver for the workflow.</w:t>
      </w:r>
    </w:p>
    <w:p>
      <w:pPr>
        <w:pStyle w:val="Heading1"/>
      </w:pPr>
      <w:r>
        <w:t>Artifact map (what to open at each step)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01"/>
            <w:shd w:val="clear" w:color="auto" w:fill="1F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947"/>
            <w:shd w:val="clear" w:color="auto" w:fill="1F3A5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Repo artifact</w:t>
            </w:r>
          </w:p>
        </w:tc>
      </w:tr>
      <w:tr>
        <w:tc>
          <w:tcPr>
            <w:tcW w:type="dxa" w:w="2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Qualify / pack</w:t>
            </w:r>
          </w:p>
        </w:tc>
        <w:tc>
          <w:tcPr>
            <w:tcW w:type="dxa" w:w="69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packs/*/pack.yaml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docs/03-COMPLIANCE-OVERLAY-PACKS.md</w:t>
            </w:r>
          </w:p>
        </w:tc>
      </w:tr>
      <w:tr>
        <w:tc>
          <w:tcPr>
            <w:tcW w:type="dxa" w:w="270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Deck / talk track</w:t>
            </w:r>
          </w:p>
        </w:tc>
        <w:tc>
          <w:tcPr>
            <w:tcW w:type="dxa" w:w="6947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Aegis-Master-Deck.pptx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docs/08-GTM-AND-POSITIONING.md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DAVES-CHEAT-SHEET.md</w:t>
            </w:r>
          </w:p>
        </w:tc>
      </w:tr>
      <w:tr>
        <w:tc>
          <w:tcPr>
            <w:tcW w:type="dxa" w:w="2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Deploy core</w:t>
            </w:r>
          </w:p>
        </w:tc>
        <w:tc>
          <w:tcPr>
            <w:tcW w:type="dxa" w:w="69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infra/cloudformation/governance-core.yaml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infra/scripts/{deploy,smoke_test,teardown}.sh</w:t>
            </w:r>
          </w:p>
        </w:tc>
      </w:tr>
      <w:tr>
        <w:tc>
          <w:tcPr>
            <w:tcW w:type="dxa" w:w="270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Identity</w:t>
            </w:r>
          </w:p>
        </w:tc>
        <w:tc>
          <w:tcPr>
            <w:tcW w:type="dxa" w:w="6947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infra/golden-pilot/cognito-identity.yaml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reviewer-api.yaml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verify_jwt.py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role_map.json</w:t>
            </w:r>
          </w:p>
        </w:tc>
      </w:tr>
      <w:tr>
        <w:tc>
          <w:tcPr>
            <w:tcW w:type="dxa" w:w="2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Agent + gate</w:t>
            </w:r>
          </w:p>
        </w:tc>
        <w:tc>
          <w:tcPr>
            <w:tcW w:type="dxa" w:w="69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infra/cloudformation/sample-agent.yaml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tools/add_agent.py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infra/golden-pilot/reviewer-service.yaml</w:t>
            </w:r>
          </w:p>
        </w:tc>
      </w:tr>
      <w:tr>
        <w:tc>
          <w:tcPr>
            <w:tcW w:type="dxa" w:w="270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Connector</w:t>
            </w:r>
          </w:p>
        </w:tc>
        <w:tc>
          <w:tcPr>
            <w:tcW w:type="dxa" w:w="6947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infra/golden-pilot/connector-pilot.yaml</w:t>
            </w:r>
          </w:p>
        </w:tc>
      </w:tr>
      <w:tr>
        <w:tc>
          <w:tcPr>
            <w:tcW w:type="dxa" w:w="2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FinOps</w:t>
            </w:r>
          </w:p>
        </w:tc>
        <w:tc>
          <w:tcPr>
            <w:tcW w:type="dxa" w:w="69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docs/05-FINOPS-TOKEN-BUDGETS-CHARGEBACK.md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platform_core/prod/</w:t>
            </w:r>
          </w:p>
        </w:tc>
      </w:tr>
      <w:tr>
        <w:tc>
          <w:tcPr>
            <w:tcW w:type="dxa" w:w="2701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Evidence / security</w:t>
            </w:r>
          </w:p>
        </w:tc>
        <w:tc>
          <w:tcPr>
            <w:tcW w:type="dxa" w:w="6947"/>
            <w:shd w:val="clear" w:color="auto" w:fill="F2F6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DEPLOYED-AND-VALIDATED.md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docs/security/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docs/ops/</w:t>
            </w:r>
          </w:p>
        </w:tc>
      </w:tr>
      <w:tr>
        <w:tc>
          <w:tcPr>
            <w:tcW w:type="dxa" w:w="270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Commercials</w:t>
            </w:r>
          </w:p>
        </w:tc>
        <w:tc>
          <w:tcPr>
            <w:tcW w:type="dxa" w:w="69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cs="Consolas"/>
                <w:sz w:val="19"/>
              </w:rPr>
              <w:t>docs/12-COMMERCIAL-PACKAGING.md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Aegis-ROI-Worksheet.xlsx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9"/>
              </w:rPr>
              <w:t>PILOT-SOW-TEMPLATE.md</w:t>
            </w:r>
          </w:p>
        </w:tc>
      </w:tr>
    </w:tbl>
    <w:p/>
    <w:p>
      <w:pPr>
        <w:pStyle w:val="Heading1"/>
      </w:pPr>
      <w:r>
        <w:t>Audience note</w:t>
      </w:r>
    </w:p>
    <w:p>
      <w:r>
        <w:rPr>
          <w:rFonts w:ascii="Consolas" w:hAnsi="Consolas" w:cs="Consolas"/>
          <w:sz w:val="20"/>
        </w:rPr>
        <w:t>DAVES-CHEAT-SHEET.md</w:t>
      </w:r>
      <w:r>
        <w:t xml:space="preserve"> and this playbook are </w:t>
      </w:r>
      <w:r>
        <w:rPr>
          <w:b/>
        </w:rPr>
        <w:t>internal (Dave / AE)</w:t>
      </w:r>
      <w:r>
        <w:t xml:space="preserve"> — they contain talk tracks and “do not promise” lines. Customer-facing artifacts are the </w:t>
      </w:r>
      <w:r>
        <w:rPr>
          <w:b/>
        </w:rPr>
        <w:t>Pilot SOW</w:t>
      </w:r>
      <w:r>
        <w:t>, CISO one-pager, leadership brief, ROI worksheet, and the architecture/security docs.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48" w:val="right"/>
      </w:tabs>
    </w:pPr>
    <w:r>
      <w:rPr>
        <w:color w:val="555555"/>
        <w:sz w:val="16"/>
      </w:rPr>
    </w:r>
    <w:r>
      <w:rPr>
        <w:b/>
        <w:color w:val="B31E1E"/>
        <w:sz w:val="16"/>
      </w:rPr>
      <w:t>INTERNAL — AE / delivery</w:t>
    </w:r>
    <w:r>
      <w:rPr>
        <w:color w:val="555555"/>
        <w:sz w:val="16"/>
      </w:rPr>
      <w:tab/>
    </w:r>
    <w:r>
      <w:rPr>
        <w:color w:val="555555"/>
        <w:sz w:val="16"/>
      </w:rPr>
      <w:t xml:space="preserve">Page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of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Ryder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