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  <w:sz w:val="44"/>
        </w:rPr>
        <w:t>Aegis Governed-Agent Pilot</w:t>
      </w:r>
    </w:p>
    <w:p>
      <w:pPr>
        <w:pStyle w:val="Heading1"/>
      </w:pPr>
      <w:r>
        <w:rPr>
          <w:color w:val="2E75B6"/>
        </w:rPr>
        <w:t>Statement of Work (TEMPLATE)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E75B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CUSTOMER-FACING TEMPLATE  ·  COMPLETE THE [BRACKETED] FIELDS BEFORE ISSUING</w:t>
            </w:r>
          </w:p>
        </w:tc>
      </w:tr>
    </w:tbl>
    <w:p/>
    <w:p>
      <w:r>
        <w:rPr>
          <w:i/>
          <w:color w:val="555555"/>
          <w:sz w:val="19"/>
        </w:rPr>
        <w:t>Customer-facing. Fill the [bracketed] fields with the customer AE + solutions architect. This scopes a fixed, low-risk pilot of the Aegis governed-agent reference architecture in the customer’s AWS account.</w:t>
      </w:r>
    </w:p>
    <w:p>
      <w:pPr>
        <w:pStyle w:val="Heading2"/>
      </w:pPr>
      <w:r>
        <w:t>Engagement details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94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754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9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Customer / Agency</w:t>
            </w:r>
          </w:p>
        </w:tc>
        <w:tc>
          <w:tcPr>
            <w:tcW w:type="dxa" w:w="675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[Customer / Agency name]</w:t>
            </w:r>
          </w:p>
        </w:tc>
      </w:tr>
      <w:tr>
        <w:tc>
          <w:tcPr>
            <w:tcW w:type="dxa" w:w="289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Sponsor</w:t>
            </w:r>
          </w:p>
        </w:tc>
        <w:tc>
          <w:tcPr>
            <w:tcW w:type="dxa" w:w="675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[name, title]</w:t>
            </w:r>
          </w:p>
        </w:tc>
      </w:tr>
      <w:tr>
        <w:tc>
          <w:tcPr>
            <w:tcW w:type="dxa" w:w="289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675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[your name]</w:t>
            </w:r>
          </w:p>
        </w:tc>
      </w:tr>
      <w:tr>
        <w:tc>
          <w:tcPr>
            <w:tcW w:type="dxa" w:w="289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675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[YYYY-MM-DD]</w:t>
            </w:r>
          </w:p>
        </w:tc>
      </w:tr>
      <w:tr>
        <w:tc>
          <w:tcPr>
            <w:tcW w:type="dxa" w:w="289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Pilot window</w:t>
            </w:r>
          </w:p>
        </w:tc>
        <w:tc>
          <w:tcPr>
            <w:tcW w:type="dxa" w:w="675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[start] to [end] (target 2-4 weeks)</w:t>
            </w:r>
          </w:p>
        </w:tc>
      </w:tr>
      <w:tr>
        <w:tc>
          <w:tcPr>
            <w:tcW w:type="dxa" w:w="289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AWS account</w:t>
            </w:r>
          </w:p>
        </w:tc>
        <w:tc>
          <w:tcPr>
            <w:tcW w:type="dxa" w:w="675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[dedicated pilot account id]</w:t>
            </w:r>
          </w:p>
        </w:tc>
      </w:tr>
      <w:tr>
        <w:tc>
          <w:tcPr>
            <w:tcW w:type="dxa" w:w="289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675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[us-east-1 | AWS GovCloud us-gov-west-1]</w:t>
            </w:r>
          </w:p>
        </w:tc>
      </w:tr>
      <w:tr>
        <w:tc>
          <w:tcPr>
            <w:tcW w:type="dxa" w:w="289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Compliance pack</w:t>
            </w:r>
          </w:p>
        </w:tc>
        <w:tc>
          <w:tcPr>
            <w:tcW w:type="dxa" w:w="675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[slg | education | healthcare-lifesciences | enterprise]</w:t>
            </w:r>
          </w:p>
        </w:tc>
      </w:tr>
    </w:tbl>
    <w:p/>
    <w:p>
      <w:pPr>
        <w:pStyle w:val="Heading1"/>
      </w:pPr>
      <w:r>
        <w:t>1. Objective</w:t>
      </w:r>
    </w:p>
    <w:p>
      <w:r>
        <w:t xml:space="preserve">Prove, in the customer’s own AWS account, that one </w:t>
      </w:r>
      <w:r>
        <w:rPr>
          <w:b/>
        </w:rPr>
        <w:t>low-blast-radius</w:t>
      </w:r>
      <w:r>
        <w:t xml:space="preserve"> AI-agent workflow can run under full governance — verified identity, deny-by-default authorization, a human gate for consequential actions, masking, append-only + WORM audit, hallucination controls, and per-department cost attribution — and measure it against one agreed outcome. This is a </w:t>
      </w:r>
      <w:r>
        <w:rPr>
          <w:b/>
        </w:rPr>
        <w:t>governed pilot, not a production authorization</w:t>
      </w:r>
      <w:r>
        <w:t>.</w:t>
      </w:r>
    </w:p>
    <w:p>
      <w:pPr>
        <w:pStyle w:val="Heading1"/>
      </w:pPr>
      <w:r>
        <w:t>2. Pilot use case</w:t>
      </w:r>
    </w:p>
    <w:p>
      <w:r>
        <w:t xml:space="preserve">[e.g., IT service-desk assistant: read-only knowledge retrieval + draft ticket; ticket submission is human-gated.] Chosen because it is </w:t>
      </w:r>
      <w:r>
        <w:rPr>
          <w:b/>
        </w:rPr>
        <w:t>reversible, high-volume, decision-support, and has a clear ROI</w:t>
      </w:r>
      <w:r>
        <w:t>.</w:t>
      </w:r>
    </w:p>
    <w:p>
      <w:pPr>
        <w:pStyle w:val="Heading1"/>
      </w:pPr>
      <w:r>
        <w:t>3. Success criteria (acceptance)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Governed golden path deployed; smoke test passes.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Verified IdP login (MFA) issues a token whose role drives authorization.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Authorized action ALLOWED; out-of-scope tool / wrong data class DENIED.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Consequential action holds at the human gate; runs only after a supervisor approval; replay rejected.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Every step produces an append-only audit record; evidence exported to WORM.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Outcome metric measured: [e.g., &gt;= X% deflection | &gt;= Y% cycle-time reduction] on synthetic data.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Per-department token spend visible + a hard cap enforced.</w:t>
      </w:r>
    </w:p>
    <w:p>
      <w:pPr>
        <w:ind w:left="120"/>
      </w:pPr>
      <w:r>
        <w:rPr>
          <w:rFonts w:ascii="Segoe UI Symbol" w:hAnsi="Segoe UI Symbol"/>
          <w:color w:val="2E75B6"/>
          <w:sz w:val="24"/>
        </w:rPr>
        <w:t xml:space="preserve">☐  </w:t>
      </w:r>
      <w:r>
        <w:t>Signed shared-responsibility (RACI) with no open blockers for the pilot scope.</w:t>
      </w:r>
    </w:p>
    <w:p>
      <w:pPr>
        <w:pStyle w:val="Heading1"/>
      </w:pPr>
      <w:r>
        <w:t>4. Data policy</w:t>
      </w:r>
    </w:p>
    <w:p>
      <w:r>
        <w:rPr>
          <w:b/>
        </w:rPr>
        <w:t>Synthetic or representative data only</w:t>
      </w:r>
      <w:r>
        <w:t xml:space="preserve"> for the pilot. No production PII / PHI / FTI / CJI / student data until the customer’s security review clears it (and, for healthcare, a signed AWS BAA is in place).</w:t>
      </w:r>
    </w:p>
    <w:p>
      <w:pPr>
        <w:pStyle w:val="Heading1"/>
      </w:pPr>
      <w:r>
        <w:t>5. Scope</w:t>
      </w:r>
    </w:p>
    <w:p>
      <w:r>
        <w:rPr>
          <w:b/>
        </w:rPr>
        <w:t>In scope:</w:t>
      </w:r>
      <w:r>
        <w:t xml:space="preserve"> governance core; one control-mapping pack; IdP federation + MFA; one agent; the reviewer (human-approval) service; one </w:t>
      </w:r>
      <w:r>
        <w:rPr>
          <w:b/>
        </w:rPr>
        <w:t>sandbox</w:t>
      </w:r>
      <w:r>
        <w:t xml:space="preserve"> connector to [system]; masking; token budgets/chargeback; audit + WORM evidence; a deploy/teardown runbook and evidence package.</w:t>
      </w:r>
    </w:p>
    <w:p>
      <w:r>
        <w:rPr>
          <w:b/>
        </w:rPr>
        <w:t>Out of scope:</w:t>
      </w:r>
      <w:r>
        <w:t xml:space="preserve"> ATO / GovRAMP / FedRAMP authorization; independent penetration test; production data or production system-of-record writes; multi-account/multi-tenant rollout; a custom operator dashboard UI; additional agents beyond the one pilot workflow.</w:t>
      </w:r>
    </w:p>
    <w:p>
      <w:pPr>
        <w:pStyle w:val="Heading1"/>
      </w:pPr>
      <w:r>
        <w:t>6. Architecture (summary)</w:t>
      </w:r>
    </w:p>
    <w:p>
      <w:r>
        <w:t xml:space="preserve">Edge/WAF → Cognito (federated IdP + MFA) → API Gateway JWT authorizer → governed MCP gateway (deny-by-default Cedar / Verified Permissions, human gate, token budgets, append-only audit) → Amazon Bedrock + Guardrails → KMS-encrypted data + S3 Object Lock WORM → sandbox connector with idempotency + saga rollback. Full detail: </w:t>
      </w:r>
      <w:r>
        <w:rPr>
          <w:rFonts w:ascii="Consolas" w:hAnsi="Consolas" w:cs="Consolas"/>
          <w:sz w:val="20"/>
        </w:rPr>
        <w:t>docs/02-REFERENCE-ARCHITECTURE.md</w:t>
      </w:r>
      <w:r>
        <w:t>.</w:t>
      </w:r>
    </w:p>
    <w:p>
      <w:pPr>
        <w:pStyle w:val="Heading1"/>
      </w:pPr>
      <w:r>
        <w:t>7. Timeline &amp; workstreams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89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351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Days</w:t>
            </w:r>
          </w:p>
        </w:tc>
        <w:tc>
          <w:tcPr>
            <w:tcW w:type="dxa" w:w="2508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578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0 Discovery &amp; architecture workshop</w:t>
            </w:r>
          </w:p>
        </w:tc>
        <w:tc>
          <w:tcPr>
            <w:tcW w:type="dxa" w:w="13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[0.5-1]</w:t>
            </w:r>
          </w:p>
        </w:tc>
        <w:tc>
          <w:tcPr>
            <w:tcW w:type="dxa" w:w="25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Joint</w:t>
            </w:r>
          </w:p>
        </w:tc>
      </w:tr>
      <w:tr>
        <w:tc>
          <w:tcPr>
            <w:tcW w:type="dxa" w:w="5789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1 Account prerequisites (role, Bedrock, region)</w:t>
            </w:r>
          </w:p>
        </w:tc>
        <w:tc>
          <w:tcPr>
            <w:tcW w:type="dxa" w:w="135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[0.5]</w:t>
            </w:r>
          </w:p>
        </w:tc>
        <w:tc>
          <w:tcPr>
            <w:tcW w:type="dxa" w:w="2508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Customer + delivery</w:t>
            </w:r>
          </w:p>
        </w:tc>
      </w:tr>
      <w:tr>
        <w:tc>
          <w:tcPr>
            <w:tcW w:type="dxa" w:w="578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2 Governance core deploy + smoke test</w:t>
            </w:r>
          </w:p>
        </w:tc>
        <w:tc>
          <w:tcPr>
            <w:tcW w:type="dxa" w:w="13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[0.5]</w:t>
            </w:r>
          </w:p>
        </w:tc>
        <w:tc>
          <w:tcPr>
            <w:tcW w:type="dxa" w:w="25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Delivery</w:t>
            </w:r>
          </w:p>
        </w:tc>
      </w:tr>
      <w:tr>
        <w:tc>
          <w:tcPr>
            <w:tcW w:type="dxa" w:w="5789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3 IdP federation + MFA + authorizer</w:t>
            </w:r>
          </w:p>
        </w:tc>
        <w:tc>
          <w:tcPr>
            <w:tcW w:type="dxa" w:w="135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[0.5]</w:t>
            </w:r>
          </w:p>
        </w:tc>
        <w:tc>
          <w:tcPr>
            <w:tcW w:type="dxa" w:w="2508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Joint</w:t>
            </w:r>
          </w:p>
        </w:tc>
      </w:tr>
      <w:tr>
        <w:tc>
          <w:tcPr>
            <w:tcW w:type="dxa" w:w="578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4 Pilot agent + reviewer service</w:t>
            </w:r>
          </w:p>
        </w:tc>
        <w:tc>
          <w:tcPr>
            <w:tcW w:type="dxa" w:w="13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[0.5]</w:t>
            </w:r>
          </w:p>
        </w:tc>
        <w:tc>
          <w:tcPr>
            <w:tcW w:type="dxa" w:w="25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Delivery</w:t>
            </w:r>
          </w:p>
        </w:tc>
      </w:tr>
      <w:tr>
        <w:tc>
          <w:tcPr>
            <w:tcW w:type="dxa" w:w="5789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5 Sandbox connector (idempotency + rollback)</w:t>
            </w:r>
          </w:p>
        </w:tc>
        <w:tc>
          <w:tcPr>
            <w:tcW w:type="dxa" w:w="135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[1-3]</w:t>
            </w:r>
          </w:p>
        </w:tc>
        <w:tc>
          <w:tcPr>
            <w:tcW w:type="dxa" w:w="2508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Joint</w:t>
            </w:r>
          </w:p>
        </w:tc>
      </w:tr>
      <w:tr>
        <w:tc>
          <w:tcPr>
            <w:tcW w:type="dxa" w:w="578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6 Outcome run + FinOps (budgets/chargeback)</w:t>
            </w:r>
          </w:p>
        </w:tc>
        <w:tc>
          <w:tcPr>
            <w:tcW w:type="dxa" w:w="13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[1-2]</w:t>
            </w:r>
          </w:p>
        </w:tc>
        <w:tc>
          <w:tcPr>
            <w:tcW w:type="dxa" w:w="25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Delivery</w:t>
            </w:r>
          </w:p>
        </w:tc>
      </w:tr>
      <w:tr>
        <w:tc>
          <w:tcPr>
            <w:tcW w:type="dxa" w:w="5789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7 Evidence package + security review</w:t>
            </w:r>
          </w:p>
        </w:tc>
        <w:tc>
          <w:tcPr>
            <w:tcW w:type="dxa" w:w="135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[parallel]</w:t>
            </w:r>
          </w:p>
        </w:tc>
        <w:tc>
          <w:tcPr>
            <w:tcW w:type="dxa" w:w="2508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Joint</w:t>
            </w:r>
          </w:p>
        </w:tc>
      </w:tr>
      <w:tr>
        <w:tc>
          <w:tcPr>
            <w:tcW w:type="dxa" w:w="578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8 Readout + promote/teardown decision</w:t>
            </w:r>
          </w:p>
        </w:tc>
        <w:tc>
          <w:tcPr>
            <w:tcW w:type="dxa" w:w="13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[0.5]</w:t>
            </w:r>
          </w:p>
        </w:tc>
        <w:tc>
          <w:tcPr>
            <w:tcW w:type="dxa" w:w="25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Joint</w:t>
            </w:r>
          </w:p>
        </w:tc>
      </w:tr>
    </w:tbl>
    <w:p/>
    <w:p>
      <w:pPr>
        <w:pStyle w:val="Heading1"/>
      </w:pPr>
      <w:r>
        <w:t>8. Staffing</w:t>
      </w:r>
    </w:p>
    <w:p>
      <w:r>
        <w:rPr>
          <w:b/>
        </w:rPr>
        <w:t>Delivery:</w:t>
      </w:r>
      <w:r>
        <w:t xml:space="preserve"> [1 solutions architect + 1 engineer]. </w:t>
      </w:r>
      <w:r>
        <w:rPr>
          <w:b/>
        </w:rPr>
        <w:t>Customer:</w:t>
      </w:r>
      <w:r>
        <w:t xml:space="preserve"> a business owner + approver for the workflow, an IdP admin, an AWS account admin, and a security reviewer.</w:t>
      </w:r>
    </w:p>
    <w:p>
      <w:pPr>
        <w:pStyle w:val="Heading1"/>
      </w:pPr>
      <w:r>
        <w:t>9. Prerequisites from the customer</w:t>
      </w:r>
    </w:p>
    <w:p>
      <w:r>
        <w:t>Dedicated pilot AWS account + a deployment IAM role; Bedrock model access enabled; IdP federation metadata; a sandbox instance of [system]; synthetic/representative data; named owner + approver.</w:t>
      </w:r>
    </w:p>
    <w:p>
      <w:pPr>
        <w:pStyle w:val="Heading1"/>
      </w:pPr>
      <w:r>
        <w:t>10. Cost</w:t>
      </w:r>
    </w:p>
    <w:p>
      <w:r>
        <w:rPr>
          <w:b/>
        </w:rPr>
        <w:t>AWS infrastructure:</w:t>
      </w:r>
      <w:r>
        <w:t xml:space="preserve"> ~$[low — serverless, pay-per-use; torn down when idle] for the pilot window. </w:t>
      </w:r>
      <w:r>
        <w:rPr>
          <w:b/>
        </w:rPr>
        <w:t>Professional services:</w:t>
      </w:r>
      <w:r>
        <w:t xml:space="preserve"> $[fixed pilot fee]. </w:t>
      </w:r>
      <w:r>
        <w:rPr>
          <w:b/>
        </w:rPr>
        <w:t>Platform license:</w:t>
      </w:r>
      <w:r>
        <w:t xml:space="preserve"> [waived for pilot | $X]. Figures are placeholders to be set commercially; see </w:t>
      </w:r>
      <w:r>
        <w:rPr>
          <w:rFonts w:ascii="Consolas" w:hAnsi="Consolas" w:cs="Consolas"/>
          <w:sz w:val="20"/>
        </w:rPr>
        <w:t>docs/12-COMMERCIAL-PACKAGING.md</w:t>
      </w:r>
      <w:r>
        <w:t>.</w:t>
      </w:r>
    </w:p>
    <w:p>
      <w:pPr>
        <w:pStyle w:val="Heading1"/>
      </w:pPr>
      <w:r>
        <w:t>11. Exit criteria &amp; production-conversion path</w:t>
      </w:r>
    </w:p>
    <w:p>
      <w:r>
        <w:t xml:space="preserve">At readout, either (a) </w:t>
      </w:r>
      <w:r>
        <w:rPr>
          <w:b/>
        </w:rPr>
        <w:t>tear down</w:t>
      </w:r>
      <w:r>
        <w:t xml:space="preserve"> cleanly (zero residual resources) if it was a time-boxed proof, or (b) </w:t>
      </w:r>
      <w:r>
        <w:rPr>
          <w:b/>
        </w:rPr>
        <w:t>convert to production</w:t>
      </w:r>
      <w:r>
        <w:t>: begin the customer-owned ATO/GovRAMP path (or AWS BAA for healthcare), move the reference gateway to AgentCore Gateway/Policy, and land the next agent on the same governed road (land-and-expand).</w:t>
      </w:r>
    </w:p>
    <w:p>
      <w:pPr>
        <w:pStyle w:val="Heading1"/>
      </w:pPr>
      <w:r>
        <w:t>12. Assumptions &amp; limitations</w:t>
      </w:r>
    </w:p>
    <w:p>
      <w:r>
        <w:t xml:space="preserve">Aegis is a </w:t>
      </w:r>
      <w:r>
        <w:rPr>
          <w:b/>
        </w:rPr>
        <w:t>live-validated reference platform, not an AWS-authorized/ATO’d product</w:t>
      </w:r>
      <w:r>
        <w:t xml:space="preserve">. The pilot demonstrates the control plane and the one workflow; authorization, third-party testing, and production data are subsequent, customer-owned steps. See </w:t>
      </w:r>
      <w:r>
        <w:rPr>
          <w:rFonts w:ascii="Consolas" w:hAnsi="Consolas" w:cs="Consolas"/>
          <w:sz w:val="20"/>
        </w:rPr>
        <w:t>docs/10-PRODUCTION-READINESS-RACI.md</w:t>
      </w:r>
      <w:r>
        <w:t>.</w:t>
      </w:r>
    </w:p>
    <w:p>
      <w:pPr>
        <w:pStyle w:val="Heading1"/>
      </w:pPr>
      <w:r>
        <w:t>Signatures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94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Party</w:t>
            </w:r>
          </w:p>
        </w:tc>
        <w:tc>
          <w:tcPr>
            <w:tcW w:type="dxa" w:w="6754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Signature / date</w:t>
            </w:r>
          </w:p>
        </w:tc>
      </w:tr>
      <w:tr>
        <w:tc>
          <w:tcPr>
            <w:tcW w:type="dxa" w:w="289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675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[____________ / date]</w:t>
            </w:r>
          </w:p>
        </w:tc>
      </w:tr>
      <w:tr>
        <w:tc>
          <w:tcPr>
            <w:tcW w:type="dxa" w:w="289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6754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[____________ / date]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</w:pPr>
    <w:r>
      <w:rPr>
        <w:color w:val="555555"/>
        <w:sz w:val="16"/>
      </w:rPr>
    </w:r>
    <w:r>
      <w:rPr>
        <w:b/>
        <w:color w:val="2E75B6"/>
        <w:sz w:val="16"/>
      </w:rPr>
      <w:t>Customer-facing template</w:t>
    </w:r>
    <w:r>
      <w:rPr>
        <w:color w:val="555555"/>
        <w:sz w:val="16"/>
      </w:rPr>
      <w:tab/>
    </w:r>
    <w:r>
      <w:rPr>
        <w:color w:val="555555"/>
        <w:sz w:val="16"/>
      </w:rPr>
      <w:t xml:space="preserve">Page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of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Ryder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