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  <w:sz w:val="40"/>
        </w:rPr>
        <w:t>Dave's Cheat Sheet — Aegis Customer Conversation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B31E1E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INTERNAL — AE / REP USE ONLY  ·  CONTAINS TALK TRACKS AND “DO NOT PROMISE” LINES</w:t>
            </w:r>
          </w:p>
        </w:tc>
      </w:tr>
    </w:tbl>
    <w:p/>
    <w:p>
      <w:r>
        <w:rPr>
          <w:i/>
          <w:color w:val="555555"/>
          <w:sz w:val="19"/>
        </w:rPr>
        <w:t>Keep this open in the meeting. One screen. Full prep: `CUSTOMER-PREP-AND-DEPLOY-PLAYBOOK.md`.</w:t>
      </w:r>
    </w:p>
    <w:p>
      <w:pPr>
        <w:pStyle w:val="Heading1"/>
      </w:pPr>
      <w:r>
        <w:t>The one-liner</w:t>
      </w:r>
    </w:p>
    <w:p>
      <w:pPr>
        <w:pBdr>
          <w:left w:val="single" w:sz="18" w:space="8" w:color="2E75B6"/>
        </w:pBdr>
        <w:ind w:left="360"/>
      </w:pPr>
      <w:r>
        <w:rPr>
          <w:i/>
          <w:color w:val="1F3A5F"/>
        </w:rPr>
        <w:t xml:space="preserve">Aegis is the </w:t>
      </w:r>
      <w:r>
        <w:rPr>
          <w:b/>
          <w:i/>
          <w:color w:val="1F3A5F"/>
        </w:rPr>
        <w:t>governance layer that makes any AI agent deployable in a regulated environment</w:t>
      </w:r>
      <w:r>
        <w:rPr>
          <w:i/>
          <w:color w:val="1F3A5F"/>
        </w:rPr>
        <w:t xml:space="preserve"> — build the paved road once on AWS, and every agent inherits identity, authorization, audit, compliance, hallucination control, and chargeback. </w:t>
      </w:r>
      <w:r>
        <w:rPr>
          <w:b/>
          <w:i/>
          <w:color w:val="1F3A5F"/>
        </w:rPr>
        <w:t>The agent isn’t the product; the governance is.</w:t>
      </w:r>
    </w:p>
    <w:p>
      <w:pPr>
        <w:pStyle w:val="Heading1"/>
      </w:pPr>
      <w:r>
        <w:t>Open with their pain (the pilot trap)</w:t>
      </w:r>
    </w:p>
    <w:p>
      <w:r>
        <w:t xml:space="preserve">“You don’t need another AI pilot. You need a governance substrate so you can approve </w:t>
      </w:r>
      <w:r>
        <w:rPr>
          <w:b/>
        </w:rPr>
        <w:t>one</w:t>
      </w:r>
      <w:r>
        <w:t xml:space="preserve"> safe pattern, then onboard agents one at a time with evidence your CISO, auditor, and program leaders can defend.” Then: the blocker was never the model — it’s identity, authorization, audit, data isolation, hallucination risk, cost control, and </w:t>
      </w:r>
      <w:r>
        <w:rPr>
          <w:i/>
        </w:rPr>
        <w:t>who has authority to act</w:t>
      </w:r>
      <w:r>
        <w:t>.</w:t>
      </w:r>
    </w:p>
    <w:p>
      <w:pPr>
        <w:pStyle w:val="Heading1"/>
      </w:pPr>
      <w:r>
        <w:t>The four CISO answers (say verbatim)</w:t>
      </w:r>
    </w:p>
    <w:p>
      <w:pPr>
        <w:pStyle w:val="ListBullet"/>
      </w:pPr>
      <w:r>
        <w:rPr>
          <w:b/>
        </w:rPr>
        <w:t>“Can the AI act on its own?”</w:t>
      </w:r>
      <w:r>
        <w:t xml:space="preserve"> No. Consequential actions are </w:t>
      </w:r>
      <w:r>
        <w:rPr>
          <w:b/>
        </w:rPr>
        <w:t>withheld in code</w:t>
      </w:r>
      <w:r>
        <w:t xml:space="preserve"> and run only after a </w:t>
      </w:r>
      <w:r>
        <w:rPr>
          <w:b/>
        </w:rPr>
        <w:t>bound, single-use, separation-of-duties</w:t>
      </w:r>
      <w:r>
        <w:t xml:space="preserve"> human approval. (Show Run 2 / 5 / 7.)</w:t>
      </w:r>
    </w:p>
    <w:p>
      <w:pPr>
        <w:pStyle w:val="ListBullet"/>
      </w:pPr>
      <w:r>
        <w:rPr>
          <w:b/>
        </w:rPr>
        <w:t>“Can I trust identity?”</w:t>
      </w:r>
      <w:r>
        <w:t xml:space="preserve"> Cryptographically verified JWT (RS256 vs JWKS, iss/aud/exp, alg-confusion guard); client-supplied roles are never trusted. (Run 4.)</w:t>
      </w:r>
    </w:p>
    <w:p>
      <w:pPr>
        <w:pStyle w:val="ListBullet"/>
      </w:pPr>
      <w:r>
        <w:rPr>
          <w:b/>
        </w:rPr>
        <w:t>“Will the audit hold up?”</w:t>
      </w:r>
      <w:r>
        <w:t xml:space="preserve"> Append-only DynamoDB + S3 Object Lock </w:t>
      </w:r>
      <w:r>
        <w:rPr>
          <w:b/>
        </w:rPr>
        <w:t>WORM</w:t>
      </w:r>
      <w:r>
        <w:t>; deletion proven denied. (Run 6.)</w:t>
      </w:r>
    </w:p>
    <w:p>
      <w:pPr>
        <w:pStyle w:val="ListBullet"/>
      </w:pPr>
      <w:r>
        <w:rPr>
          <w:b/>
        </w:rPr>
        <w:t>“Where does data go?”</w:t>
      </w:r>
      <w:r>
        <w:t xml:space="preserve"> In-account Bedrock over PrivateLink, mandatory Guardrails, masking fails closed. (Runs 1 / 3.)</w:t>
      </w:r>
    </w:p>
    <w:p>
      <w:pPr>
        <w:pStyle w:val="Heading1"/>
      </w:pPr>
      <w:r>
        <w:t>Proof — nine live AWS runs (deployed, exercised, torn down)</w:t>
      </w:r>
    </w:p>
    <w:p>
      <w:pPr>
        <w:pStyle w:val="ListBullet"/>
      </w:pPr>
      <w:r>
        <w:rPr>
          <w:b/>
        </w:rPr>
        <w:t>1</w:t>
      </w:r>
      <w:r>
        <w:t xml:space="preserve"> Governance core (KMS/audit/WORM/Guardrail/Cognito/gateway)</w:t>
      </w:r>
    </w:p>
    <w:p>
      <w:pPr>
        <w:pStyle w:val="ListBullet"/>
      </w:pPr>
      <w:r>
        <w:rPr>
          <w:b/>
        </w:rPr>
        <w:t>2</w:t>
      </w:r>
      <w:r>
        <w:t xml:space="preserve"> Human gate holds the action</w:t>
      </w:r>
    </w:p>
    <w:p>
      <w:pPr>
        <w:pStyle w:val="ListBullet"/>
      </w:pPr>
      <w:r>
        <w:rPr>
          <w:b/>
        </w:rPr>
        <w:t>3</w:t>
      </w:r>
      <w:r>
        <w:t xml:space="preserve"> Cedar authz (Verified Permissions) ALLOW+2 DENY + real Bedrock</w:t>
      </w:r>
    </w:p>
    <w:p>
      <w:pPr>
        <w:pStyle w:val="ListBullet"/>
      </w:pPr>
      <w:r>
        <w:rPr>
          <w:b/>
        </w:rPr>
        <w:t>4</w:t>
      </w:r>
      <w:r>
        <w:t xml:space="preserve"> Cognito MFA + JWT verify</w:t>
      </w:r>
    </w:p>
    <w:p>
      <w:pPr>
        <w:pStyle w:val="ListBullet"/>
      </w:pPr>
      <w:r>
        <w:rPr>
          <w:b/>
        </w:rPr>
        <w:t>5</w:t>
      </w:r>
      <w:r>
        <w:t xml:space="preserve"> Reviewer: role + SoD + single-use</w:t>
      </w:r>
    </w:p>
    <w:p>
      <w:pPr>
        <w:pStyle w:val="ListBullet"/>
      </w:pPr>
      <w:r>
        <w:rPr>
          <w:b/>
        </w:rPr>
        <w:t>6</w:t>
      </w:r>
      <w:r>
        <w:t xml:space="preserve"> WORM delete denied</w:t>
      </w:r>
    </w:p>
    <w:p>
      <w:pPr>
        <w:pStyle w:val="ListBullet"/>
      </w:pPr>
      <w:r>
        <w:rPr>
          <w:b/>
        </w:rPr>
        <w:t>7</w:t>
      </w:r>
      <w:r>
        <w:t xml:space="preserve"> API Gateway + JWT authorizer (401 → authorized approve)</w:t>
      </w:r>
    </w:p>
    <w:p>
      <w:pPr>
        <w:pStyle w:val="ListBullet"/>
      </w:pPr>
      <w:r>
        <w:rPr>
          <w:b/>
        </w:rPr>
        <w:t>8</w:t>
      </w:r>
      <w:r>
        <w:t xml:space="preserve"> KMS-signed manifests + atomic budgets (no oversell)</w:t>
      </w:r>
    </w:p>
    <w:p>
      <w:pPr>
        <w:pStyle w:val="ListBullet"/>
      </w:pPr>
      <w:r>
        <w:rPr>
          <w:b/>
        </w:rPr>
        <w:t>9</w:t>
      </w:r>
      <w:r>
        <w:t xml:space="preserve"> Governed connector: idempotency + saga rollback</w:t>
      </w:r>
    </w:p>
    <w:p>
      <w:r>
        <w:rPr>
          <w:b/>
        </w:rPr>
        <w:t>Evidence:</w:t>
      </w:r>
      <w:r>
        <w:t xml:space="preserve"> </w:t>
      </w:r>
      <w:r>
        <w:rPr>
          <w:rFonts w:ascii="Consolas" w:hAnsi="Consolas" w:cs="Consolas"/>
          <w:sz w:val="20"/>
        </w:rPr>
        <w:t>DEPLOYED-AND-VALIDATED.md</w:t>
      </w:r>
      <w:r>
        <w:t>.</w:t>
      </w:r>
    </w:p>
    <w:p>
      <w:pPr>
        <w:pStyle w:val="Heading1"/>
      </w:pPr>
      <w:r>
        <w:t>Two demos</w:t>
      </w:r>
    </w:p>
    <w:p>
      <w:pPr>
        <w:pStyle w:val="ListBullet"/>
      </w:pPr>
      <w:r>
        <w:rPr>
          <w:b/>
        </w:rPr>
        <w:t>Safe (always works):</w:t>
      </w:r>
      <w:r>
        <w:t xml:space="preserve"> </w:t>
      </w:r>
      <w:r>
        <w:rPr>
          <w:rFonts w:ascii="Consolas" w:hAnsi="Consolas" w:cs="Consolas"/>
          <w:sz w:val="20"/>
        </w:rPr>
        <w:t>python demo/clean_account_acceptance.py</w:t>
      </w:r>
      <w:r>
        <w:t xml:space="preserve"> — 18/18 green, no AWS, no API key.</w:t>
      </w:r>
    </w:p>
    <w:p>
      <w:pPr>
        <w:pStyle w:val="ListBullet"/>
      </w:pPr>
      <w:r>
        <w:rPr>
          <w:b/>
        </w:rPr>
        <w:t>Real (2 min):</w:t>
      </w:r>
      <w:r>
        <w:t xml:space="preserve"> </w:t>
      </w:r>
      <w:r>
        <w:rPr>
          <w:rFonts w:ascii="Consolas" w:hAnsi="Consolas" w:cs="Consolas"/>
          <w:sz w:val="20"/>
        </w:rPr>
        <w:t>infra/golden-pilot/run_authz_tests.sh</w:t>
      </w:r>
      <w:r>
        <w:t xml:space="preserve"> — live Cedar ALLOW/DENY on Verified Permissions.</w:t>
      </w:r>
    </w:p>
    <w:p>
      <w:pPr>
        <w:pStyle w:val="Heading1"/>
      </w:pPr>
      <w:r>
        <w:t>Objection handling</w:t>
      </w:r>
    </w:p>
    <w:p>
      <w:pPr>
        <w:pStyle w:val="ListBullet"/>
      </w:pPr>
      <w:r>
        <w:rPr>
          <w:i/>
        </w:rPr>
        <w:t>“Is it production-ready?”</w:t>
      </w:r>
      <w:r>
        <w:t xml:space="preserve"> → “It’s a </w:t>
      </w:r>
      <w:r>
        <w:rPr>
          <w:b/>
        </w:rPr>
        <w:t>live-validated</w:t>
      </w:r>
      <w:r>
        <w:t xml:space="preserve"> control platform, not yet an ATO’d product. Live connectors, ATO/GovRAMP, and third-party pen test are scoped engagement work — that candor is why the rest is credible.” (Point to </w:t>
      </w:r>
      <w:r>
        <w:rPr>
          <w:rFonts w:ascii="Consolas" w:hAnsi="Consolas" w:cs="Consolas"/>
          <w:sz w:val="20"/>
        </w:rPr>
        <w:t>docs/10-PRODUCTION-READINESS-RACI.md</w:t>
      </w:r>
      <w:r>
        <w:t>.)</w:t>
      </w:r>
    </w:p>
    <w:p>
      <w:pPr>
        <w:pStyle w:val="ListBullet"/>
      </w:pPr>
      <w:r>
        <w:rPr>
          <w:i/>
        </w:rPr>
        <w:t>“Why not a model vendor’s console?”</w:t>
      </w:r>
      <w:r>
        <w:t xml:space="preserve"> → “A console gives you none of this: least-privilege intersection, a human gate withheld in code, WORM audit, per-department chargeback, or a control-mapping pack that survives a review board.”</w:t>
      </w:r>
    </w:p>
    <w:p>
      <w:pPr>
        <w:pStyle w:val="ListBullet"/>
      </w:pPr>
      <w:r>
        <w:rPr>
          <w:i/>
        </w:rPr>
        <w:t>“Lock-in?”</w:t>
      </w:r>
      <w:r>
        <w:t xml:space="preserve"> → “Customer-owned, readable, AWS-native implementation; no proprietary Aegis runtime.”</w:t>
      </w:r>
    </w:p>
    <w:p>
      <w:pPr>
        <w:pStyle w:val="Heading1"/>
      </w:pPr>
      <w:r>
        <w:t>Per-persona leave-behind</w:t>
      </w:r>
    </w:p>
    <w:p>
      <w:pPr>
        <w:pStyle w:val="ListBullet"/>
      </w:pPr>
      <w:r>
        <w:t xml:space="preserve">CISO → </w:t>
      </w:r>
      <w:r>
        <w:rPr>
          <w:rFonts w:ascii="Consolas" w:hAnsi="Consolas" w:cs="Consolas"/>
          <w:sz w:val="20"/>
        </w:rPr>
        <w:t>Aegis-CISO-One-Pager.docx</w:t>
      </w:r>
    </w:p>
    <w:p>
      <w:pPr>
        <w:pStyle w:val="ListBullet"/>
      </w:pPr>
      <w:r>
        <w:t xml:space="preserve">CFO → </w:t>
      </w:r>
      <w:r>
        <w:rPr>
          <w:rFonts w:ascii="Consolas" w:hAnsi="Consolas" w:cs="Consolas"/>
          <w:sz w:val="20"/>
        </w:rPr>
        <w:t>Aegis-ROI-Worksheet.xlsx</w:t>
      </w:r>
      <w:r>
        <w:t xml:space="preserve"> (edit to their numbers live)</w:t>
      </w:r>
    </w:p>
    <w:p>
      <w:pPr>
        <w:pStyle w:val="ListBullet"/>
      </w:pPr>
      <w:r>
        <w:t xml:space="preserve">Architect → </w:t>
      </w:r>
      <w:r>
        <w:rPr>
          <w:rFonts w:ascii="Consolas" w:hAnsi="Consolas" w:cs="Consolas"/>
          <w:sz w:val="20"/>
        </w:rPr>
        <w:t>docs/02</w:t>
      </w:r>
      <w:r>
        <w:t xml:space="preserve"> + </w:t>
      </w:r>
      <w:r>
        <w:rPr>
          <w:rFonts w:ascii="Consolas" w:hAnsi="Consolas" w:cs="Consolas"/>
          <w:sz w:val="20"/>
        </w:rPr>
        <w:t>docs/security/SECURITY-ARCHITECTURE.md</w:t>
      </w:r>
    </w:p>
    <w:p>
      <w:pPr>
        <w:pStyle w:val="ListBullet"/>
      </w:pPr>
      <w:r>
        <w:t xml:space="preserve">Sponsor → </w:t>
      </w:r>
      <w:r>
        <w:rPr>
          <w:rFonts w:ascii="Consolas" w:hAnsi="Consolas" w:cs="Consolas"/>
          <w:sz w:val="20"/>
        </w:rPr>
        <w:t>Aegis-Leadership-Status-Brief.docx</w:t>
      </w:r>
    </w:p>
    <w:p>
      <w:pPr>
        <w:pStyle w:val="Heading1"/>
      </w:pPr>
      <w:r>
        <w:t>The ask</w:t>
      </w:r>
    </w:p>
    <w:p>
      <w:r>
        <w:t xml:space="preserve">A </w:t>
      </w:r>
      <w:r>
        <w:rPr>
          <w:b/>
        </w:rPr>
        <w:t>fixed-scope, paid pilot</w:t>
      </w:r>
      <w:r>
        <w:t xml:space="preserve"> in their AWS account: one low-blast-radius workflow (IT service desk / 311 / HR helpdesk), synthetic data, ~2–4 weeks. Discovery → deploy governed golden path → prove one outcome → sign the RACI → land-and-expand.</w:t>
      </w:r>
    </w:p>
    <w:p>
      <w:pPr>
        <w:pStyle w:val="Heading1"/>
      </w:pPr>
      <w:r>
        <w:t>Do NOT promise</w:t>
      </w:r>
    </w:p>
    <w:p>
      <w:r>
        <w:rPr>
          <w:b/>
          <w:color w:val="B31E1E"/>
        </w:rPr>
        <w:t>The following must never be promised in the room:</w:t>
      </w:r>
    </w:p>
    <w:p>
      <w:pPr>
        <w:pStyle w:val="ListBullet"/>
      </w:pPr>
      <w:r>
        <w:t>An ATO / authorization</w:t>
      </w:r>
    </w:p>
    <w:p>
      <w:pPr>
        <w:pStyle w:val="ListBullet"/>
      </w:pPr>
      <w:r>
        <w:t>Production PII / PHI / CJI in the pilot (synthetic only until security review; BAA for healthcare)</w:t>
      </w:r>
    </w:p>
    <w:p>
      <w:pPr>
        <w:pStyle w:val="ListBullet"/>
      </w:pPr>
      <w:r>
        <w:t>A live third-party SaaS connector on day one (pattern is proven; their sandbox gets wired in Phase 5)</w:t>
      </w:r>
    </w:p>
    <w:p>
      <w:pPr>
        <w:pStyle w:val="ListBullet"/>
      </w:pPr>
      <w:r>
        <w:t>A dashboard UI (evidence is via the audit tables / evidence report today)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48" w:val="right"/>
      </w:tabs>
    </w:pPr>
    <w:r>
      <w:rPr>
        <w:color w:val="555555"/>
        <w:sz w:val="16"/>
      </w:rPr>
    </w:r>
    <w:r>
      <w:rPr>
        <w:b/>
        <w:color w:val="B31E1E"/>
        <w:sz w:val="16"/>
      </w:rPr>
      <w:t>INTERNAL — AE / rep use</w:t>
    </w:r>
    <w:r>
      <w:rPr>
        <w:color w:val="555555"/>
        <w:sz w:val="16"/>
      </w:rPr>
      <w:tab/>
    </w:r>
    <w:r>
      <w:rPr>
        <w:color w:val="555555"/>
        <w:sz w:val="16"/>
      </w:rPr>
      <w:t xml:space="preserve">Page </w:t>
    </w:r>
    <w:r>
      <w:rPr>
        <w:color w:val="555555"/>
        <w:sz w:val="16"/>
      </w:rPr>
      <w:fldChar w:fldCharType="begin"/>
      <w:instrText xml:space="preserve">PAGE</w:instrText>
      <w:fldChar w:fldCharType="end"/>
    </w:r>
    <w:r>
      <w:rPr>
        <w:color w:val="555555"/>
        <w:sz w:val="16"/>
      </w:rPr>
      <w:t xml:space="preserve"> of </w:t>
    </w:r>
    <w:r>
      <w:rPr>
        <w:color w:val="555555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Ryder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