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Benefits Eligibility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benefits-eligibility accelerator maps to the Social Security Act / program rules, constitutional due process, IRS Publication 1075, and StateRAMP / NIST SP 800-53 — the controls it provides, the evidence it produces, and the validation that remains the agency's responsibility. Accelerator reference; not a compliance certification or legal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Due process mapping</w:t>
      </w:r>
    </w:p>
    <w:p>
      <w:pPr>
        <w:tabs>
          <w:tab w:val="left" w:pos="520"/>
        </w:tabs>
        <w:spacing w:after="90" w:line="260"/>
      </w:pPr>
      <w:r>
        <w:rPr>
          <w:b/>
          <w:bCs/>
          <w:color w:val="1A2733"/>
          <w:sz w:val="21"/>
          <w:szCs w:val="21"/>
        </w:rPr>
        <w:t xml:space="preserve">5.	IRS Publication 1075 (FTI) mapping</w:t>
      </w:r>
    </w:p>
    <w:p>
      <w:pPr>
        <w:tabs>
          <w:tab w:val="left" w:pos="520"/>
        </w:tabs>
        <w:spacing w:after="90" w:line="260"/>
      </w:pPr>
      <w:r>
        <w:rPr>
          <w:b/>
          <w:bCs/>
          <w:color w:val="1A2733"/>
          <w:sz w:val="21"/>
          <w:szCs w:val="21"/>
        </w:rPr>
        <w:t xml:space="preserve">6.	StateRAMP / NIST SP 800-53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benefits-eligibility accelerator to the requirements a state or local human-services agency must satisfy. It is written for the compliance, privacy, security, and program stakeholders who decide whether an AI-assisted eligibility workflow can be adopted.</w:t>
      </w:r>
    </w:p>
    <w:p>
      <w:r>
        <w:rPr>
          <w:b/>
          <w:bCs/>
        </w:rPr>
        <w:t xml:space="preserve">What this guide is: </w:t>
      </w:r>
      <w:r>
        <w:t xml:space="preserve">a control-to-requirement mapping showing how the accelerator supports adherence, what evidence it produces, and where the agency's own validation is required.</w:t>
      </w:r>
    </w:p>
    <w:p>
      <w:r>
        <w:rPr>
          <w:b/>
          <w:bCs/>
        </w:rPr>
        <w:t xml:space="preserve">What this guide is not: </w:t>
      </w:r>
      <w:r>
        <w:t xml:space="preserve">a certification, an attestation, or legal/regulatory advice. Adopting this accelerator does not by itself make a system compliant or an eligibility determination lawful. Authorization to operate, and the legal correctness of program rules and notices, remain the agency's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caseworker makes the eligibility determination and commits it — the agent intakes, de-identifies, screens, and drafts, but never self-adjudicates. The security design exists to enforce that rule and to produce the due-process evidence trail.</w:t>
            </w:r>
          </w:p>
        </w:tc>
      </w:tr>
    </w:tbl>
    <w:p>
      <w:pPr>
        <w:pStyle w:val="Heading1"/>
      </w:pPr>
      <w:r>
        <w:t xml:space="preserve">2. The regulated workflow</w:t>
      </w:r>
    </w:p>
    <w:p>
      <w:r>
        <w:t xml:space="preserve">Public-benefits adjudication decides whether an applicant qualifies for SNAP, Medicaid, TANF, unemployment insurance, or general assistance, and how fast the case must be worked. When an application arrives, a regulated workflow runs: intake the application, de-identify PII, assess eligibility and the processing clock (expedited vs. standard), draft a determination notice, obtain a qualified caseworker's review and sign-off, and commit the determination to the system of record.</w:t>
      </w:r>
    </w:p>
    <w:p>
      <w:r>
        <w:t xml:space="preserve">The accelerator automates the intake, de-identification, screening, and drafting steps under governance, and pauses at a human sign-off gate before any determination is committed. Four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Social Security Act / program rules</w:t>
            </w:r>
          </w:p>
        </w:tc>
        <w:tc>
          <w:tcPr>
            <w:tcW w:type="dxa" w:w="7540"/>
            <w:shd w:fill="FFFFFF" w:val="clear"/>
            <w:tcMar>
              <w:top w:type="dxa" w:w="60"/>
              <w:left w:type="dxa" w:w="110"/>
              <w:bottom w:type="dxa" w:w="60"/>
              <w:right w:type="dxa" w:w="110"/>
            </w:tcMar>
          </w:tcPr>
          <w:p>
            <w:pPr>
              <w:spacing w:after="0" w:line="250"/>
            </w:pPr>
            <w:r>
              <w:rPr>
                <w:sz w:val="19"/>
                <w:szCs w:val="19"/>
              </w:rPr>
              <w:t xml:space="preserve">Program eligibility criteria and processing timeliness (e.g. SNAP under 7 CFR Part 273, including 7-day expedited service); the qualified-caseworker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Constitutional due process</w:t>
            </w:r>
          </w:p>
        </w:tc>
        <w:tc>
          <w:tcPr>
            <w:tcW w:type="dxa" w:w="7540"/>
            <w:shd w:fill="F4F8FA" w:val="clear"/>
            <w:tcMar>
              <w:top w:type="dxa" w:w="60"/>
              <w:left w:type="dxa" w:w="110"/>
              <w:bottom w:type="dxa" w:w="60"/>
              <w:right w:type="dxa" w:w="110"/>
            </w:tcMar>
          </w:tcPr>
          <w:p>
            <w:pPr>
              <w:spacing w:after="0" w:line="250"/>
            </w:pPr>
            <w:r>
              <w:rPr>
                <w:sz w:val="19"/>
                <w:szCs w:val="19"/>
              </w:rPr>
              <w:t xml:space="preserve">Goldberg v. Kelly — timely and adequate written notice of an adverse determination and the right to a fair hearing.</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IRS Publication 1075</w:t>
            </w:r>
          </w:p>
        </w:tc>
        <w:tc>
          <w:tcPr>
            <w:tcW w:type="dxa" w:w="7540"/>
            <w:shd w:fill="FFFFFF" w:val="clear"/>
            <w:tcMar>
              <w:top w:type="dxa" w:w="60"/>
              <w:left w:type="dxa" w:w="110"/>
              <w:bottom w:type="dxa" w:w="60"/>
              <w:right w:type="dxa" w:w="110"/>
            </w:tcMar>
          </w:tcPr>
          <w:p>
            <w:pPr>
              <w:spacing w:after="0" w:line="250"/>
            </w:pPr>
            <w:r>
              <w:rPr>
                <w:sz w:val="19"/>
                <w:szCs w:val="19"/>
              </w:rPr>
              <w:t xml:space="preserve">Safeguarding Federal Tax Information (FTI) where tax data is used for income verification — access, audit, and disclosure controls.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StateRAMP / NIST SP 800-53</w:t>
            </w:r>
          </w:p>
        </w:tc>
        <w:tc>
          <w:tcPr>
            <w:tcW w:type="dxa" w:w="7540"/>
            <w:shd w:fill="F4F8FA" w:val="clear"/>
            <w:tcMar>
              <w:top w:type="dxa" w:w="60"/>
              <w:left w:type="dxa" w:w="110"/>
              <w:bottom w:type="dxa" w:w="60"/>
              <w:right w:type="dxa" w:w="110"/>
            </w:tcMar>
          </w:tcPr>
          <w:p>
            <w:pPr>
              <w:spacing w:after="0" w:line="250"/>
            </w:pPr>
            <w:r>
              <w:rPr>
                <w:sz w:val="19"/>
                <w:szCs w:val="19"/>
              </w:rPr>
              <w:t xml:space="preserve">The security-authorization framework for state systems — access control, audit, and system integrity.</w:t>
            </w:r>
          </w:p>
        </w:tc>
      </w:tr>
    </w:tbl>
    <w:p>
      <w:pPr>
        <w:pStyle w:val="Heading1"/>
      </w:pPr>
      <w:r>
        <w:t xml:space="preserve">4. Due process mapping</w:t>
      </w:r>
    </w:p>
    <w:p>
      <w:r>
        <w:t xml:space="preserve">Due process requires that an applicant receive timely and adequate written notice of an adverse determination and an opportunity for a fair hearing. The accelerator produces the notice and the tamper-evident record that a hearing depends on; the legal sufficiency of the notice and the hearing process remain the agency's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Due-process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agency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Adequate written notice of the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draft_notice produces a de-identified determination notice through a fail-closed output guardrail, on de-identified data only.</w:t>
            </w:r>
          </w:p>
        </w:tc>
        <w:tc>
          <w:tcPr>
            <w:tcW w:type="dxa" w:w="3700"/>
            <w:shd w:fill="FFFFFF"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legal review of notice language, appeal rights, and citations.</w:t>
            </w:r>
          </w:p>
        </w:tc>
      </w:tr>
      <w:tr>
        <w:tc>
          <w:tcPr>
            <w:tcW w:type="dxa" w:w="2650"/>
            <w:shd w:fill="F4F8FA" w:val="clear"/>
            <w:tcMar>
              <w:top w:type="dxa" w:w="60"/>
              <w:left w:type="dxa" w:w="110"/>
              <w:bottom w:type="dxa" w:w="60"/>
              <w:right w:type="dxa" w:w="110"/>
            </w:tcMar>
          </w:tcPr>
          <w:p>
            <w:pPr>
              <w:spacing w:after="0" w:line="250"/>
            </w:pPr>
            <w:r>
              <w:rPr>
                <w:sz w:val="19"/>
                <w:szCs w:val="19"/>
              </w:rPr>
              <w:t xml:space="preserve">Timely action (processing clocks)</w:t>
            </w:r>
          </w:p>
        </w:tc>
        <w:tc>
          <w:tcPr>
            <w:tcW w:type="dxa" w:w="4090"/>
            <w:shd w:fill="F4F8FA" w:val="clear"/>
            <w:tcMar>
              <w:top w:type="dxa" w:w="60"/>
              <w:left w:type="dxa" w:w="110"/>
              <w:bottom w:type="dxa" w:w="60"/>
              <w:right w:type="dxa" w:w="110"/>
            </w:tcMar>
          </w:tcPr>
          <w:p>
            <w:pPr>
              <w:spacing w:after="0" w:line="250"/>
            </w:pPr>
            <w:r>
              <w:rPr>
                <w:sz w:val="19"/>
                <w:szCs w:val="19"/>
              </w:rPr>
              <w:t xml:space="preserve">assess_eligibility returns the processing clock — EXPEDITED (7-day) vs STANDARD (30-day) — deterministically from the case facts, so timeliness is computed, not guessed.</w:t>
            </w:r>
          </w:p>
        </w:tc>
        <w:tc>
          <w:tcPr>
            <w:tcW w:type="dxa" w:w="3700"/>
            <w:shd w:fill="F4F8FA" w:val="clear"/>
            <w:tcMar>
              <w:top w:type="dxa" w:w="60"/>
              <w:left w:type="dxa" w:w="110"/>
              <w:bottom w:type="dxa" w:w="60"/>
              <w:right w:type="dxa" w:w="110"/>
            </w:tcMar>
          </w:tcPr>
          <w:p>
            <w:pPr>
              <w:spacing w:after="0" w:line="250"/>
            </w:pPr>
            <w:r>
              <w:rPr>
                <w:sz w:val="19"/>
                <w:szCs w:val="19"/>
              </w:rPr>
              <w:t xml:space="preserve">The determination + processing_clock fields; agency configures the authoritative clocks.</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reproducible determination</w:t>
            </w:r>
          </w:p>
        </w:tc>
        <w:tc>
          <w:tcPr>
            <w:tcW w:type="dxa" w:w="4090"/>
            <w:shd w:fill="FFFFFF" w:val="clear"/>
            <w:tcMar>
              <w:top w:type="dxa" w:w="60"/>
              <w:left w:type="dxa" w:w="110"/>
              <w:bottom w:type="dxa" w:w="60"/>
              <w:right w:type="dxa" w:w="110"/>
            </w:tcMar>
          </w:tcPr>
          <w:p>
            <w:pPr>
              <w:spacing w:after="0" w:line="250"/>
            </w:pPr>
            <w:r>
              <w:rPr>
                <w:sz w:val="19"/>
                <w:szCs w:val="19"/>
              </w:rPr>
              <w:t xml:space="preserve">assess_eligibility is a deterministic rules engine (no model) returning ELIGIBLE / INELIGIBLE / NEEDS_REVIEW with the income-vs-threshold basis, so a caseworker can defend it at a hearing.</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agency owns the authoritative rules.</w:t>
            </w:r>
          </w:p>
        </w:tc>
      </w:tr>
      <w:tr>
        <w:tc>
          <w:tcPr>
            <w:tcW w:type="dxa" w:w="2650"/>
            <w:shd w:fill="F4F8FA" w:val="clear"/>
            <w:tcMar>
              <w:top w:type="dxa" w:w="60"/>
              <w:left w:type="dxa" w:w="110"/>
              <w:bottom w:type="dxa" w:w="60"/>
              <w:right w:type="dxa" w:w="110"/>
            </w:tcMar>
          </w:tcPr>
          <w:p>
            <w:pPr>
              <w:spacing w:after="0" w:line="250"/>
            </w:pPr>
            <w:r>
              <w:rPr>
                <w:sz w:val="19"/>
                <w:szCs w:val="19"/>
              </w:rPr>
              <w:t xml:space="preserve">A tamper-evident record for the hearing</w:t>
            </w:r>
          </w:p>
        </w:tc>
        <w:tc>
          <w:tcPr>
            <w:tcW w:type="dxa" w:w="4090"/>
            <w:shd w:fill="F4F8FA" w:val="clear"/>
            <w:tcMar>
              <w:top w:type="dxa" w:w="60"/>
              <w:left w:type="dxa" w:w="110"/>
              <w:bottom w:type="dxa" w:w="60"/>
              <w:right w:type="dxa" w:w="110"/>
            </w:tcMar>
          </w:tcPr>
          <w:p>
            <w:pPr>
              <w:spacing w:after="0" w:line="250"/>
            </w:pPr>
            <w:r>
              <w:rPr>
                <w:sz w:val="19"/>
                <w:szCs w:val="19"/>
              </w:rPr>
              <w:t xml:space="preserve">Append-only DynamoDB ledger plus an S3 Object Lock (WORM) copy of each decision; the writing principal is denied delete, update, and retention bypass.</w:t>
            </w:r>
          </w:p>
        </w:tc>
        <w:tc>
          <w:tcPr>
            <w:tcW w:type="dxa" w:w="3700"/>
            <w:shd w:fill="F4F8FA" w:val="clear"/>
            <w:tcMar>
              <w:top w:type="dxa" w:w="60"/>
              <w:left w:type="dxa" w:w="110"/>
              <w:bottom w:type="dxa" w:w="60"/>
              <w:right w:type="dxa" w:w="110"/>
            </w:tcMar>
          </w:tcPr>
          <w:p>
            <w:pPr>
              <w:spacing w:after="0" w:line="250"/>
            </w:pPr>
            <w:r>
              <w:rPr>
                <w:sz w:val="19"/>
                <w:szCs w:val="19"/>
              </w:rPr>
              <w:t xml:space="preserve">Object Lock configuration; IAM deny policy. Agency sets the retention period.</w:t>
            </w:r>
          </w:p>
        </w:tc>
      </w:tr>
      <w:tr>
        <w:tc>
          <w:tcPr>
            <w:tcW w:type="dxa" w:w="2650"/>
            <w:shd w:fill="FFFFFF" w:val="clear"/>
            <w:tcMar>
              <w:top w:type="dxa" w:w="60"/>
              <w:left w:type="dxa" w:w="110"/>
              <w:bottom w:type="dxa" w:w="60"/>
              <w:right w:type="dxa" w:w="110"/>
            </w:tcMar>
          </w:tcPr>
          <w:p>
            <w:pPr>
              <w:spacing w:after="0" w:line="250"/>
            </w:pPr>
            <w:r>
              <w:rPr>
                <w:sz w:val="19"/>
                <w:szCs w:val="19"/>
              </w:rPr>
              <w:t xml:space="preserve">The determination is made by a qualified person</w:t>
            </w:r>
          </w:p>
        </w:tc>
        <w:tc>
          <w:tcPr>
            <w:tcW w:type="dxa" w:w="4090"/>
            <w:shd w:fill="FFFFFF" w:val="clear"/>
            <w:tcMar>
              <w:top w:type="dxa" w:w="60"/>
              <w:left w:type="dxa" w:w="110"/>
              <w:bottom w:type="dxa" w:w="60"/>
              <w:right w:type="dxa" w:w="110"/>
            </w:tcMar>
          </w:tcPr>
          <w:p>
            <w:pPr>
              <w:spacing w:after="0" w:line="250"/>
            </w:pPr>
            <w:r>
              <w:rPr>
                <w:sz w:val="19"/>
                <w:szCs w:val="19"/>
              </w:rPr>
              <w:t xml:space="preserve">The commit is performed by a caseworker at the human sign-off gate; the agent cannot finalize (Cedar no-self-commit).</w:t>
            </w:r>
          </w:p>
        </w:tc>
        <w:tc>
          <w:tcPr>
            <w:tcW w:type="dxa" w:w="3700"/>
            <w:shd w:fill="FFFFFF"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r>
        <w:tc>
          <w:tcPr>
            <w:tcW w:type="dxa" w:w="2650"/>
            <w:shd w:fill="F4F8FA" w:val="clear"/>
            <w:tcMar>
              <w:top w:type="dxa" w:w="60"/>
              <w:left w:type="dxa" w:w="110"/>
              <w:bottom w:type="dxa" w:w="60"/>
              <w:right w:type="dxa" w:w="110"/>
            </w:tcMar>
          </w:tcPr>
          <w:p>
            <w:pPr>
              <w:spacing w:after="0" w:line="250"/>
            </w:pPr>
            <w:r>
              <w:rPr>
                <w:sz w:val="19"/>
                <w:szCs w:val="19"/>
              </w:rPr>
              <w:t xml:space="preserve">Advance notice before an ADVERSE change</w:t>
            </w:r>
          </w:p>
        </w:tc>
        <w:tc>
          <w:tcPr>
            <w:tcW w:type="dxa" w:w="4090"/>
            <w:shd w:fill="F4F8FA" w:val="clear"/>
            <w:tcMar>
              <w:top w:type="dxa" w:w="60"/>
              <w:left w:type="dxa" w:w="110"/>
              <w:bottom w:type="dxa" w:w="60"/>
              <w:right w:type="dxa" w:w="110"/>
            </w:tcMar>
          </w:tcPr>
          <w:p>
            <w:pPr>
              <w:spacing w:after="0" w:line="250"/>
            </w:pPr>
            <w:r>
              <w:rPr>
                <w:sz w:val="19"/>
                <w:szCs w:val="19"/>
              </w:rPr>
              <w:t xml:space="preserve">redetermine (changed-circumstances re-determination) classifies the change and, on an ADVERSE result (reduction or termination), flags that timely, adequate ADVANCE written notice and a fair-hearing right are required before the action takes effect.</w:t>
            </w:r>
          </w:p>
        </w:tc>
        <w:tc>
          <w:tcPr>
            <w:tcW w:type="dxa" w:w="3700"/>
            <w:shd w:fill="F4F8FA"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the advance-notice period and notice content; the commit routes through the human gate carrying that notice.</w:t>
            </w:r>
          </w:p>
        </w:tc>
      </w:tr>
      <w:tr>
        <w:tc>
          <w:tcPr>
            <w:tcW w:type="dxa" w:w="2650"/>
            <w:shd w:fill="FFFFFF" w:val="clear"/>
            <w:tcMar>
              <w:top w:type="dxa" w:w="60"/>
              <w:left w:type="dxa" w:w="110"/>
              <w:bottom w:type="dxa" w:w="60"/>
              <w:right w:type="dxa" w:w="110"/>
            </w:tcMar>
          </w:tcPr>
          <w:p>
            <w:pPr>
              <w:spacing w:after="0" w:line="250"/>
            </w:pPr>
            <w:r>
              <w:rPr>
                <w:sz w:val="19"/>
                <w:szCs w:val="19"/>
              </w:rPr>
              <w:t xml:space="preserve">Overpayment handling stays with a human</w:t>
            </w:r>
          </w:p>
        </w:tc>
        <w:tc>
          <w:tcPr>
            <w:tcW w:type="dxa" w:w="4090"/>
            <w:shd w:fill="FFFFFF" w:val="clear"/>
            <w:tcMar>
              <w:top w:type="dxa" w:w="60"/>
              <w:left w:type="dxa" w:w="110"/>
              <w:bottom w:type="dxa" w:w="60"/>
              <w:right w:type="dxa" w:w="110"/>
            </w:tcMar>
          </w:tcPr>
          <w:p>
            <w:pPr>
              <w:spacing w:after="0" w:line="250"/>
            </w:pPr>
            <w:r>
              <w:rPr>
                <w:sz w:val="19"/>
                <w:szCs w:val="19"/>
              </w:rPr>
              <w:t xml:space="preserve">detect_overpayment computes an overpayment deterministically; recovery, and any suspected-fraud referral, are human decisions — refer_fraud is forbidden to the agent (no_self_fraud_referral).</w:t>
            </w:r>
          </w:p>
        </w:tc>
        <w:tc>
          <w:tcPr>
            <w:tcW w:type="dxa" w:w="3700"/>
            <w:shd w:fill="FFFFFF" w:val="clear"/>
            <w:tcMar>
              <w:top w:type="dxa" w:w="60"/>
              <w:left w:type="dxa" w:w="110"/>
              <w:bottom w:type="dxa" w:w="60"/>
              <w:right w:type="dxa" w:w="110"/>
            </w:tcMar>
          </w:tcPr>
          <w:p>
            <w:pPr>
              <w:spacing w:after="0" w:line="250"/>
            </w:pPr>
            <w:r>
              <w:rPr>
                <w:sz w:val="19"/>
                <w:szCs w:val="19"/>
              </w:rPr>
              <w:t xml:space="preserve">Cedar forbid + the human gate; agency owns recovery notice and appeal rights.</w:t>
            </w:r>
          </w:p>
        </w:tc>
      </w:tr>
    </w:tbl>
    <w:p>
      <w:pPr>
        <w:pStyle w:val="Heading1"/>
      </w:pPr>
      <w:r>
        <w:t xml:space="preserve">5. IRS Publication 1075 (FTI) mapping</w:t>
      </w:r>
    </w:p>
    <w:p>
      <w:r>
        <w:t xml:space="preserve">Where the case uses Federal Tax Information for income verification, Pub 1075 requires strict safeguarding — restricted access, audit of every access, and protection against unauthorized disclosure. The accelerator de-identifies PII before the model or the audit sees it, and constrains access by least privilege. A safeguarding agreement and the agency's Pub 1075 program remain prerequisites for handling real FTI.</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Pub 1075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agency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Minimize access to FTI/PII</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PII (name, SSN, address, date of birth, and more) before drafting and before the audit — fail-closed: if masking cannot run, no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demo proves name/SSN redaction and the fail-closed path.</w:t>
            </w:r>
          </w:p>
        </w:tc>
      </w:tr>
      <w:tr>
        <w:tc>
          <w:tcPr>
            <w:tcW w:type="dxa" w:w="2500"/>
            <w:shd w:fill="F4F8FA" w:val="clear"/>
            <w:tcMar>
              <w:top w:type="dxa" w:w="60"/>
              <w:left w:type="dxa" w:w="110"/>
              <w:bottom w:type="dxa" w:w="60"/>
              <w:right w:type="dxa" w:w="110"/>
            </w:tcMar>
          </w:tcPr>
          <w:p>
            <w:pPr>
              <w:spacing w:after="0" w:line="250"/>
            </w:pPr>
            <w:r>
              <w:rPr>
                <w:sz w:val="19"/>
                <w:szCs w:val="19"/>
              </w:rPr>
              <w:t xml:space="preserve">Restrict access to authorized users</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caseworker's identity and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deny strings name the firing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every access and disclosure</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content hash and timestamp; duplicates are rejected.</w:t>
            </w:r>
          </w:p>
        </w:tc>
        <w:tc>
          <w:tcPr>
            <w:tcW w:type="dxa" w:w="3700"/>
            <w:shd w:fill="FFFFFF" w:val="clear"/>
            <w:tcMar>
              <w:top w:type="dxa" w:w="60"/>
              <w:left w:type="dxa" w:w="110"/>
              <w:bottom w:type="dxa" w:w="60"/>
              <w:right w:type="dxa" w:w="110"/>
            </w:tcMar>
          </w:tcPr>
          <w:p>
            <w:pPr>
              <w:spacing w:after="0" w:line="250"/>
            </w:pPr>
            <w:r>
              <w:rPr>
                <w:sz w:val="19"/>
                <w:szCs w:val="19"/>
              </w:rPr>
              <w:t xml:space="preserve">The ben-audit ledger + WORM bucket; demo proves write-once +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Least privilege</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caseworker's permissions; the finalize action is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FTI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agency's AWS account; PII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safeguarding agreement, KMS/encryption, network controls, Pub 1075 program &amp; SAR.</w:t>
            </w:r>
          </w:p>
        </w:tc>
      </w:tr>
    </w:tbl>
    <w:p>
      <w:pPr>
        <w:pStyle w:val="Heading1"/>
      </w:pPr>
      <w:r>
        <w:t xml:space="preserve">6. StateRAMP / NIST SP 800-53 mapping</w:t>
      </w:r>
    </w:p>
    <w:p>
      <w:r>
        <w:t xml:space="preserve">State systems are typically authorized under StateRAMP, which is built on NIST SP 800-53 control families. The accelerator implements technical controls in the access-control, audit, and system-integrity families; the authorization package and continuous monitoring are the agency's.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NIST 800-53 family</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agency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AC — Access Control</w:t>
            </w:r>
          </w:p>
        </w:tc>
        <w:tc>
          <w:tcPr>
            <w:tcW w:type="dxa" w:w="4240"/>
            <w:shd w:fill="FFFFFF"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caseworker group.</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agency federates its IdP and maps roles.</w:t>
            </w:r>
          </w:p>
        </w:tc>
      </w:tr>
      <w:tr>
        <w:tc>
          <w:tcPr>
            <w:tcW w:type="dxa" w:w="2500"/>
            <w:shd w:fill="F4F8FA" w:val="clear"/>
            <w:tcMar>
              <w:top w:type="dxa" w:w="60"/>
              <w:left w:type="dxa" w:w="110"/>
              <w:bottom w:type="dxa" w:w="60"/>
              <w:right w:type="dxa" w:w="110"/>
            </w:tcMar>
          </w:tcPr>
          <w:p>
            <w:pPr>
              <w:spacing w:after="0" w:line="250"/>
            </w:pPr>
            <w:r>
              <w:rPr>
                <w:sz w:val="19"/>
                <w:szCs w:val="19"/>
              </w:rPr>
              <w:t xml:space="preserve">AU — Audit &amp; Accountability</w:t>
            </w:r>
          </w:p>
        </w:tc>
        <w:tc>
          <w:tcPr>
            <w:tcW w:type="dxa" w:w="4240"/>
            <w:shd w:fill="F4F8FA" w:val="clear"/>
            <w:tcMar>
              <w:top w:type="dxa" w:w="60"/>
              <w:left w:type="dxa" w:w="110"/>
              <w:bottom w:type="dxa" w:w="60"/>
              <w:right w:type="dxa" w:w="110"/>
            </w:tcMar>
          </w:tcPr>
          <w:p>
            <w:pPr>
              <w:spacing w:after="0" w:line="250"/>
            </w:pPr>
            <w:r>
              <w:rPr>
                <w:sz w:val="19"/>
                <w:szCs w:val="19"/>
              </w:rPr>
              <w:t xml:space="preserve">Immutable WORM audit of every decision and state change (append-only DynamoDB + S3 Object Lock), with identity-tagged, OTel-correlated logs.</w:t>
            </w:r>
          </w:p>
        </w:tc>
        <w:tc>
          <w:tcPr>
            <w:tcW w:type="dxa" w:w="3700"/>
            <w:shd w:fill="F4F8FA" w:val="clear"/>
            <w:tcMar>
              <w:top w:type="dxa" w:w="60"/>
              <w:left w:type="dxa" w:w="110"/>
              <w:bottom w:type="dxa" w:w="60"/>
              <w:right w:type="dxa" w:w="110"/>
            </w:tcMar>
          </w:tcPr>
          <w:p>
            <w:pPr>
              <w:spacing w:after="0" w:line="250"/>
            </w:pPr>
            <w:r>
              <w:rPr>
                <w:sz w:val="19"/>
                <w:szCs w:val="19"/>
              </w:rPr>
              <w:t xml:space="preserve">Live; agency sets retention and log aggregation.</w:t>
            </w:r>
          </w:p>
        </w:tc>
      </w:tr>
      <w:tr>
        <w:tc>
          <w:tcPr>
            <w:tcW w:type="dxa" w:w="2500"/>
            <w:shd w:fill="FFFFFF" w:val="clear"/>
            <w:tcMar>
              <w:top w:type="dxa" w:w="60"/>
              <w:left w:type="dxa" w:w="110"/>
              <w:bottom w:type="dxa" w:w="60"/>
              <w:right w:type="dxa" w:w="110"/>
            </w:tcMar>
          </w:tcPr>
          <w:p>
            <w:pPr>
              <w:spacing w:after="0" w:line="250"/>
            </w:pPr>
            <w:r>
              <w:rPr>
                <w:sz w:val="19"/>
                <w:szCs w:val="19"/>
              </w:rPr>
              <w:t xml:space="preserve">SI — System &amp; Information Integrity</w:t>
            </w:r>
          </w:p>
        </w:tc>
        <w:tc>
          <w:tcPr>
            <w:tcW w:type="dxa" w:w="4240"/>
            <w:shd w:fill="FFFFFF" w:val="clear"/>
            <w:tcMar>
              <w:top w:type="dxa" w:w="60"/>
              <w:left w:type="dxa" w:w="110"/>
              <w:bottom w:type="dxa" w:w="60"/>
              <w:right w:type="dxa" w:w="110"/>
            </w:tcMar>
          </w:tcPr>
          <w:p>
            <w:pPr>
              <w:spacing w:after="0" w:line="250"/>
            </w:pPr>
            <w:r>
              <w:rPr>
                <w:sz w:val="19"/>
                <w:szCs w:val="19"/>
              </w:rPr>
              <w:t xml:space="preserve">Fail-closed PII masking and a fail-closed Bedrock output guardrail (PII anonymize + prompt-attack HIGH) on every drafted notice.</w:t>
            </w:r>
          </w:p>
        </w:tc>
        <w:tc>
          <w:tcPr>
            <w:tcW w:type="dxa" w:w="3700"/>
            <w:shd w:fill="FFFFFF" w:val="clear"/>
            <w:tcMar>
              <w:top w:type="dxa" w:w="60"/>
              <w:left w:type="dxa" w:w="110"/>
              <w:bottom w:type="dxa" w:w="60"/>
              <w:right w:type="dxa" w:w="110"/>
            </w:tcMar>
          </w:tcPr>
          <w:p>
            <w:pPr>
              <w:spacing w:after="0" w:line="250"/>
            </w:pPr>
            <w:r>
              <w:rPr>
                <w:sz w:val="19"/>
                <w:szCs w:val="19"/>
              </w:rPr>
              <w:t xml:space="preserve">Live; agency tunes guardrail policy.</w:t>
            </w:r>
          </w:p>
        </w:tc>
      </w:tr>
      <w:tr>
        <w:tc>
          <w:tcPr>
            <w:tcW w:type="dxa" w:w="2500"/>
            <w:shd w:fill="F4F8FA" w:val="clear"/>
            <w:tcMar>
              <w:top w:type="dxa" w:w="60"/>
              <w:left w:type="dxa" w:w="110"/>
              <w:bottom w:type="dxa" w:w="60"/>
              <w:right w:type="dxa" w:w="110"/>
            </w:tcMar>
          </w:tcPr>
          <w:p>
            <w:pPr>
              <w:spacing w:after="0" w:line="250"/>
            </w:pPr>
            <w:r>
              <w:rPr>
                <w:sz w:val="19"/>
                <w:szCs w:val="19"/>
              </w:rPr>
              <w:t xml:space="preserve">IA — Identification &amp; Authentication</w:t>
            </w:r>
          </w:p>
        </w:tc>
        <w:tc>
          <w:tcPr>
            <w:tcW w:type="dxa" w:w="4240"/>
            <w:shd w:fill="F4F8FA" w:val="clear"/>
            <w:tcMar>
              <w:top w:type="dxa" w:w="60"/>
              <w:left w:type="dxa" w:w="110"/>
              <w:bottom w:type="dxa" w:w="60"/>
              <w:right w:type="dxa" w:w="110"/>
            </w:tcMar>
          </w:tcPr>
          <w:p>
            <w:pPr>
              <w:spacing w:after="0" w:line="250"/>
            </w:pPr>
            <w:r>
              <w:rPr>
                <w:sz w:val="19"/>
                <w:szCs w:val="19"/>
              </w:rPr>
              <w:t xml:space="preserve">JWT inbound authorizer validates the caseworker before any tool runs.</w:t>
            </w:r>
          </w:p>
        </w:tc>
        <w:tc>
          <w:tcPr>
            <w:tcW w:type="dxa" w:w="3700"/>
            <w:shd w:fill="F4F8FA"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IdP federation, MFA, and account lifecycle.</w:t>
            </w:r>
          </w:p>
        </w:tc>
      </w:tr>
      <w:tr>
        <w:tc>
          <w:tcPr>
            <w:tcW w:type="dxa" w:w="2500"/>
            <w:shd w:fill="FFFFFF" w:val="clear"/>
            <w:tcMar>
              <w:top w:type="dxa" w:w="60"/>
              <w:left w:type="dxa" w:w="110"/>
              <w:bottom w:type="dxa" w:w="60"/>
              <w:right w:type="dxa" w:w="110"/>
            </w:tcMar>
          </w:tcPr>
          <w:p>
            <w:pPr>
              <w:spacing w:after="0" w:line="250"/>
            </w:pPr>
            <w:r>
              <w:rPr>
                <w:sz w:val="19"/>
                <w:szCs w:val="19"/>
              </w:rPr>
              <w:t xml:space="preserve">CA/CM — Assessment &amp; Configuration Mgmt</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and a 29-check governance test harness that runs in enforcement mode.</w:t>
            </w:r>
          </w:p>
        </w:tc>
        <w:tc>
          <w:tcPr>
            <w:tcW w:type="dxa" w:w="3700"/>
            <w:shd w:fill="FFFFFF" w:val="clear"/>
            <w:tcMar>
              <w:top w:type="dxa" w:w="60"/>
              <w:left w:type="dxa" w:w="110"/>
              <w:bottom w:type="dxa" w:w="60"/>
              <w:right w:type="dxa" w:w="110"/>
            </w:tcMar>
          </w:tcPr>
          <w:p>
            <w:pPr>
              <w:spacing w:after="0" w:line="250"/>
            </w:pPr>
            <w:r>
              <w:rPr>
                <w:b/>
                <w:bCs/>
                <w:sz w:val="19"/>
                <w:szCs w:val="19"/>
              </w:rPr>
              <w:t xml:space="preserve">Agency: </w:t>
            </w:r>
          </w:p>
          <w:p>
            <w:pPr>
              <w:spacing w:after="0" w:line="250"/>
            </w:pPr>
            <w:r>
              <w:rPr>
                <w:sz w:val="19"/>
                <w:szCs w:val="19"/>
              </w:rPr>
              <w:t xml:space="preserve">the StateRAMP authorization package and continuous monitoring.</w:t>
            </w:r>
          </w:p>
        </w:tc>
      </w:tr>
    </w:tbl>
    <w:p>
      <w:pPr>
        <w:pStyle w:val="Heading1"/>
      </w:pPr>
      <w:r>
        <w:t xml:space="preserve">7. Separation of duties &amp; the human sign-off gate</w:t>
      </w:r>
    </w:p>
    <w:p>
      <w:r>
        <w:t xml:space="preserve">The single most important control for due process and program integrity is that a qualified caseworker — not the agent — makes and commits the determination. The accelerator enforces this structurally:</w:t>
      </w:r>
    </w:p>
    <w:p>
      <w:pPr>
        <w:pStyle w:val="ListParagraph"/>
        <w:numPr>
          <w:ilvl w:val="0"/>
          <w:numId w:val="1"/>
        </w:numPr>
        <w:spacing w:after="70" w:line="260"/>
      </w:pPr>
      <w:r>
        <w:rPr>
          <w:b/>
          <w:bCs/>
        </w:rPr>
        <w:t xml:space="preserve">The agent cannot commit. </w:t>
      </w:r>
      <w:r>
        <w:t xml:space="preserve">The finalize_determination action is forbidden by a Cedar policy and is hidden from the agent entirely; it is not reachable as a tool.</w:t>
      </w:r>
    </w:p>
    <w:p>
      <w:pPr>
        <w:pStyle w:val="ListParagraph"/>
        <w:numPr>
          <w:ilvl w:val="0"/>
          <w:numId w:val="1"/>
        </w:numPr>
        <w:spacing w:after="70" w:line="260"/>
      </w:pPr>
      <w:r>
        <w:rPr>
          <w:b/>
          <w:bCs/>
        </w:rPr>
        <w:t xml:space="preserve">Commitment runs only through the gate. </w:t>
      </w:r>
      <w:r>
        <w:t xml:space="preserve">The sanctioned path is a request for sign-off that starts a Step Functions workflow, which pauses until a caseworker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determination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Proven live</w:t>
            </w:r>
          </w:p>
          <w:p>
            <w:pPr>
              <w:spacing w:after="20" w:line="258"/>
            </w:pPr>
            <w:r>
              <w:t xml:space="preserve">In enforcement mode: a caseworker's request to self-approve is blocked as a separation-of-duties violation; a different qualified caseworker's approval succeeds; the determination finalizes only after approval; and re-using the token is rejected.</w:t>
            </w:r>
          </w:p>
        </w:tc>
      </w:tr>
    </w:tbl>
    <w:p>
      <w:pPr>
        <w:pStyle w:val="Heading1"/>
      </w:pPr>
      <w:r>
        <w:t xml:space="preserve">8. Shared responsibility</w:t>
      </w:r>
    </w:p>
    <w:p>
      <w:r>
        <w:t xml:space="preserve">The accelerator provides the pattern, the controls, and the evidence. Authorization and the connection to the agency's real systems and rules remain the agency's.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agency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Authorization to operate (StateRAMP / ATO) and continuous monitoring</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PII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caseworker role mapping to the workforce</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state benefits system of record</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eligibility rules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program rules/thresholds and their legal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Data-retention policy and records management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Reproducible IaC + the 29-check governance harness</w:t>
            </w:r>
          </w:p>
        </w:tc>
        <w:tc>
          <w:tcPr>
            <w:tcW w:type="dxa" w:w="5220"/>
            <w:shd w:fill="F4F8FA" w:val="clear"/>
            <w:tcMar>
              <w:top w:type="dxa" w:w="60"/>
              <w:left w:type="dxa" w:w="110"/>
              <w:bottom w:type="dxa" w:w="60"/>
              <w:right w:type="dxa" w:w="110"/>
            </w:tcMar>
          </w:tcPr>
          <w:p>
            <w:pPr>
              <w:spacing w:after="0" w:line="250"/>
            </w:pPr>
            <w:r>
              <w:rPr>
                <w:sz w:val="19"/>
                <w:szCs w:val="19"/>
              </w:rPr>
              <w:t xml:space="preserve">Notice language, appeal rights, and the fair-hearing process (legal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FFFFF" w:val="clear"/>
            <w:tcMar>
              <w:top w:type="dxa" w:w="60"/>
              <w:left w:type="dxa" w:w="110"/>
              <w:bottom w:type="dxa" w:w="60"/>
              <w:right w:type="dxa" w:w="110"/>
            </w:tcMar>
          </w:tcPr>
          <w:p>
            <w:pPr>
              <w:spacing w:after="0" w:line="250"/>
            </w:pPr>
            <w:r>
              <w:rPr>
                <w:sz w:val="19"/>
                <w:szCs w:val="19"/>
              </w:rPr>
              <w:t xml:space="preserve">Pub 1075 safeguarding program and the safeguard security report, where FTI is used</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or attestation of compliance with the Social Security Act, program regulations, constitutional due process, IRS Publication 1075, StateRAMP, NIST SP 800-53, or any other authority. Eligibility determinations have direct legal consequences for applicants; the correctness of program rules, thresholds, and notices, and the lawfulness of the process, depend on the agency's validated implementation, policies, legal review, and use. The poverty guidelines and program thresholds shipped with the accelerator are illustrative federal defaults, not authoritative program rules. Consult your legal, privacy, and program functions before processing real applicant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Benefits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2026-07-19T20:24:05.427Z</dcterms:created>
  <dcterms:modified xsi:type="dcterms:W3CDTF">2026-07-19T20:24:05.428Z</dcterms:modified>
</cp:coreProperties>
</file>

<file path=docProps/custom.xml><?xml version="1.0" encoding="utf-8"?>
<Properties xmlns="http://schemas.openxmlformats.org/officeDocument/2006/custom-properties" xmlns:vt="http://schemas.openxmlformats.org/officeDocument/2006/docPropsVTypes"/>
</file>