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Benefits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public-benefits eligibility accelerator into an AWS account — identity, governance spine, tools, and the Runtime agent — from one manifest. Region: us-east-1. Accelerator reference; not production-certified.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benefits-eligibility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28-check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agents/benefits-eligibility/manifest.yaml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Authorization to operate (StateRAMP / ATO), IdP federation, validated connectors to the state benefits system of record, the authoritative program rules, and legal review of notices are agency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agents/benefits-eligibility/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ben-eligibility, app client ben-gw, users caseworker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ben_eligibility_authz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ben-eligibility-gw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ben-intake-application, ben-mask-pii, ben-assess-eligibility, ben-redetermine, ben-overpayment, ben-core-tools, ben-write-audit, ben-request-signoff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ben-eligibility-guardrail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(append-only) + S3 Object Lock bucket ben-audit-worm-&lt;acct&gt;-&lt;region&gt;;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ben-signoff + DynamoDB ben-pending-approvals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/ben-eligibility/gateway-url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benefits_runtime_agent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agents/benefits-eligibility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ben-eligibility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benefits_caseworker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agents/benefits-eligibility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</w:t>
            </w:r>
          </w:p>
        </w:tc>
      </w:tr>
    </w:tbl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Prove the governance (28 checks)</w:t>
      </w:r>
    </w:p>
    <w:p>
      <w:r>
        <w:t xml:space="preserve">Mints caseworker and outsider tokens and exercises the full governed workflow live, in ENFORCE mode. Expect 28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agents/benefits-eligibility</w:t>
      </w:r>
    </w:p>
    <w:p>
      <w:r>
        <w:t xml:space="preserve">The demo proves deny-by-default (caseworker ALLOW / outsider DENY), the mask-before-assess and mask-before-draft forbids and no-self-commit (each denial names the exact Cedar policy), real PII masking (name/SSN redaction), the eligibility determination + processing clock (using the authoritative 2026 HHS poverty guidelines, with the source stamped into the determination), a real Bedrock determination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redetermine</w:t>
      </w:r>
      <w:r>
        <w:t xml:space="preserve"> (a changed-circumstances re-determination that, on an ADVERSE result, flags that timely advance due-process notice is required — Goldberg v. Kelly),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detect_overpayment</w:t>
      </w:r>
      <w:r>
        <w:t xml:space="preserve"> (deterministic overpayment math),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refer_fraud</w:t>
      </w:r>
      <w:r>
        <w:t xml:space="preserve"> — a consequential, 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no_self_fraud_referral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agents/benefits-eligibility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agents/benefits-eligibility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agents/benefits-eligibility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caseworker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caseworker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caseworker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outsider $BEN_OUTSIDER_PW</w:t>
      </w:r>
    </w:p>
    <w:p>
      <w:r>
        <w:t xml:space="preserve">Expected: the caseworker returns a workflow summary (eligibility determination, income vs. FPL, processing clock, drafted notice,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agents/benefits-eligibility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MOCK-SoR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agents/benefits-eligibility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agents/benefits-eligibility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GROUP_MAP='{"BenefitsCaseworkers":"caseworker"}'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agents/benefits-eligibility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agents/benefits-eligibility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ben-eligibility-guardrail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Eligibility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FPL base 15650, +5500/member, 130% gross limit, expedited &lt; 150 income / 100 resources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/ben-eligibility/gateway-url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benefits_caseworker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+ S3 ben-audit-worm-&lt;acct&gt;-&lt;region&gt;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poverty guidelines and thresholds in assess_eligibility are illustrative federal defaults — replace them with the authoritative program rules, under legal review, before any real use.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28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/ben-eligibility/gateway-url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caseworker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/aws/bedrock-agentcore/runtimes/benefits_runtime_agent-*-DEFAULT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agents/benefits-eligibility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&lt;ben-sor-api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ben-sor-oauth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ben-verify-source-wi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ben-connector-exec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(ben-sor-&lt;acct&gt;),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ben-signoff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arn:aws:states:&lt;region&gt;:&lt;acct&gt;:stateMachine:ben-signoff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Multiple template agents coexist — policy names are prefixed per agent</w:t>
            </w:r>
          </w:p>
          <w:p>
            <w:pPr>
              <w:spacing w:after="20" w:line="258"/>
            </w:pPr>
            <w:r>
              <w:t xml:space="preserve">AgentCore Policy names are unique per account/region, so the template prefixes every policy name with the agent’s short code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fa_mask_before_assess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pv_no_self_submit</w:t>
            </w:r>
            <w:r>
              <w:t xml:space="preserve">, …)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. Several template agents therefore run side by side in one account with no collision (validated with three spines live at once). </w:t>
            </w:r>
            <w:r>
              <w:rPr>
                <w:b/>
                <w:bCs/>
              </w:rPr>
              <w:t xml:space="preserve">Only older, unprefixed checkouts</w:t>
            </w:r>
            <w:r>
              <w:t xml:space="preserve"> shared names like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 and failed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</w:t>
            </w:r>
            <w:r>
              <w:t xml:space="preserve">; if you pin one, deploy a single agent at a time or update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 to prefix.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(some are handled inside the scripts;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C:\...\eligibility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/c/Users/.../eligibility: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C:\...\benefits_eligibility_agent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single-argument runner.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Benefits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2026-07-18T16:39:43.981Z</dcterms:created>
  <dcterms:modified xsi:type="dcterms:W3CDTF">2026-07-18T16:39:43.997Z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