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Benefits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benefits-eligibility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caseworker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agents/benefits-eligibility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agents/benefits-eligibility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agents/benefits-eligibility   # smoke test: expect 21/21</w:t>
      </w:r>
    </w:p>
    <w:p>
      <w:r>
        <w:rPr>
          <w:b/>
          <w:bCs/>
        </w:rPr>
        <w:t xml:space="preserve">Note: </w:t>
      </w:r>
      <w:r>
        <w:t xml:space="preserve">run cycles serialized — never two concurrent spine deploys.</w:t>
      </w:r>
    </w:p>
    <w:p>
      <w:pPr>
        <w:pStyle w:val="Heading2"/>
      </w:pPr>
      <w:r>
        <w:t xml:space="preserve">2.2 Change the eligibility rules or a tool</w:t>
      </w:r>
    </w:p>
    <w:p>
      <w:r>
        <w:t xml:space="preserve">The eligibility thresholds live in </w:t>
      </w:r>
      <w:r>
        <w:rPr>
          <w:rFonts w:ascii="Consolas" w:cs="Consolas" w:eastAsia="Consolas" w:hAnsi="Consolas"/>
          <w:color w:val="1B3A2B"/>
          <w:sz w:val="18"/>
          <w:szCs w:val="18"/>
        </w:rPr>
        <w:t xml:space="preserve">agents/benefits-eligibility/tools/assess_eligibility.py</w:t>
      </w:r>
      <w:r>
        <w:t xml:space="preserve"> (poverty-guideline base and increment, the 130% gross-income limit, and the expedited-service triggers).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agents/benefits-eligibility/tools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assess_eligibility.py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ben-assess-eligibility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program rules</w:t>
            </w:r>
          </w:p>
          <w:p>
            <w:pPr>
              <w:spacing w:after="20" w:line="258"/>
            </w:pPr>
            <w:r>
              <w:t xml:space="preserve">The shipped thresholds are illustrative federal defaults for demonstration. Replace them with the authoritative program rules for your program, state, and benefit year, under legal review, before any real determination. The rules engine is deliberately deterministic and model-free so a caseworker can defend each determination at a fair hearing.</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"*benefits_caseworker*"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ben-eligibility-guardrail</w:t>
      </w:r>
      <w:r>
        <w:t xml:space="preserve"> (PII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PII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ben-core-tools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agents/benefits-eligibility</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agency's real identity provider and map workforce roles to the </w:t>
      </w:r>
      <w:r>
        <w:rPr>
          <w:rFonts w:ascii="Consolas" w:cs="Consolas" w:eastAsia="Consolas" w:hAnsi="Consolas"/>
          <w:color w:val="1B3A2B"/>
          <w:sz w:val="18"/>
          <w:szCs w:val="18"/>
        </w:rPr>
        <w:t xml:space="preserve">benefits_caseworker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agents/benefits-eligibility</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/ben-eligibility/gateway-url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agents/benefits-eligibility</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agents/benefits-eligibility caseworker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/aws/bedrock-agentcore/runtimes/benefits_runtime_agent-&lt;id&gt;-DEFAULT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agents/benefits-eligibility</w:t>
      </w:r>
      <w:r>
        <w:t xml:space="preserve"> is the fastest health check — 21/21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ben-audit</w:t>
      </w:r>
      <w:r>
        <w:t xml:space="preserve"> (point-in-time recovery enabled) and the S3 Object Lock bucket </w:t>
      </w:r>
      <w:r>
        <w:rPr>
          <w:rFonts w:ascii="Consolas" w:cs="Consolas" w:eastAsia="Consolas" w:hAnsi="Consolas"/>
          <w:color w:val="1B3A2B"/>
          <w:sz w:val="18"/>
          <w:szCs w:val="18"/>
        </w:rPr>
        <w:t xml:space="preserve">ben-audit-worm-&lt;acct&gt;-&lt;region&gt;</w:t>
      </w:r>
      <w:r>
        <w:t xml:space="preserve">. Together they are the due-process and Pub 1075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ben-audit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s3://ben-audit-worm-&lt;acct&gt;-us-east-1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agents/benefits-eligibility</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FFFFF"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4F8FA"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/ben-eligibility/gateway-url exists and matches the live gateway; the deploy sets MSYS_NO_PATHCONV=1 so the name isn't mangled on Windows.</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4F8FA"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FFFFF"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FFFFF"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Benefits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2026-07-17T02:05:52.943Z</dcterms:created>
  <dcterms:modified xsi:type="dcterms:W3CDTF">2026-07-17T02:05:52.943Z</dcterms:modified>
</cp:coreProperties>
</file>

<file path=docProps/custom.xml><?xml version="1.0" encoding="utf-8"?>
<Properties xmlns="http://schemas.openxmlformats.org/officeDocument/2006/custom-properties" xmlns:vt="http://schemas.openxmlformats.org/officeDocument/2006/docPropsVTypes"/>
</file>