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pharmacovigilance (drug-safety)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safety-reviewer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lib/engine/demo.sh    agents/pharmacovigilance   # smoke test: expect 32/32</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lib/engine/redteam.sh agents/pharmacovigilance   # adversarial: expect 7/7</w:t>
      </w:r>
    </w:p>
    <w:p>
      <w:r>
        <w:rPr>
          <w:b/>
          <w:bCs/>
        </w:rPr>
        <w:t xml:space="preserve">Note: </w:t>
      </w:r>
      <w:r>
        <w:t xml:space="preserve">run cycles serialized — never two concurrent spine deploys. Deploy from a path without spaces (§7).</w:t>
      </w:r>
    </w:p>
    <w:p>
      <w:pPr>
        <w:pStyle w:val="Heading2"/>
      </w:pPr>
      <w:r>
        <w:t xml:space="preserve">2.2 Change the seriousness rules or a tool</w:t>
      </w:r>
    </w:p>
    <w:p>
      <w:r>
        <w:t xml:space="preserve">The seriousness criteria and reporting clock live in </w:t>
      </w:r>
      <w:r>
        <w:rPr>
          <w:rFonts w:ascii="Consolas" w:cs="Consolas" w:eastAsia="Consolas" w:hAnsi="Consolas"/>
          <w:color w:val="1B3A2B"/>
          <w:sz w:val="18"/>
          <w:szCs w:val="18"/>
        </w:rPr>
        <w:t xml:space="preserve">agents/pharmacovigilance/tools/assess_seriousness.py</w:t>
      </w:r>
      <w:r>
        <w:t xml:space="preserve"> (the six ICH E2B(R3) criteria and the expedited/periodic/routine clock logic).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agents/pharmacovigilance/tools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assess_seriousness.py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pv-assess-seriousness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authoritative rules</w:t>
            </w:r>
          </w:p>
          <w:p>
            <w:pPr>
              <w:spacing w:after="20" w:line="258"/>
            </w:pPr>
            <w:r>
              <w:t xml:space="preserve">The shipped seriousness criteria and reporting clocks are illustrative regulatory defaults for demonstration. Replace them with the authoritative, market-specific reporting rules (e.g. IND 7-day, EU GVP timelines), under regulatory review, before any real determination. The rules engine is deliberately deterministic and model-free so a qualified person can defend each determination. MedDRA/WHODrug coding and safety-system connectors ship as labeled stubs — replace them with the licensed dictionaries and validated connectors.</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"*pv_reviewer*"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 Policy names are prefixed per agent (</w:t>
      </w:r>
      <w:r>
        <w:rPr>
          <w:rFonts w:ascii="Consolas" w:cs="Consolas" w:eastAsia="Consolas" w:hAnsi="Consolas"/>
          <w:color w:val="1B3A2B"/>
          <w:sz w:val="18"/>
          <w:szCs w:val="18"/>
        </w:rPr>
        <w:t xml:space="preserve">pv_mask_before_assess</w:t>
      </w:r>
      <w:r>
        <w:t xml:space="preserve">) so multiple agents coexist in one account/region.</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pv-pharmacovigilance-guardrail</w:t>
      </w:r>
      <w:r>
        <w:t xml:space="preserve"> (PHI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PHI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draft_narrative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pv-core-tools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agents/pharmacovigilance</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sponsor's real identity provider and map workforce roles (safety reviewer / qualified person / senior safety physician) to the </w:t>
      </w:r>
      <w:r>
        <w:rPr>
          <w:rFonts w:ascii="Consolas" w:cs="Consolas" w:eastAsia="Consolas" w:hAnsi="Consolas"/>
          <w:color w:val="1B3A2B"/>
          <w:sz w:val="18"/>
          <w:szCs w:val="18"/>
        </w:rPr>
        <w:t xml:space="preserve">pv_reviewer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agents/pharmacovigilance</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/pv-pharmacovigilance/gateway-url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agents/pharmacovigilance</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agents/pharmacovigilance pv_reviewer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/aws/bedrock-agentcore/runtimes/pv_runtime_agent-&lt;id&gt;-DEFAULT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agents/pharmacovigilance</w:t>
      </w:r>
      <w:r>
        <w:t xml:space="preserve"> is the fastest health check — 32/32 means the whole governed path is intact; </w:t>
      </w:r>
      <w:r>
        <w:rPr>
          <w:rFonts w:ascii="Consolas" w:cs="Consolas" w:eastAsia="Consolas" w:hAnsi="Consolas"/>
          <w:color w:val="1B3A2B"/>
          <w:sz w:val="18"/>
          <w:szCs w:val="18"/>
        </w:rPr>
        <w:t xml:space="preserve">redteam.sh</w:t>
      </w:r>
      <w:r>
        <w:t xml:space="preserve"> (7/7) confirms it holds under attack.</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narrative, openFDA egress falling back to the deterministic aggregate (network/rate-limit), and any </w:t>
      </w:r>
      <w:r>
        <w:rPr>
          <w:rFonts w:ascii="Consolas" w:cs="Consolas" w:eastAsia="Consolas" w:hAnsi="Consolas"/>
          <w:color w:val="1B3A2B"/>
          <w:sz w:val="18"/>
          <w:szCs w:val="18"/>
        </w:rPr>
        <w:t xml:space="preserve">assess</w:t>
      </w:r>
      <w:r>
        <w:t xml:space="preserve"> or </w:t>
      </w:r>
      <w:r>
        <w:rPr>
          <w:rFonts w:ascii="Consolas" w:cs="Consolas" w:eastAsia="Consolas" w:hAnsi="Consolas"/>
          <w:color w:val="1B3A2B"/>
          <w:sz w:val="18"/>
          <w:szCs w:val="18"/>
        </w:rPr>
        <w:t xml:space="preserve">record_causality</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pv-audit</w:t>
      </w:r>
      <w:r>
        <w:t xml:space="preserve"> (point-in-time recovery enabled) and the S3 Object Lock bucket </w:t>
      </w:r>
      <w:r>
        <w:rPr>
          <w:rFonts w:ascii="Consolas" w:cs="Consolas" w:eastAsia="Consolas" w:hAnsi="Consolas"/>
          <w:color w:val="1B3A2B"/>
          <w:sz w:val="18"/>
          <w:szCs w:val="18"/>
        </w:rPr>
        <w:t xml:space="preserve">pv-audit-worm-&lt;acct&gt;-&lt;region&gt;</w:t>
      </w:r>
      <w:r>
        <w:t xml:space="preserve">. Together they are the 21 CFR Part 11 / GxP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and regulatory-retention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pv-audit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s3://pv-audit-worm-&lt;acct&gt;-us-east-1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agents/pharmacovigilance</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ListParagraph"/>
        <w:numPr>
          <w:ilvl w:val="0"/>
          <w:numId w:val="1"/>
        </w:numPr>
        <w:spacing w:after="70" w:line="260"/>
      </w:pPr>
      <w:r>
        <w:rPr>
          <w:b/>
          <w:bCs/>
        </w:rPr>
        <w:t xml:space="preserve">Stop pending sign-off executions first. </w:t>
      </w:r>
      <w:r>
        <w:t xml:space="preserve">If you invoked the agent and left a submission PENDING (never approved), stop that RUNNING Step Functions execution before teardown — otherwise it keeps </w:t>
      </w:r>
      <w:r>
        <w:rPr>
          <w:rFonts w:ascii="Consolas" w:cs="Consolas" w:eastAsia="Consolas" w:hAnsi="Consolas"/>
          <w:color w:val="1B3A2B"/>
          <w:sz w:val="18"/>
          <w:szCs w:val="18"/>
        </w:rPr>
        <w:t xml:space="preserve">pv-signoff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Deploy fails: StateMachineDeleting on pv-signoff</w:t>
            </w:r>
          </w:p>
        </w:tc>
        <w:tc>
          <w:tcPr>
            <w:tcW w:type="dxa" w:w="7340"/>
            <w:shd w:fill="FFFFFF"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submission that was never approved). It keeps the pv-signoff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Policy with the same name already exists</w:t>
            </w:r>
          </w:p>
        </w:tc>
        <w:tc>
          <w:tcPr>
            <w:tcW w:type="dxa" w:w="7340"/>
            <w:shd w:fill="F4F8FA" w:val="clear"/>
            <w:tcMar>
              <w:top w:type="dxa" w:w="60"/>
              <w:left w:type="dxa" w:w="110"/>
              <w:bottom w:type="dxa" w:w="60"/>
              <w:right w:type="dxa" w:w="110"/>
            </w:tcMar>
          </w:tcPr>
          <w:p>
            <w:pPr>
              <w:spacing w:after="0" w:line="250"/>
            </w:pPr>
            <w:r>
              <w:rPr>
                <w:sz w:val="19"/>
                <w:szCs w:val="19"/>
              </w:rPr>
              <w:t xml:space="preserve">A second template agent was deployed without prefixing while another was live (policy names are unique per account/region). The template prefixes policies per agent (pv_mask_before_assess); deploy prefixed, or run one agent at a time (destroy the live agent first).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…/pharmacovigilance: No such file or directory' (Windows)</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a space and PowerShell mangled the quoting. Deploy from a no-space path (e.g. pv_icsr_agent).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does nothing / empty log (Windows)</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-ArgumentList was passed a multi-token array, which PowerShell joins unquoted and drops the command at the first space. Pass the runner as ONE space-free argument: Start-Process -FilePath '…\bash.exe' -ArgumentList '/c/…/runner.sh' -WindowStyle Hidden. The runner log is block-buffered — verify progress by polling AWS state, not by tailing the log.</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4F8FA"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FFFFF" w:val="clear"/>
            <w:tcMar>
              <w:top w:type="dxa" w:w="60"/>
              <w:left w:type="dxa" w:w="110"/>
              <w:bottom w:type="dxa" w:w="60"/>
              <w:right w:type="dxa" w:w="110"/>
            </w:tcMar>
          </w:tcPr>
          <w:p>
            <w:pPr>
              <w:spacing w:after="0" w:line="250"/>
            </w:pPr>
            <w:r>
              <w:rPr>
                <w:sz w:val="19"/>
                <w:szCs w:val="19"/>
              </w:rPr>
              <w:t xml:space="preserve">SSM parameter missing or stale. Confirm /pv-pharmacovigilance/gateway-url exists and matches the live gateway; the deploy sets MSYS_NO_PATHCONV=1 so the name isn't mangled on Windows.</w:t>
            </w:r>
          </w:p>
        </w:tc>
      </w:tr>
      <w:tr>
        <w:tc>
          <w:tcPr>
            <w:tcW w:type="dxa" w:w="3100"/>
            <w:shd w:fill="F4F8FA" w:val="clear"/>
            <w:tcMar>
              <w:top w:type="dxa" w:w="60"/>
              <w:left w:type="dxa" w:w="110"/>
              <w:bottom w:type="dxa" w:w="60"/>
              <w:right w:type="dxa" w:w="110"/>
            </w:tcMar>
          </w:tcPr>
          <w:p>
            <w:pPr>
              <w:spacing w:after="0" w:line="250"/>
            </w:pPr>
            <w:r>
              <w:rPr>
                <w:sz w:val="19"/>
                <w:szCs w:val="19"/>
              </w:rPr>
              <w:t xml:space="preserve">openfda_lookup returns 'fallback aggregate'</w:t>
            </w:r>
          </w:p>
        </w:tc>
        <w:tc>
          <w:tcPr>
            <w:tcW w:type="dxa" w:w="7340"/>
            <w:shd w:fill="F4F8FA" w:val="clear"/>
            <w:tcMar>
              <w:top w:type="dxa" w:w="60"/>
              <w:left w:type="dxa" w:w="110"/>
              <w:bottom w:type="dxa" w:w="60"/>
              <w:right w:type="dxa" w:w="110"/>
            </w:tcMar>
          </w:tcPr>
          <w:p>
            <w:pPr>
              <w:spacing w:after="0" w:line="250"/>
            </w:pPr>
            <w:r>
              <w:rPr>
                <w:sz w:val="19"/>
                <w:szCs w:val="19"/>
              </w:rPr>
              <w:t xml:space="preserve">openFDA egress failed or was rate-limited (or the drug had no FAERS results). The tool fails soft to a deterministic non-PHI aggregate so the governed workflow still proceeds; confirm outbound HTTPS if live background is required.</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4F8FA"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FFFFF"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FFFFF"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(the tools already do),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 The openFDA lookup is free (public API).</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2026-07-19T20:23:45.623Z</dcterms:created>
  <dcterms:modified xsi:type="dcterms:W3CDTF">2026-07-19T20:23:45.624Z</dcterms:modified>
</cp:coreProperties>
</file>

<file path=docProps/custom.xml><?xml version="1.0" encoding="utf-8"?>
<Properties xmlns="http://schemas.openxmlformats.org/officeDocument/2006/custom-properties" xmlns:vt="http://schemas.openxmlformats.org/officeDocument/2006/docPropsVTypes"/>
</file>