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spacing w:after="200"/>
      </w:pPr>
      <w:r>
        <w:rPr>
          <w:b/>
          <w:bCs/>
          <w:color w:val="1C7293"/>
          <w:spacing w:val="40"/>
          <w:sz w:val="19"/>
          <w:szCs w:val="19"/>
        </w:rPr>
        <w:t xml:space="preserve">GOVERNED AGENTIC AI · AMAZON BEDROCK AGENTCORE</w:t>
      </w:r>
    </w:p>
    <w:p>
      <w:pPr>
        <w:pStyle w:val="Title"/>
      </w:pPr>
      <w:r>
        <w:t xml:space="preserve">Pharmacovigilance ICSR Intake Agent</w:t>
      </w:r>
    </w:p>
    <w:p>
      <w:pPr>
        <w:pStyle w:val="Title"/>
      </w:pPr>
      <w:r>
        <w:t xml:space="preserve">on Amazon Bedrock AgentCore</w:t>
      </w:r>
    </w:p>
    <w:p>
      <w:pPr>
        <w:pStyle w:val="Subtitle"/>
        <w:spacing w:after="500" w:before="120"/>
      </w:pPr>
      <w:r>
        <w:t xml:space="preserve">Solution Architect Deployment Runbook</w:t>
      </w:r>
    </w:p>
    <w:p>
      <w:pPr>
        <w:pBdr>
          <w:top w:val="single" w:color="0B8F72" w:sz="6"/>
          <w:bottom w:val="single" w:color="0B8F72" w:sz="6"/>
        </w:pBdr>
        <w:shd w:fill="EEF3F7" w:val="clear"/>
        <w:spacing w:after="60" w:before="60" w:line="260"/>
      </w:pPr>
      <w:r>
        <w:rPr>
          <w:i/>
          <w:iCs/>
          <w:color w:val="1A2733"/>
          <w:sz w:val="19"/>
          <w:szCs w:val="19"/>
        </w:rPr>
        <w:t xml:space="preserve">Step-by-step deployment of the governed pharmacovigilance (drug-safety) ICSR-intake accelerator into an AWS account — identity, governance spine, tools, and the Runtime agent — from one manifest. Region: us-east-1. Accelerator reference; not a validated or production-certified system. Version 1.0 · 2026.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1.	Overview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2.	Prerequisites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3.	What gets deployed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4.	Deployment procedure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5.	Configuration reference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6.	Validation checklist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7.	Teardown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8.	Windows / Git-Bash operational notes</w:t>
      </w:r>
    </w:p>
    <w:p>
      <w:r>
        <w:br w:type="page"/>
      </w:r>
    </w:p>
    <w:p>
      <w:pPr>
        <w:pStyle w:val="Heading1"/>
      </w:pPr>
      <w:r>
        <w:t xml:space="preserve">1. Overview</w:t>
      </w:r>
    </w:p>
    <w:p>
      <w:r>
        <w:t xml:space="preserve">This runbook stands up the governed pharmacovigilance ICSR-intake agent in an AWS account. The agent is defined by a single manifest and produced from the reusable governed-hero-agent template; the deployment is split into three lifecycles that are deployed and torn down independently: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Identity stack </w:t>
      </w:r>
      <w:r>
        <w:t xml:space="preserve">— a stable Amazon Cognito user pool, app client, and test users. Long-lived; not touched by spine redeploys.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Governance spine </w:t>
      </w:r>
      <w:r>
        <w:t xml:space="preserve">— the Cedar policy engine, AgentCore Gateway, tool Lambdas, Bedrock Guardrail, WORM audit stores, and the Step Functions human sign-off gate. Reproducible; stood up and torn down as a unit.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Runtime agent </w:t>
      </w:r>
      <w:r>
        <w:t xml:space="preserve">— the generic Strands agent, containerized and deployed to AgentCore Runtime with a Cognito JWT inbound authorizer; its workflow prompt is rendered from the manifest.</w:t>
      </w:r>
    </w:p>
    <w:p>
      <w:r>
        <w:t xml:space="preserve">The whole spine deploys with one command, proves itself with a 30-check governance demo (and a 7/7 red-team harness), and tears down with zero residual. Everything is driven from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agents/pharmacovigilance/manifest.yaml</w:t>
      </w:r>
      <w:r>
        <w:t xml:space="preserve"> — the engine, control library, and runtime are shared across agents.</w:t>
      </w:r>
    </w:p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Honesty boundary</w:t>
            </w:r>
          </w:p>
          <w:p>
            <w:pPr>
              <w:spacing w:after="20" w:line="258"/>
            </w:pPr>
            <w:r>
              <w:t xml:space="preserve">This is an accelerator, not a validated or production-certified system. Authorization to operate, computer-system validation (CSV/CSA), IdP federation, validated connectors to the safety system of record (Argus / ArisG / E2B gateway), licensed MedDRA/WHODrug dictionaries, and regulatory review of narratives and reporting rules are sponsor responsibilities. See the Regulatory-Adherence Guide.</w:t>
            </w:r>
          </w:p>
        </w:tc>
      </w:tr>
    </w:tbl>
    <w:p>
      <w:pPr>
        <w:pStyle w:val="Heading1"/>
      </w:pPr>
      <w:r>
        <w:t xml:space="preserve">2. Prerequisites</w:t>
      </w:r>
    </w:p>
    <w:p>
      <w:pPr>
        <w:pStyle w:val="Heading2"/>
      </w:pPr>
      <w:r>
        <w:t xml:space="preserve">2.1 AWS account &amp; access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An AWS account </w:t>
      </w:r>
      <w:r>
        <w:t xml:space="preserve">with administrative credentials configured for the AWS CLI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aws sts get-caller-identity</w:t>
      </w:r>
      <w:r>
        <w:t xml:space="preserve"> must succeed).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Region </w:t>
      </w:r>
      <w:r>
        <w:t xml:space="preserve">— us-east-1 (the reference deployment; Comprehend, Bedrock models, and AgentCore are all available there).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Model access </w:t>
      </w:r>
      <w:r>
        <w:t xml:space="preserve">— enable the Anthropic Claude models in Amazon Bedrock (the narrative-drafting tool defaults to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us.anthropic.claude-sonnet-4-5</w:t>
      </w:r>
      <w:r>
        <w:t xml:space="preserve"> cross-region inference profile).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Egress </w:t>
      </w:r>
      <w:r>
        <w:t xml:space="preserve">—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openfda_lookup</w:t>
      </w:r>
      <w:r>
        <w:t xml:space="preserve"> tool calls the public openFDA drug-event (FAERS) API over HTTPS (no API key; rate-limited; fails soft to a deterministic aggregate if egress is blocked).</w:t>
      </w:r>
    </w:p>
    <w:p>
      <w:pPr>
        <w:pStyle w:val="Heading2"/>
      </w:pPr>
      <w:r>
        <w:t xml:space="preserve">2.2 Tooling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600"/>
        <w:gridCol w:w="7840"/>
      </w:tblGrid>
      <w:tr>
        <w:trPr>
          <w:tblHeader/>
        </w:trPr>
        <w:tc>
          <w:tcPr>
            <w:tcW w:type="dxa" w:w="26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Tool</w:t>
            </w:r>
          </w:p>
        </w:tc>
        <w:tc>
          <w:tcPr>
            <w:tcW w:type="dxa" w:w="78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Version / note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aws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AWS CLI v2.30+ (validated on 2.33)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python3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3.12 (Lambda runtime is python3.12; the Runtime toolkit needs a 3.12 venv)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pyyaml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for render.py (turns the manifest into deploy inputs)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bash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Any POSIX shell. On Windows, use Git-Bash (see §8)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agentcore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bedrock-agentcore-starter-toolkit (installed into the Runtime venv in Step 4)</w:t>
            </w:r>
          </w:p>
        </w:tc>
      </w:tr>
    </w:tbl>
    <w:p>
      <w:pPr>
        <w:pStyle w:val="Heading2"/>
      </w:pPr>
      <w:r>
        <w:t xml:space="preserve">2.3 Project layout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lib/engine/ </w:t>
      </w:r>
      <w:r>
        <w:t xml:space="preserve">— the manifest-driven engine: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plus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redteam.sh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and the sign-off state-machine template.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lib/controls/ </w:t>
      </w:r>
      <w:r>
        <w:t xml:space="preserve">— the shared control library: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mask_pii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write_audit</w:t>
      </w:r>
      <w:r>
        <w:t xml:space="preserve">, the sign-off Lambdas, and the MCP client. Reused by every agent.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lib/runtime/ </w:t>
      </w:r>
      <w:r>
        <w:t xml:space="preserve">— the generic Strands agent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Dockerfile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requirements.txt</w:t>
      </w:r>
      <w:r>
        <w:t xml:space="preserve">) and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_configure/_launch/_invoke/_obs_setup</w:t>
      </w:r>
      <w:r>
        <w:t xml:space="preserve"> helper scripts (self-locating; run from a fresh clone).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agents/pharmacovigilance/ </w:t>
      </w:r>
      <w:r>
        <w:t xml:space="preserve">— the only agent-specific part: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manifest.yaml</w:t>
      </w:r>
      <w:r>
        <w:t xml:space="preserve"> (single source of truth),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tools/</w:t>
      </w:r>
      <w:r>
        <w:t xml:space="preserve">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intake_icsr.py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openfda_lookup.py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assess_seriousness.py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detect_duplicate.py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record_causality.py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pv_core.py</w:t>
      </w:r>
      <w:r>
        <w:t xml:space="preserve">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demo_extra.sh</w:t>
      </w:r>
      <w:r>
        <w:t xml:space="preserve">.</w:t>
      </w:r>
    </w:p>
    <w:p>
      <w:pPr>
        <w:pStyle w:val="Heading1"/>
      </w:pPr>
      <w:r>
        <w:t xml:space="preserve">3. What gets deployed</w:t>
      </w:r>
    </w:p>
    <w:tbl>
      <w:tblPr>
        <w:tblW w:type="dxa" w:w="9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1700"/>
        <w:gridCol w:w="6300"/>
        <w:gridCol w:w="1440"/>
      </w:tblGrid>
      <w:tr>
        <w:trPr>
          <w:tblHeader/>
        </w:trPr>
        <w:tc>
          <w:tcPr>
            <w:tcW w:type="dxa" w:w="17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63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AWS resource(s)</w:t>
            </w:r>
          </w:p>
        </w:tc>
        <w:tc>
          <w:tcPr>
            <w:tcW w:type="dxa" w:w="14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Lifecycle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Identity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 pool pv-pharmacovigilance, app client pv-gw, users pv_reviewer / approver / outsider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Stable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Policy engine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Policy engine pv_pharmacovigilance_authz (Cedar, deny-by-default)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Gateway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Gateway pv-pharmacovigilance-gw (MCP, CUSTOM_JWT, ENFORCE)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Tools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Lambdas: pv-intake-icsr, pv-openfda-lookup, pv-mask-pii, pv-assess-seriousness, pv-detect-duplicate, pv-record-causality, pv-core-tools, pv-write-audit, pv-request-signoff (+ 3 sign-off Lambdas)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Guardrail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 Guardrail pv-pharmacovigilance-guardrail (PHI anonymize + prompt-attack)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WORM audit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pv-audit (append-only) + S3 Object Lock bucket pv-audit-worm-&lt;acct&gt;-&lt;region&gt;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Human gate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Step Functions pv-signoff + DynamoDB pv-pending-approvals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Discovery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parameter /pv-pharmacovigilance/gateway-url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Runtime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Runtime pv_runtime_agent (ARM64 container via CodeBuild + ECR)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Runtime</w:t>
            </w:r>
          </w:p>
        </w:tc>
      </w:tr>
    </w:tbl>
    <w:p>
      <w:pPr>
        <w:pStyle w:val="Heading1"/>
      </w:pPr>
      <w:r>
        <w:t xml:space="preserve">4. Deployment procedure</w:t>
      </w:r>
    </w:p>
    <w:p>
      <w:r>
        <w:rPr>
          <w:b/>
          <w:bCs/>
        </w:rPr>
        <w:t xml:space="preserve">Run the steps in order. </w:t>
      </w:r>
      <w:r>
        <w:t xml:space="preserve">All commands assume you are in the project root (the folder containing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</w:t>
      </w:r>
      <w:r>
        <w:t xml:space="preserve">), with the AWS CLI configured for us-east-1.</w:t>
      </w:r>
    </w:p>
    <w:p>
      <w:pPr>
        <w:pStyle w:val="Heading2"/>
      </w:pPr>
      <w:r>
        <w:t xml:space="preserve">Step 0 — Confirm the environment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sts get-caller-identity          # confirms credentials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configure get region             # should print us-east-1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python3 -c "import yaml"              # render.py needs pyyaml</w:t>
      </w:r>
    </w:p>
    <w:p>
      <w:pPr>
        <w:pStyle w:val="Heading2"/>
      </w:pPr>
      <w:r>
        <w:t xml:space="preserve">Step 1 — Deploy the stable identity stack</w:t>
      </w:r>
    </w:p>
    <w:p>
      <w:r>
        <w:t xml:space="preserve">Creates (or reuses) the Cognito pool, app client, group, and the three test users;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. Idempotent and safe to re-run.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lib/engine/deploy_identity.sh agents/pharmacovigilance</w:t>
      </w:r>
    </w:p>
    <w:p>
      <w:r>
        <w:rPr>
          <w:b/>
          <w:bCs/>
        </w:rPr>
        <w:t xml:space="preserve">Result: </w:t>
      </w:r>
      <w:r>
        <w:t xml:space="preserve">pool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pv-pharmacovigilance</w:t>
      </w:r>
      <w:r>
        <w:t xml:space="preserve">, client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pv-gw</w:t>
      </w:r>
      <w:r>
        <w:t xml:space="preserve">, users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pv_reviewer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approver</w:t>
      </w:r>
      <w:r>
        <w:t xml:space="preserve"> (group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pv_reviewer</w:t>
      </w:r>
      <w:r>
        <w:t xml:space="preserve">)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outsider</w:t>
      </w:r>
      <w:r>
        <w:t xml:space="preserve">. Discovery URL and IDs land in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.</w:t>
      </w:r>
    </w:p>
    <w:p>
      <w:pPr>
        <w:pStyle w:val="Heading2"/>
      </w:pPr>
      <w:r>
        <w:t xml:space="preserve">Step 2 — Deploy the governance spine</w:t>
      </w:r>
    </w:p>
    <w:p>
      <w:r>
        <w:t xml:space="preserve">One idempotent command renders the manifest and builds the entire spine in the proven order: IAM roles → WORM stores → Guardrail → tool Lambdas (with per-agent resource env wired in) → policy engine → Gateway (LOG_ONLY) → targets → Cedar policies → flip to ENFORCE → human-gate Step Functions → publish the gateway URL to SSM. It sources the stable identity and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lib/engine/deploy.sh agents/pharmacovigilance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Run cycles serialized</w:t>
            </w:r>
          </w:p>
          <w:p>
            <w:pPr>
              <w:spacing w:after="20" w:line="258"/>
            </w:pPr>
            <w:r>
              <w:t xml:space="preserve">Do not run two spine deploys concurrently — overlapping runs collide on the policy-engine name. Deploy takes roughly three to four minutes end to end. Deploy from a path without spaces (see §8).</w:t>
            </w:r>
          </w:p>
        </w:tc>
      </w:tr>
    </w:tbl>
    <w:p>
      <w:pPr>
        <w:pStyle w:val="Heading2"/>
      </w:pPr>
      <w:r>
        <w:t xml:space="preserve">Step 3 — Prove the governance (30 checks)</w:t>
      </w:r>
    </w:p>
    <w:p>
      <w:r>
        <w:t xml:space="preserve">Mints safety-reviewer and outsider tokens and exercises the full governed workflow live, in ENFORCE mode. Expect 30 passed / 0 failed.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lib/engine/demo.sh agents/pharmacovigilance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lib/engine/redteam.sh agents/pharmacovigilance   # adversarial: governance holds under attack (7/7)</w:t>
      </w:r>
    </w:p>
    <w:p>
      <w:r>
        <w:t xml:space="preserve">The demo proves deny-by-default (safety reviewer ALLOW / outsider DENY), the mask-before-assess, mask-before-causality, and mask-before-draft forbids and no-self-submit / no-self-causality-commit (each denial names the exact Cedar policy), real PHI masking (name/DOB/address redaction), the live openFDA FAERS background lookup (aggregate, non-PHI), the deterministic seriousness + reporting-clock determination (EXPEDITED 15-day / PERIODIC / ROUTINE per ICH E2B(R3) / 21 CFR 314.80), a real Bedrock CIOMS narrative through the Guardrail, the immutable WORM audit (write-once + duplicate rejection), and the human sign-off gate (separation of duties + single-use token).</w:t>
      </w:r>
    </w:p>
    <w:p>
      <w:r>
        <w:rPr>
          <w:b/>
          <w:bCs/>
        </w:rPr>
        <w:t xml:space="preserve">Deeper caseload workflows (step two). </w:t>
      </w:r>
      <w:r>
        <w:t xml:space="preserve">The demo also exercises the deeper workflows, each a governed tool with its own Cedar control: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detect_duplicate</w:t>
      </w:r>
      <w:r>
        <w:t xml:space="preserve"> (deterministic duplicate-ICSR detection that HOLDs a suspected duplicate so a case isn't double-reported),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record_causality</w:t>
      </w:r>
      <w:r>
        <w:t xml:space="preserve"> (PREPARE a documented causality/reportability determination — the highest-risk discretionary judgment — requiring a written rationale and approval by a DIFFERENT senior safety physician; fail-closed on un-masked input),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commit_causality</w:t>
      </w:r>
      <w:r>
        <w:t xml:space="preserve"> — a consequential, senior-human-only action the agent can never take (forbidden by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no_self_causality_commit</w:t>
      </w:r>
      <w:r>
        <w:t xml:space="preserve">, mirroring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no_self_submit</w:t>
      </w:r>
      <w:r>
        <w:t xml:space="preserve">). The pattern is the point: every new high-risk action is a tool body plus its own deny-by-default forbid.</w:t>
      </w:r>
    </w:p>
    <w:p>
      <w:pPr>
        <w:pStyle w:val="Heading2"/>
      </w:pPr>
      <w:r>
        <w:t xml:space="preserve">Step 4 — Deploy the Runtime agent</w:t>
      </w:r>
    </w:p>
    <w:p>
      <w:r>
        <w:t xml:space="preserve">Create the Python 3.12 virtual environment and install the toolkit once. Use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setup_venv.sh</w:t>
      </w:r>
      <w:r>
        <w:t xml:space="preserve"> helper — it builds the venv with the correct per-OS layout (on Windows a venv exposes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, not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 and installs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bedrock-agentcore-starter-toolkit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</w:t>
      </w:r>
      <w:r>
        <w:t xml:space="preserve">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strands-agents-tools</w:t>
      </w:r>
      <w:r>
        <w:t xml:space="preserve">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lib/runtime/setup_venv.sh</w:t>
      </w:r>
    </w:p>
    <w:p>
      <w:r>
        <w:t xml:space="preserve">Grant the Runtime execution role permission to read the gateway-URL parameter, configure the agent with the Cognito JWT inbound authorizer (and the manifest-rendered workflow prompt), and launch it (ARM64 build runs in CodeBuild — no local Docker needed). Each helper takes the agent directory: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lib/runtime/_obs_setup.sh  agents/pharmacovigilance   # grants ssm:GetParameter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lib/runtime/_configure.sh  agents/pharmacovigilance   # agentcore configure -- JWT authorizer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lib/runtime/_launch.sh     agents/pharmacovigilance   # agentcore launch -- CodeBuild ARM64 -&gt; Runtime</w:t>
      </w:r>
    </w:p>
    <w:p>
      <w:r>
        <w:rPr>
          <w:b/>
          <w:bCs/>
        </w:rPr>
        <w:t xml:space="preserve">Result: </w:t>
      </w:r>
      <w:r>
        <w:t xml:space="preserve">an AgentCore Runtime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pv_runtime_agent-&lt;id&gt;</w:t>
      </w:r>
      <w:r>
        <w:t xml:space="preserve"> with a Cognito JWT inbound authorizer, OpenTelemetry observability enabled, and the gateway URL discovered from SSM.</w:t>
      </w:r>
    </w:p>
    <w:p>
      <w:pPr>
        <w:pStyle w:val="Heading2"/>
      </w:pPr>
      <w:r>
        <w:t xml:space="preserve">Step 5 — Invoke and verify</w:t>
      </w:r>
    </w:p>
    <w:p>
      <w:r>
        <w:t xml:space="preserve">Invoke as a safety reviewer (full governed workflow) and as an outsider (access denied):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lib/runtime/_invoke.sh agents/pharmacovigilance pv_reviewer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invoke_demo.sh                          # pv_reviewer invoke with a sample adverse-event case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lib/runtime/_invoke.sh agents/pharmacovigilance outsider $PV_OUTSIDER_PW</w:t>
      </w:r>
    </w:p>
    <w:p>
      <w:r>
        <w:t xml:space="preserve">Expected: the safety reviewer returns a workflow summary (FAERS background, seriousness + reporting clock, drafted CIOMS narrative, INTENT audit, PENDING_APPROVAL)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</w:t>
      </w:r>
      <w:r>
        <w:t xml:space="preserve"> that does not include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finalize_submission</w:t>
      </w:r>
      <w:r>
        <w:t xml:space="preserve"> or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commit_causality</w:t>
      </w:r>
      <w:r>
        <w:t xml:space="preserve"> — Cedar hides the forbidden tools. The outsider returns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ACCESS DENIED</w:t>
      </w:r>
      <w:r>
        <w:t xml:space="preserve">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tools_available: []</w:t>
      </w:r>
      <w:r>
        <w:t xml:space="preserve">.</w:t>
      </w:r>
    </w:p>
    <w:p>
      <w:pPr>
        <w:pStyle w:val="Heading1"/>
      </w:pPr>
      <w:r>
        <w:t xml:space="preserve">5. Configuration reference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100"/>
        <w:gridCol w:w="3540"/>
        <w:gridCol w:w="4800"/>
      </w:tblGrid>
      <w:tr>
        <w:trPr>
          <w:tblHeader/>
        </w:trPr>
        <w:tc>
          <w:tcPr>
            <w:tcW w:type="dxa" w:w="21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35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  <w:tc>
          <w:tcPr>
            <w:tcW w:type="dxa" w:w="48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Default / value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Region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agent.region in the manifest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us-east-1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Drafting model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model.draft_model_id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us.anthropic.claude-sonnet-4-5-20250929-v1:0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Guardrail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pv-pharmacovigilance-guardrail (created in deploy)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PHI=ANONYMIZE + PROMPT_ATTACK HIGH; version DRAFT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users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identity.users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pv_reviewer / approver / outsider; passwords via env (placeholder defaults ChangeMe-*1!)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Seriousness rules &amp; clock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assess_seriousness.py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(illustrative)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six ICH E2B(R3) criteria; serious+unexpected -&gt; EXPEDITED 15-day, serious+listed -&gt; PERIODIC, non-serious -&gt; ROUTINE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FAERS background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openfda_lookup.py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(live)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openFDA drug/event.json; aggregate non-PHI; fail-soft deterministic fallback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Gateway URL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/pv-pharmacovigilance/gateway-url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published each spine deploy; read by the Runtime agent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Reviewer group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Cedar permit condition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cognito:groups contains pv_reviewer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Audit stores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controls + audit in the manifest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pv-audit + S3 pv-audit-worm-&lt;acct&gt;-&lt;region&gt; (Object Lock GOVERNANCE 1d)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Change the passwords, and configure the real rules, before any shared use</w:t>
            </w:r>
          </w:p>
          <w:p>
            <w:pPr>
              <w:spacing w:after="20" w:line="258"/>
            </w:pPr>
            <w:r>
              <w:t xml:space="preserve">The default test-user passwords are for a private evaluation account only — rotate them (or federate a real IdP) before the environment is shared. The seriousness criteria and reporting clocks in assess_seriousness are illustrative regulatory defaults — replace them with the authoritative, market-specific rules, under regulatory review, before any real use. MedDRA/WHODrug coding and safety-system connectors ship as labeled stubs. See the Maintenance Guide.</w:t>
            </w:r>
          </w:p>
        </w:tc>
      </w:tr>
    </w:tbl>
    <w:p>
      <w:pPr>
        <w:pStyle w:val="Heading1"/>
      </w:pPr>
      <w:r>
        <w:t xml:space="preserve">6. Validation checklist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→ identity-state.env written; pool visible in Cognito.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→ ends with 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Gateway URL: … (mode ENFORCE)</w:t>
      </w:r>
      <w:r>
        <w:t xml:space="preserve"> line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 written.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→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30 passed, 0 failed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GOVERNANCE DEMO: PASS</w:t>
      </w:r>
      <w:r>
        <w:t xml:space="preserve">;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redteam.sh</w:t>
      </w:r>
      <w:r>
        <w:t xml:space="preserve"> →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7/7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SSM parameter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/pv-pharmacovigilance/gateway-url</w:t>
      </w:r>
      <w:r>
        <w:t xml:space="preserve"> exists and matches the live gateway.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Runtime invoke: pv_reviewer → workflow summary; outsider → ACCESS DENIED.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CloudWatch log 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/aws/bedrock-agentcore/runtimes/pv_runtime_agent-*-DEFAULT</w:t>
      </w:r>
      <w:r>
        <w:t xml:space="preserve"> shows per-step, identity-tagged logs.</w:t>
      </w:r>
    </w:p>
    <w:p>
      <w:pPr>
        <w:pStyle w:val="Heading1"/>
      </w:pPr>
      <w:r>
        <w:t xml:space="preserve">7. Teardown</w:t>
      </w:r>
    </w:p>
    <w:p>
      <w:r>
        <w:t xml:space="preserve">The spine tears down with zero residual (including the Object-Lock bucket, which requires an admin governance-bypass the tool role does not have). Identity is preserved by design — remove it explicitly only when finished.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lib/engine/destroy.sh agents/pharmacovigilance     # spine only; leaves identity + Runtime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optional, full cleanup: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remove the Cognito pool, and from lib/runtime: agentcore destroy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Export evidence first</w:t>
            </w:r>
          </w:p>
          <w:p>
            <w:pPr>
              <w:spacing w:after="20" w:line="258"/>
            </w:pPr>
            <w:r>
              <w:t xml:space="preserve">The WORM audit ledger and bucket are deleted by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. Export any audit evidence you need to retain before tearing down. See the Maintenance Guide, §5.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Stop orphaned sign-off executions before teardown</w:t>
            </w:r>
          </w:p>
          <w:p>
            <w:pPr>
              <w:spacing w:after="20" w:line="258"/>
            </w:pPr>
            <w:r>
              <w:t xml:space="preserve">The human sign-off gate uses a Step Functions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waitForTaskToken</w:t>
            </w:r>
            <w:r>
              <w:t xml:space="preserve"> execution that can run for up to a year. If you invoke the agent and leave a submission PENDING (never approved) before tearing down, that RUNNING execution keeps the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pv-signoff</w:t>
            </w:r>
            <w:r>
              <w:t xml:space="preserve"> state machine stuck in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DELETING</w:t>
            </w:r>
            <w:r>
              <w:t xml:space="preserve">, which then blocks the next deploy from re-creating a state machine of the same name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StateMachineDeleting</w:t>
            </w:r>
            <w:r>
              <w:t xml:space="preserve">).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 stops RUNNING executions before deleting, but if a redeploy hits this, stop the leftover execution and let deletion finish:</w:t>
            </w:r>
          </w:p>
        </w:tc>
      </w:tr>
    </w:tbl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list-executions --state-machine-arn arn:aws:states:&lt;region&gt;:&lt;acct&gt;:stateMachine:pv-signoff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--status-filter RUNNING --region us-east-1 --query 'executions[].executionArn' --output text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stop-execution --execution-arn &lt;arn&gt; --region us-east-1   # then redeploy</w:t>
      </w:r>
    </w:p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Policy names are unique per account/region — the template prefixes them</w:t>
            </w:r>
          </w:p>
          <w:p>
            <w:pPr>
              <w:spacing w:after="20" w:line="258"/>
            </w:pPr>
            <w:r>
              <w:t xml:space="preserve">AgentCore Policy names are unique per account/region, and the template agents share several logical policy names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mask_before_assess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mask_before_draft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no_self_submit</w:t>
            </w:r>
            <w:r>
              <w:t xml:space="preserve">). The template prefixes each policy with the agent prefix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pv_mask_before_assess</w:t>
            </w:r>
            <w:r>
              <w:t xml:space="preserve">) so multiple template agents coexist in one account. If you do NOT prefix, deploy and validate one agent at a time — deploying a second unprefixed agent while another is live fails with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ConflictException … Policy with the same name already exists</w:t>
            </w:r>
            <w:r>
              <w:t xml:space="preserve"> and can leave a partial spine that must be torn down.</w:t>
            </w:r>
          </w:p>
        </w:tc>
      </w:tr>
    </w:tbl>
    <w:p>
      <w:pPr>
        <w:pStyle w:val="Heading1"/>
      </w:pPr>
      <w:r>
        <w:t xml:space="preserve">8. Windows / Git-Bash operational notes</w:t>
      </w:r>
    </w:p>
    <w:p>
      <w:r>
        <w:t xml:space="preserve">The reference environment is Windows with Git-Bash driving the native AWS CLI. These are the lessons that make a Windows deploy go clean the first time (all validated this session; some are handled inside the scripts, the first two are on you):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Deploy from a path WITHOUT spaces. </w:t>
      </w:r>
      <w:r>
        <w:t xml:space="preserve">A project path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C:\...\pharmacovigilance agent</w:t>
      </w:r>
      <w:r>
        <w:t xml:space="preserve"> (with a space) breaks Git-Bash argument quoting when driven from PowerShell — you get errors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cd: /c/Users/.../pharmacovigilance: No such file or directory</w:t>
      </w:r>
      <w:r>
        <w:t xml:space="preserve">. Put the project in a no-space path such as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C:\...\pv_icsr_agent</w:t>
      </w:r>
      <w:r>
        <w:t xml:space="preserve"> before deploying.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Detached long runs — Start-Process with a single space-free argument. </w:t>
      </w:r>
      <w:r>
        <w:t xml:space="preserve">The 3–4 minute deploy, the venv build, and the CodeBuild launch must run detached, or a foreground shell can be killed on a timeout before they finish. The pattern that works: write a tiny runner script that self-logs and changes into the no-space dir — its first lines are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exec &gt; run.log 2&gt;&amp;1</w:t>
      </w:r>
      <w:r>
        <w:t xml:space="preserve">, then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cd &lt;no-space dir&gt;</w:t>
      </w:r>
      <w:r>
        <w:t xml:space="preserve">, then the command — and launch it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Start-Process -FilePath 'C:\Program Files\Git\bin\bash.exe' -ArgumentList '/c/…/runner.sh' -WindowStyle Hidden</w:t>
      </w:r>
      <w:r>
        <w:t xml:space="preserve">. Pass the runner path as </w:t>
      </w:r>
      <w:r>
        <w:rPr>
          <w:b/>
          <w:bCs/>
        </w:rPr>
        <w:t xml:space="preserve">one space-free argument</w:t>
      </w:r>
      <w:r>
        <w:t xml:space="preserve">: PowerShell's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-ArgumentList</w:t>
      </w:r>
      <w:r>
        <w:t xml:space="preserve"> joins a multi-token array unquoted, so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'-lc','bash /c/…/runner.sh'</w:t>
      </w:r>
      <w:r>
        <w:t xml:space="preserve"> silently drops the command at the space and the process exits doing nothing. Then verify progress by </w:t>
      </w:r>
      <w:r>
        <w:rPr>
          <w:b/>
          <w:bCs/>
        </w:rPr>
        <w:t xml:space="preserve">polling AWS state</w:t>
      </w:r>
      <w:r>
        <w:t xml:space="preserve"> (list the gateway/lambdas/policies) — the runner's log is block-buffered to a file, so an empty log does not mean no progress; query the resources.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Stop orphaned sign-off executions before teardown. </w:t>
      </w:r>
      <w:r>
        <w:t xml:space="preserve">A PENDING submission leaves a RUNNING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waitForTaskToken</w:t>
      </w:r>
      <w:r>
        <w:t xml:space="preserve"> execution that keeps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pv-signoff</w:t>
      </w:r>
      <w:r>
        <w:t xml:space="preserve"> stuck DELETING and blocks the next deploy — stop it first (see §7).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Policy names are unique per account/region. </w:t>
      </w:r>
      <w:r>
        <w:t xml:space="preserve">The template prefixes policies per agent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pv_mask_before_assess</w:t>
      </w:r>
      <w:r>
        <w:t xml:space="preserve">) so multiple agents coexist; if you don't prefix, deploy one at a time (see §7).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Path conversion: </w:t>
      </w:r>
      <w:r>
        <w:t xml:space="preserve">Git-Bash rewrites arguments that start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</w:t>
      </w:r>
      <w:r>
        <w:t xml:space="preserve"> (e.g. SSM names) into Windows paths. The scripts set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MSYS_NO_PATHCONV=1</w:t>
      </w:r>
      <w:r>
        <w:t xml:space="preserve"> where it matters — but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runs under native Python, which cannot take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/c/</w:t>
      </w:r>
      <w:r>
        <w:t xml:space="preserve"> paths, so render is invoked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</w:t>
      </w:r>
      <w:r>
        <w:t xml:space="preserve"> unset in a subshell.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Carriage returns: </w:t>
      </w:r>
      <w:r>
        <w:t xml:space="preserve">the CLI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--output text</w:t>
      </w:r>
      <w:r>
        <w:t xml:space="preserve"> picks up a trailing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\r</w:t>
      </w:r>
      <w:r>
        <w:t xml:space="preserve">; the scripts pipe through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tr -d '\r'</w:t>
      </w:r>
      <w:r>
        <w:t xml:space="preserve"> where it matters.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Self-locating helpers: </w:t>
      </w:r>
      <w:r>
        <w:t xml:space="preserve">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lib/runtime/</w:t>
      </w:r>
      <w:r>
        <w:t xml:space="preserve"> helpers resolve the agent directory before changing directory and detect the venv layout per OS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 vs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), so they run from a fresh clone on any OS.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AgentCore toolkit: </w:t>
      </w:r>
      <w:r>
        <w:t xml:space="preserve">export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PYTHONIOENCODING=utf-8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AGENTCORE_SUPPRESS_RECOMMENDATION=1</w:t>
      </w:r>
      <w:r>
        <w:t xml:space="preserve"> (already set in the helper scripts) so the rich console output does not crash under the Windows codepage.</w:t>
      </w:r>
    </w:p>
    <w:p>
      <w:pPr>
        <w:spacing w:after="80"/>
      </w:pPr>
    </w:p>
    <w:p>
      <w:r>
        <w:rPr>
          <w:i/>
          <w:iCs/>
          <w:color w:val="6B7A8A"/>
        </w:rPr>
        <w:t xml:space="preserve">End of runbook. See the Regulatory-Adherence Guide for the control-to-requirement mapping and the Maintenance Guide for day-two operations.</w:t>
      </w:r>
    </w:p>
    <w:sectPr>
      <w:footerReference w:type="default" r:id="rId7"/>
      <w:pgSz w:w="12240" w:h="15840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F" w:sz="4" w:space="6"/>
      </w:pBdr>
      <w:tabs>
        <w:tab w:val="right" w:pos="10040"/>
      </w:tabs>
    </w:pPr>
    <w:r>
      <w:rPr>
        <w:color w:val="6B7A8A"/>
        <w:sz w:val="15"/>
        <w:szCs w:val="15"/>
      </w:rPr>
      <w:t xml:space="preserve">Pharmacovigilance AgentCore · SA Deployment Runbook</w:t>
    </w:r>
    <w:r>
      <w:rPr>
        <w:sz w:val="15"/>
        <w:szCs w:val="15"/>
      </w:rPr>
      <w:t xml:space="preserve">	</w:t>
    </w:r>
    <w:r>
      <w:rPr>
        <w:color w:val="6B7A8A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Cambria" w:cs="Cambria" w:eastAsia="Cambria" w:hAnsi="Cambria"/>
      <w:b/>
      <w:bCs/>
      <w:color w:val="0E2A47"/>
      <w:sz w:val="52"/>
      <w:szCs w:val="52"/>
    </w:rPr>
  </w:style>
  <w:style w:type="paragraph" w:styleId="Subtitle">
    <w:name w:val="Subtitle"/>
    <w:basedOn w:val="Normal"/>
    <w:pPr>
      <w:spacing w:after="80"/>
    </w:pPr>
    <w:rPr>
      <w:rFonts w:ascii="Calibri" w:cs="Calibri" w:eastAsia="Calibri" w:hAnsi="Calibri"/>
      <w:color w:val="1C7293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Cambria" w:cs="Cambria" w:eastAsia="Cambria" w:hAnsi="Cambria"/>
      <w:b/>
      <w:bCs/>
      <w:color w:val="0E2A47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40"/>
      <w:outlineLvl w:val="1"/>
    </w:pPr>
    <w:rPr>
      <w:rFonts w:ascii="Cambria" w:cs="Cambria" w:eastAsia="Cambria" w:hAnsi="Cambria"/>
      <w:b/>
      <w:bCs/>
      <w:color w:val="1C7293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Calibri" w:cs="Calibri" w:eastAsia="Calibri" w:hAnsi="Calibri"/>
      <w:b/>
      <w:bCs/>
      <w:color w:val="0E2A47"/>
      <w:sz w:val="22"/>
      <w:szCs w:val="22"/>
    </w:rPr>
  </w:style>
  <w:style w:type="paragraph" w:styleId="Normal">
    <w:name w:val="Normal"/>
    <w:pPr>
      <w:spacing w:after="130" w:line="264"/>
    </w:pPr>
    <w:rPr>
      <w:rFonts w:ascii="Calibri" w:cs="Calibri" w:eastAsia="Calibri" w:hAnsi="Calibri"/>
      <w:color w:val="1A2733"/>
      <w:sz w:val="21"/>
      <w:szCs w:val="21"/>
    </w:rPr>
  </w:style>
  <w:style w:type="paragraph" w:styleId="Code">
    <w:name w:val="Code"/>
    <w:basedOn w:val="Normal"/>
    <w:pPr>
      <w:shd w:fill="F0F4F1" w:val="clear"/>
      <w:spacing w:after="20" w:line="240"/>
    </w:pPr>
    <w:rPr>
      <w:rFonts w:ascii="Consolas" w:cs="Consolas" w:eastAsia="Consolas" w:hAnsi="Consolas"/>
      <w:color w:val="1B3A2B"/>
      <w:sz w:val="17"/>
      <w:szCs w:val="17"/>
    </w:rPr>
  </w:style>
  <w:style w:type="paragraph" w:styleId="Caption">
    <w:name w:val="Caption"/>
    <w:basedOn w:val="Normal"/>
    <w:rPr>
      <w:rFonts w:ascii="Calibri" w:cs="Calibri" w:eastAsia="Calibri" w:hAnsi="Calibri"/>
      <w:i/>
      <w:iCs/>
      <w:color w:val="6B7A8A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2026-07-18T03:17:32.224Z</dcterms:created>
  <dcterms:modified xsi:type="dcterms:W3CDTF">2026-07-18T03:17:32.224Z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