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Pharmacovigilance ICSR Intake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pharmacovigilance (drug-safety) ICSR-intake accelerator into an AWS account — identity, governance spine, tools, and the Runtime agent — from one manifest. Region: us-east-1. Accelerator reference; not a validated or production-certified system. Version 1.1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pharmacovigilance ICSR-intake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30-check governance demo (and a 7/7 red-team harness),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agents/pharmacovigilance/manifest.yaml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validated or production-certified system. Authorization to operate, computer-system validation (CSV/CSA), IdP federation, validated connectors to the safety system of record (Argus / ArisG / E2B gateway), licensed MedDRA/WHODrug dictionaries, and regulatory review of narratives and reporting rules are sponsor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narrative-drafting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Egress </w:t>
      </w:r>
      <w:r>
        <w:t xml:space="preserve">—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</w:t>
      </w:r>
      <w:r>
        <w:t xml:space="preserve"> tool calls the public openFDA drug-event (FAERS) API over HTTPS (no API key; rate-limited; fails soft to a deterministic aggregate if egress is blocked).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agents/pharmacovigilance/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intake_icsr.py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assess_seriousness.py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pv-pharmacovigilance, app client pv-gw, users pv_reviewer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pv_pharmacovigilance_authz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pv-pharmacovigilance-gw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pv-intake-icsr, pv-openfda-lookup, pv-mask-pii, pv-assess-seriousness, pv-detect-duplicate, pv-record-causality, pv-core-tools, pv-write-audit, pv-request-signoff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pv-pharmacovigilance-guardrail (PHI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(append-only) + S3 Object Lock bucket pv-audit-worm-&lt;acct&gt;-&lt;region&gt;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pv-signoff + DynamoDB pv-pending-approvals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/pv-pharmacovigilance/gateway-url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pv_runtime_agent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agents/pharmacovigilance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pv-pharmacovigilance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agents/pharmacovigilance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 Deploy from a path without spaces (see §8).</w:t>
            </w:r>
          </w:p>
        </w:tc>
      </w:tr>
    </w:tbl>
    <w:p>
      <w:pPr>
        <w:pStyle w:val="Heading2"/>
      </w:pPr>
      <w:r>
        <w:t xml:space="preserve">Step 3 — Prove the governance (30 checks)</w:t>
      </w:r>
    </w:p>
    <w:p>
      <w:r>
        <w:t xml:space="preserve">Mints safety-reviewer and outsider tokens and exercises the full governed workflow live, in ENFORCE mode. Expect 30 passed / 0 failed.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agents/pharmacovigilance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# adversarial: governance holds under attack (7/7)</w:t>
      </w:r>
    </w:p>
    <w:p>
      <w:r>
        <w:t xml:space="preserve">The demo proves deny-by-default (safety reviewer ALLOW / outsider DENY), the mask-before-assess, mask-before-causality, and mask-before-draft forbids and no-self-submit / no-self-causality-commit (each denial names the exact Cedar policy), real PHI masking (name/DOB/address redaction), the live openFDA FAERS background lookup (aggregate, non-PHI), the deterministic seriousness + reporting-clock determination (EXPEDITED 15-day / PERIODIC / ROUTINE per ICH E2B(R3) / 21 CFR 314.80), a real Bedrock CIOMS narrative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</w:t>
      </w:r>
      <w:r>
        <w:t xml:space="preserve"> (deterministic duplicate-ICSR detection that HOLDs a suspected duplicate so a case isn't double-reported),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</w:t>
      </w:r>
      <w:r>
        <w:t xml:space="preserve"> (PREPARE a documented causality/reportability determination — the highest-risk discretionary judgment — requiring a written rationale and approval by a DIFFERENT senior safety physician; fail-closed on un-masked input),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a consequential,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no_self_causality_commit</w:t>
      </w:r>
      <w:r>
        <w:t xml:space="preserve">, mirroring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no_self_submit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agents/pharmacovigilance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agents/pharmacovigilance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agents/pharmacovigilance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safety reviewer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pv_reviewer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pv_reviewer invoke with a sample adverse-event case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outsider $PV_OUTSIDER_PW</w:t>
      </w:r>
    </w:p>
    <w:p>
      <w:r>
        <w:t xml:space="preserve">Expected: the safety reviewer returns a workflow summary (FAERS background, seriousness + reporting clock, drafted CIOMS narrative,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finalize_submission</w:t>
      </w:r>
      <w:r>
        <w:t xml:space="preserve"> or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Cedar hides the forbidden tools.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MOCK-Argus-SafetyDB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agents/pharmacovigilance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agents/pharmacovigilance   # OAuth + RS256/JWKS + no stored secret + deny-by-default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pv-pharmacovigilance-guardrail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PHI=ANONYMIZE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pv_reviewer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Seriousness rules &amp; clock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assess_seriousness.py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six ICH E2B(R3) criteria; serious+unexpected -&gt; EXPEDITED 15-day, serious+listed -&gt; PERIODIC, non-serious -&gt; ROUTINE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FAERS background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openfda_lookup.py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(live)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openFDA drug/event.json; aggregate non-PHI; fail-soft deterministic fallback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/pv-pharmacovigilance/gateway-url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Reviewer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pv_reviewer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+ S3 pv-audit-worm-&lt;acct&gt;-&lt;region&gt;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seriousness criteria and reporting clocks in assess_seriousness are illustrative regulatory defaults — replace them with the authoritative, market-specific rules, under regulatory review, before any real use. MedDRA/WHODrug coding and safety-system connectors ship as labeled stubs.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30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7/7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/pv-pharmacovigilance/gateway-url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pv_reviewer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/aws/bedrock-agentcore/runtimes/pv_runtime_agent-*-DEFAULT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agents/pharmacovigilance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&lt;pv-sor-api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pv-sor-oauth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pv-verify-source-wi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pv-connector-exec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(pv-sor-&lt;acct&gt;),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submission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arn:aws:states:&lt;region&gt;:&lt;acct&gt;:stateMachine:pv-signoff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Policy names are unique per account/region — the template prefixes them</w:t>
            </w:r>
          </w:p>
          <w:p>
            <w:pPr>
              <w:spacing w:after="20" w:line="258"/>
            </w:pPr>
            <w:r>
              <w:t xml:space="preserve">AgentCore Policy names are unique per account/region, and the template agents share several logical policy names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mask_before_draft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no_self_submit</w:t>
            </w:r>
            <w:r>
              <w:t xml:space="preserve">). The template prefixes each policy with the agent prefix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pv_mask_before_assess</w:t>
            </w:r>
            <w:r>
              <w:t xml:space="preserve">) so multiple template agents coexist in one account. If you do NOT prefix, deploy and validate one agent at a time — deploying a second unprefixed agent while another is live fails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 … Policy with the same name already exists</w:t>
            </w:r>
            <w:r>
              <w:t xml:space="preserve"> and can leave a partial spine that must be torn down.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(all validated this session; some are handled inside the scripts,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C:\...\pharmacovigilance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/c/Users/.../pharmacovigilance: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C:\...\pv_icsr_agent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 space-free argument.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Stop orphaned sign-off executions before teardown. </w:t>
      </w:r>
      <w:r>
        <w:t xml:space="preserve">A PENDING submission leaves a RUNNING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waitForTaskToken</w:t>
      </w:r>
      <w:r>
        <w:t xml:space="preserve"> execution that keeps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pv-signoff</w:t>
      </w:r>
      <w:r>
        <w:t xml:space="preserve"> stuck DELETING and blocks the next deploy — stop it first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Policy names are unique per account/region. </w:t>
      </w:r>
      <w:r>
        <w:t xml:space="preserve">The template prefixes policies per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pv_mask_before_assess</w:t>
      </w:r>
      <w:r>
        <w:t xml:space="preserve">) so multiple agents coexist; if you don't prefix, deploy one at a time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Pharmacovigilance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2026-07-18T13:46:33.519Z</dcterms:created>
  <dcterms:modified xsi:type="dcterms:W3CDTF">2026-07-18T13:46:33.519Z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