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mbria" w:hAnsi="Cambria"/>
          <w:b/>
          <w:color w:val="232F3E"/>
          <w:sz w:val="42"/>
        </w:rPr>
        <w:t>Pharmacovigilance ICSR Intake Agent</w:t>
      </w:r>
    </w:p>
    <w:p>
      <w:r>
        <w:rPr>
          <w:b w:val="0"/>
          <w:i/>
          <w:color w:val="5A6570"/>
          <w:sz w:val="24"/>
        </w:rPr>
        <w:t>Independent review for internal AWS presentation — CISO, CIO and Director of Infrastructure lenses</w:t>
      </w:r>
    </w:p>
    <w:p>
      <w:r>
        <w:rPr>
          <w:b w:val="0"/>
          <w:i/>
          <w:color w:val="5A6570"/>
          <w:sz w:val="19"/>
        </w:rPr>
        <w:t>Repository: virtualryder/pharmacovigilance_agent  |  Reviewed at v0.1.1-pilot-rc1 (376a34c)  |  29 July 2026</w:t>
      </w:r>
    </w:p>
    <w:p>
      <w:pPr>
        <w:pStyle w:val="Heading1"/>
      </w:pPr>
      <w:r>
        <w:rPr>
          <w:rFonts w:ascii="Cambria" w:hAnsi="Cambria"/>
          <w:b/>
          <w:color w:val="232F3E"/>
          <w:sz w:val="29"/>
        </w:rPr>
        <w:t>Verdict</w:t>
      </w:r>
    </w:p>
    <w:p>
      <w:r>
        <w:rPr>
          <w:b w:val="0"/>
          <w:i w:val="0"/>
          <w:sz w:val="21"/>
        </w:rPr>
        <w:t>The engineering substance here is genuinely strong — top-decile for an accelerator of this type, and several controls are better than what I see in production estates. The deterministic Step Functions controller, the hash-chained append-only audit ledger with compare-and-swap, the pass-by-reference PHI design, and the signed sanitized_ref replacing a spoofable boolean are all correct answers to hard problems.</w:t>
      </w:r>
    </w:p>
    <w:p>
      <w:r>
        <w:rPr>
          <w:b/>
          <w:i w:val="0"/>
          <w:sz w:val="21"/>
        </w:rPr>
        <w:t>It is not ready to show internally today. Not because of the architecture, but because the documentation contradicts itself in ways a CISO will find in the first ten minutes — and once they find one wrong number, they stop trusting the controls too.</w:t>
      </w:r>
    </w:p>
    <w:p>
      <w:r>
        <w:rPr>
          <w:b w:val="0"/>
          <w:i w:val="0"/>
          <w:sz w:val="21"/>
        </w:rPr>
        <w:t>Three things block the meeting. Everything else can follow.</w:t>
      </w:r>
    </w:p>
    <w:p>
      <w:pPr>
        <w:pStyle w:val="Heading1"/>
      </w:pPr>
      <w:r>
        <w:rPr>
          <w:rFonts w:ascii="Cambria" w:hAnsi="Cambria"/>
          <w:b/>
          <w:color w:val="C02138"/>
          <w:sz w:val="29"/>
        </w:rPr>
        <w:t>The three blockers</w:t>
      </w:r>
    </w:p>
    <w:p>
      <w:pPr>
        <w:pStyle w:val="Heading2"/>
      </w:pPr>
      <w:r>
        <w:rPr>
          <w:rFonts w:ascii="Cambria" w:hAnsi="Cambria"/>
          <w:b/>
          <w:color w:val="C02138"/>
          <w:sz w:val="24"/>
        </w:rPr>
        <w:t>B1. Every test count in the repository is wrong</w:t>
      </w:r>
    </w:p>
    <w:p>
      <w:r>
        <w:rPr>
          <w:b w:val="0"/>
          <w:i w:val="0"/>
          <w:sz w:val="21"/>
        </w:rPr>
        <w:t>I collected the suite myself: 114 tests. The documents variously claim 112 (README, START-HERE, VALIDATED_RELEASE, PV-PILOT-READINESS-PLAN, GATE-B-CHECKLIST, RELEASE-MANIFEST), 109 (RELEASE-MANIFEST, PILOT-SCOPE, EP1-VALIDATION) and 95 (START-HERE). CDK assertions are stated as 22; there are 23.</w:t>
      </w:r>
    </w:p>
    <w:p>
      <w:r>
        <w:rPr>
          <w:b w:val="0"/>
          <w:i w:val="0"/>
          <w:sz w:val="21"/>
        </w:rPr>
        <w:t>RELEASE-MANIFEST.md contradicts itself inside one file — line 15 says 109/109 with 22 CDK assertions, line 24 says 112 with 23 — in the document whose own opening line declares “if a number anywhere disagrees with this table, this table is correct.”</w:t>
      </w:r>
    </w:p>
    <w:p>
      <w:r>
        <w:rPr>
          <w:b w:val="0"/>
          <w:i w:val="0"/>
          <w:color w:val="5A6570"/>
          <w:sz w:val="21"/>
        </w:rPr>
        <w:t>Root cause: the tagged commit added tests/test_cdk_context_flags.py (2 tests) and no count was updated. tests/test_release_consistency.py gates tag references but asserts no count, which is why four numbers coexist. Fix the numbers and add a count assertion so it cannot drift again.</w:t>
      </w:r>
    </w:p>
    <w:p>
      <w:pPr>
        <w:pStyle w:val="Heading2"/>
      </w:pPr>
      <w:r>
        <w:rPr>
          <w:rFonts w:ascii="Cambria" w:hAnsi="Cambria"/>
          <w:b/>
          <w:color w:val="C02138"/>
          <w:sz w:val="24"/>
        </w:rPr>
        <w:t>B2. Four CISO-facing documents still say the live validation has not happened</w:t>
      </w:r>
    </w:p>
    <w:p>
      <w:r>
        <w:rPr>
          <w:b w:val="0"/>
          <w:i w:val="0"/>
          <w:sz w:val="21"/>
        </w:rPr>
        <w:t>It has — twice (pv-val1 2026-07-27, pv-val2 2026-07-28). But:</w:t>
      </w:r>
    </w:p>
    <w:p>
      <w:pPr>
        <w:pStyle w:val="ListBullet"/>
        <w:spacing w:after="80"/>
      </w:pPr>
      <w:r>
        <w:rPr>
          <w:b/>
          <w:sz w:val="21"/>
        </w:rPr>
        <w:t xml:space="preserve">docs/THREAT-MODEL.md  </w:t>
      </w:r>
      <w:r>
        <w:rPr>
          <w:sz w:val="21"/>
        </w:rPr>
        <w:t>contradicts itself three lines apart: line 22 cites “the live EP1 canary run,” line 25 says “Live EP1 evidence is unrun.” This is the first document in the CISO reading order.</w:t>
      </w:r>
    </w:p>
    <w:p>
      <w:pPr>
        <w:pStyle w:val="ListBullet"/>
        <w:spacing w:after="80"/>
      </w:pPr>
      <w:r>
        <w:rPr>
          <w:b/>
          <w:sz w:val="21"/>
        </w:rPr>
        <w:t xml:space="preserve">START-HERE.md  </w:t>
      </w:r>
      <w:r>
        <w:rPr>
          <w:sz w:val="21"/>
        </w:rPr>
        <w:t>lines 29-31 say “What's NOT proven yet: a live EP1 clean-account run” — eighteen lines above lines 48-49 which say “live EP1-validated.” In the one-page front door.</w:t>
      </w:r>
    </w:p>
    <w:p>
      <w:pPr>
        <w:pStyle w:val="ListBullet"/>
        <w:spacing w:after="80"/>
      </w:pPr>
      <w:r>
        <w:rPr>
          <w:b/>
          <w:sz w:val="21"/>
        </w:rPr>
        <w:t xml:space="preserve">docs/AUDIT-READINESS.md  </w:t>
      </w:r>
      <w:r>
        <w:rPr>
          <w:sz w:val="21"/>
        </w:rPr>
        <w:t>lines 5 and 39 — “No live EP1 evidence yet.”</w:t>
      </w:r>
    </w:p>
    <w:p>
      <w:pPr>
        <w:pStyle w:val="ListBullet"/>
        <w:spacing w:after="80"/>
      </w:pPr>
      <w:r>
        <w:rPr>
          <w:b/>
          <w:sz w:val="21"/>
        </w:rPr>
        <w:t xml:space="preserve">cdk/README.md  </w:t>
      </w:r>
      <w:r>
        <w:rPr>
          <w:sz w:val="21"/>
        </w:rPr>
        <w:t>line 48 — “Live EP1 validation is the remaining step.”</w:t>
      </w:r>
    </w:p>
    <w:p>
      <w:r>
        <w:rPr>
          <w:b w:val="0"/>
          <w:i w:val="0"/>
          <w:sz w:val="21"/>
        </w:rPr>
        <w:t>Separately, the pv-val2 run — the one the shipped tag actually corresponds to, which measured the egress posture and fixed five runbook defects — appears in none of the authoritative documents. RELEASE-MANIFEST.md is one validation run stale and mis-states the tag provenance.</w:t>
      </w:r>
    </w:p>
    <w:p>
      <w:pPr>
        <w:pStyle w:val="Heading2"/>
      </w:pPr>
      <w:r>
        <w:rPr>
          <w:rFonts w:ascii="Cambria" w:hAnsi="Cambria"/>
          <w:b/>
          <w:color w:val="C02138"/>
          <w:sz w:val="24"/>
        </w:rPr>
        <w:t>B3. The shipped regulatory Word document describes a fabrication path that was deliberately removed</w:t>
      </w:r>
    </w:p>
    <w:p>
      <w:r>
        <w:rPr>
          <w:b w:val="0"/>
          <w:i w:val="0"/>
          <w:sz w:val="21"/>
        </w:rPr>
        <w:t>docs/generators/regulatory.js line 35, under the header “Authoritative safety background”, states that openfda_lookup “fails soft to a deterministic aggregate.” That is precisely the behaviour P0-4 removed. DATA-SOURCE-POLICY.md lines 21-22 say it “never substitutes a canned aggregate”; THREAT-MODEL.md T6 names “fabricated background” as a modelled threat.</w:t>
      </w:r>
    </w:p>
    <w:p>
      <w:r>
        <w:rPr>
          <w:b/>
          <w:i w:val="0"/>
          <w:sz w:val="21"/>
        </w:rPr>
        <w:t>The generated .docx is committed to the repo. A quality lead who reads your regulatory guide and then the code finds the vendor's own compliance document describing an invented-data path. In a regulated audience that is not a documentation bug — it is a credibility-ending finding, and it is in the worst possible document.</w:t>
      </w:r>
    </w:p>
    <w:p>
      <w:r>
        <w:rPr>
          <w:b w:val="0"/>
          <w:i w:val="0"/>
          <w:color w:val="5A6570"/>
          <w:sz w:val="21"/>
        </w:rPr>
        <w:t>The same stale text appears at docs/PV-AgentCore-Architecture.md lines 56 and 62. The generator also still cites “32-check harness” and “7/7 red-team” and an unqualified “Proven live” inside a Part 11 mapping table. test_release_consistency.py gates markdown but not docs/generators/*.js, so these drifted silently.</w:t>
      </w:r>
    </w:p>
    <w:p>
      <w:r>
        <w:br w:type="page"/>
      </w:r>
    </w:p>
    <w:p>
      <w:pPr>
        <w:pStyle w:val="Heading1"/>
      </w:pPr>
      <w:r>
        <w:rPr>
          <w:rFonts w:ascii="Cambria" w:hAnsi="Cambria"/>
          <w:b/>
          <w:color w:val="232F3E"/>
          <w:sz w:val="29"/>
        </w:rPr>
        <w:t>Your questions, answered directly</w:t>
      </w:r>
    </w:p>
    <w:p>
      <w:pPr>
        <w:pStyle w:val="Heading2"/>
      </w:pPr>
      <w:r>
        <w:rPr>
          <w:rFonts w:ascii="Cambria" w:hAnsi="Cambria"/>
          <w:b/>
          <w:color w:val="232F3E"/>
          <w:sz w:val="24"/>
        </w:rPr>
        <w:t>Is it using the right AWS features?</w:t>
      </w:r>
    </w:p>
    <w:p>
      <w:r>
        <w:rPr>
          <w:b w:val="0"/>
          <w:i w:val="0"/>
          <w:sz w:val="21"/>
        </w:rPr>
        <w:t>Mostly yes, with four named gaps that matter for this workload class:</w:t>
      </w:r>
    </w:p>
    <w:p>
      <w:pPr>
        <w:pStyle w:val="ListBullet"/>
        <w:spacing w:after="80"/>
      </w:pPr>
      <w:r>
        <w:rPr>
          <w:b/>
          <w:sz w:val="21"/>
        </w:rPr>
        <w:t xml:space="preserve">Wrong service.  </w:t>
      </w:r>
      <w:r>
        <w:rPr>
          <w:sz w:val="21"/>
        </w:rPr>
        <w:t>The masker uses Amazon Comprehend DetectPiiEntities on clinical narrative text. Amazon Comprehend Medical DetectPHI is purpose-built for exactly this — clinical free text, HIPAA-relevant PHI entity types, medical-context recall that generic PII models lack. Masking is the gate everything downstream depends on, so an under-detecting masker is the highest-consequence quality defect in the pipeline. (compute_stack.py:110-111)</w:t>
      </w:r>
    </w:p>
    <w:p>
      <w:pPr>
        <w:pStyle w:val="ListBullet"/>
        <w:spacing w:after="80"/>
      </w:pPr>
      <w:r>
        <w:rPr>
          <w:b/>
          <w:sz w:val="21"/>
        </w:rPr>
        <w:t xml:space="preserve">Missing.  </w:t>
      </w:r>
      <w:r>
        <w:rPr>
          <w:sz w:val="21"/>
        </w:rPr>
        <w:t>No CloudTrail anywhere in the CDK — grep for CloudTrail/Config/GuardDuty/Backup across cdk/ returns zero. The application-level ledger is necessary but not sufficient; you also need an independent record of control-plane actions. An auditor's first question is “prove the evidence vault was not administratively altered,” and today that is answerable only by the application that would be the suspect.</w:t>
      </w:r>
    </w:p>
    <w:p>
      <w:pPr>
        <w:pStyle w:val="ListBullet"/>
        <w:spacing w:after="80"/>
      </w:pPr>
      <w:r>
        <w:rPr>
          <w:b/>
          <w:sz w:val="21"/>
        </w:rPr>
        <w:t xml:space="preserve">Missing.  </w:t>
      </w:r>
      <w:r>
        <w:rPr>
          <w:sz w:val="21"/>
        </w:rPr>
        <w:t>No Bedrock Guardrails and no model invocation logging. For a system drafting CIOMS narratives destined for a regulator, “what exactly did the model see and return” is a question you will be asked.</w:t>
      </w:r>
    </w:p>
    <w:p>
      <w:pPr>
        <w:pStyle w:val="ListBullet"/>
        <w:spacing w:after="80"/>
      </w:pPr>
      <w:r>
        <w:rPr>
          <w:b/>
          <w:sz w:val="21"/>
        </w:rPr>
        <w:t xml:space="preserve">Two wildcards.  </w:t>
      </w:r>
      <w:r>
        <w:rPr>
          <w:sz w:val="21"/>
        </w:rPr>
        <w:t>bedrock-agentcore:* on Resource:* (gateway_stack.py:97-99) and bedrock:InvokeModel on Resource:* (compute_stack.py:120-121). The first gives one Lambda full admin over the authorization control plane that the entire governance story rests on.</w:t>
      </w:r>
    </w:p>
    <w:p>
      <w:r>
        <w:rPr>
          <w:b w:val="0"/>
          <w:i w:val="0"/>
          <w:color w:val="5A6570"/>
          <w:sz w:val="21"/>
        </w:rPr>
        <w:t>Also worth knowing: the model is pinned to a us. cross-region inference profile, so invocations may route across US regions. That materially affects any data-locality statement and is not called out in the docs.</w:t>
      </w:r>
    </w:p>
    <w:p>
      <w:pPr>
        <w:pStyle w:val="Heading2"/>
      </w:pPr>
      <w:r>
        <w:rPr>
          <w:rFonts w:ascii="Cambria" w:hAnsi="Cambria"/>
          <w:b/>
          <w:color w:val="232F3E"/>
          <w:sz w:val="24"/>
        </w:rPr>
        <w:t>Does it deploy successfully?</w:t>
      </w:r>
    </w:p>
    <w:p>
      <w:r>
        <w:rPr>
          <w:b w:val="0"/>
          <w:i w:val="0"/>
          <w:sz w:val="21"/>
        </w:rPr>
        <w:t>Yes — validated live twice on clean accounts, torn down with zero residual. That is real and well-evidenced. Two caveats a Director of Infrastructure will raise:</w:t>
      </w:r>
    </w:p>
    <w:p>
      <w:pPr>
        <w:pStyle w:val="ListBullet"/>
        <w:spacing w:after="80"/>
      </w:pPr>
      <w:r>
        <w:rPr>
          <w:b/>
          <w:sz w:val="21"/>
        </w:rPr>
        <w:t xml:space="preserve">Version-fragile.  </w:t>
      </w:r>
      <w:r>
        <w:rPr>
          <w:sz w:val="21"/>
        </w:rPr>
        <w:t>I ran the suite against aws-cdk-lib 2.220.0 and got 1 failed, 112 passed. The failing test is test_pilot_identity_requires_software_mfa_and_threat_protection — the hardened identity posture does not synthesize on a nearby CDK version (“cannot enable Advanced Security when feature plan is not Plus”). It is green only at exactly the pinned 2.262.1. The security-relevant test is the fragile one.</w:t>
      </w:r>
    </w:p>
    <w:p>
      <w:pPr>
        <w:pStyle w:val="ListBullet"/>
        <w:spacing w:after="80"/>
      </w:pPr>
      <w:r>
        <w:rPr>
          <w:b/>
          <w:sz w:val="21"/>
        </w:rPr>
        <w:t xml:space="preserve">Pinned to us-east-1.  </w:t>
      </w:r>
      <w:r>
        <w:rPr>
          <w:sz w:val="21"/>
        </w:rPr>
        <w:t>network_stack.py:32 hardcodes availability_zones to us-east-1a/1b, and ARNs are hand-built with a literal aws partition. Private-network mode cannot deploy elsewhere. For pharmacovigilance this is commercial, not cosmetic — EMA/EudraVigilance obligations push EU sponsors to eu-west-1/eu-central-1, and GovCloud is structurally excluded.</w:t>
      </w:r>
    </w:p>
    <w:p>
      <w:pPr>
        <w:pStyle w:val="Heading2"/>
      </w:pPr>
      <w:r>
        <w:rPr>
          <w:rFonts w:ascii="Cambria" w:hAnsi="Cambria"/>
          <w:b/>
          <w:color w:val="232F3E"/>
          <w:sz w:val="24"/>
        </w:rPr>
        <w:t>Is the README up to date?</w:t>
      </w:r>
    </w:p>
    <w:p>
      <w:r>
        <w:rPr>
          <w:b w:val="0"/>
          <w:i w:val="0"/>
          <w:sz w:val="21"/>
        </w:rPr>
        <w:t>No, and it is the weakest document in the repo — which is unfortunate because it is the one everybody opens first.</w:t>
      </w:r>
    </w:p>
    <w:p>
      <w:pPr>
        <w:pStyle w:val="ListBullet"/>
        <w:spacing w:after="80"/>
      </w:pPr>
      <w:r>
        <w:rPr>
          <w:sz w:val="21"/>
        </w:rPr>
        <w:t>README.md:91 is headed “Tests — proven live in ENFORCE,” but the proof it describes is bash lib/engine/demo.sh — the shell engine that README.md:7-8 itself calls “legacy/internal reference only” and RELEASE-MANIFEST.md:25 explicitly calls “not pilot evidence.”</w:t>
      </w:r>
    </w:p>
    <w:p>
      <w:pPr>
        <w:pStyle w:val="ListBullet"/>
        <w:spacing w:after="80"/>
      </w:pPr>
      <w:r>
        <w:rPr>
          <w:sz w:val="21"/>
        </w:rPr>
        <w:t>README.md:118-131 — the only runnable deploy/prove/teardown block in the README is that same legacy shell path, with no CDK command and no git checkout of the tag. It contradicts the banner 110 lines above it. A reviewer sees two deployment paths, one unvalidated.</w:t>
      </w:r>
    </w:p>
    <w:p>
      <w:pPr>
        <w:pStyle w:val="Heading2"/>
      </w:pPr>
      <w:r>
        <w:rPr>
          <w:rFonts w:ascii="Cambria" w:hAnsi="Cambria"/>
          <w:b/>
          <w:color w:val="232F3E"/>
          <w:sz w:val="24"/>
        </w:rPr>
        <w:t>Is the runbook followable?</w:t>
      </w:r>
    </w:p>
    <w:p>
      <w:r>
        <w:rPr>
          <w:b w:val="0"/>
          <w:i w:val="0"/>
          <w:sz w:val="21"/>
        </w:rPr>
        <w:t>Yes. DEPLOYMENT-GUIDE.md is the strongest document in the set — it was re-walked end to end on a clean account and five defects were found and fixed in the process. That is exactly the right discipline. The problem is not the runbook; it is that the README competes with it and points somewhere else.</w:t>
      </w:r>
    </w:p>
    <w:p>
      <w:r>
        <w:rPr>
          <w:b w:val="0"/>
          <w:i w:val="0"/>
          <w:sz w:val="21"/>
        </w:rPr>
        <w:t>One substantive gap: the guide defines the EP1 capture set as including “a load run and an exactly-once replay storm” (lines 60-63). evidence/EP1-VALIDATION.md contains neither. The documented acceptance criteria for the release were not met by the recorded evidence, and EP1-VALIDATION.md:126-128 nonetheless says concurrency and replay-storm behaviour “are proven by the offline suite.” There is one idempotency unit test against a fake DynamoDB. No concurrency test, no replay-storm test, no load harness exists.</w:t>
      </w:r>
    </w:p>
    <w:p>
      <w:pPr>
        <w:pStyle w:val="Heading2"/>
      </w:pPr>
      <w:r>
        <w:rPr>
          <w:rFonts w:ascii="Cambria" w:hAnsi="Cambria"/>
          <w:b/>
          <w:color w:val="232F3E"/>
          <w:sz w:val="24"/>
        </w:rPr>
        <w:t>Is the security and regulatory story clear?</w:t>
      </w:r>
    </w:p>
    <w:p>
      <w:r>
        <w:rPr>
          <w:b w:val="0"/>
          <w:i w:val="0"/>
          <w:sz w:val="21"/>
        </w:rPr>
        <w:t>The stance is correct and consistently held — I checked every instance of compliant/certified/validated across the ten security documents and found zero overclaims. That is not the norm and it is worth saying out loud.</w:t>
      </w:r>
    </w:p>
    <w:p>
      <w:r>
        <w:rPr>
          <w:b w:val="0"/>
          <w:i w:val="0"/>
          <w:sz w:val="21"/>
        </w:rPr>
        <w:t>But three regulatory gaps will be found by anyone qualified:</w:t>
      </w:r>
    </w:p>
    <w:p>
      <w:pPr>
        <w:pStyle w:val="ListBullet"/>
        <w:spacing w:after="80"/>
      </w:pPr>
      <w:r>
        <w:rPr>
          <w:b/>
          <w:sz w:val="21"/>
        </w:rPr>
        <w:t xml:space="preserve">Signature-to-record binding.  </w:t>
      </w:r>
      <w:r>
        <w:rPr>
          <w:sz w:val="21"/>
        </w:rPr>
        <w:t>21 CFR 11.70 requires the signature be linked to its record so it cannot be excised or transferred. finalize_signoff.py:22 hashes a payload of {requester, approver, submission_id} — approval metadata, not the ICSR, the seriousness assessment, or the narrative. Nothing lets an inspector prove which narrative the approver saw. Compounding it, case content TTLs at 7 days and sanitized content at 1 day, so after a week the ledger proves an approval happened but the approved record is gone and was never hashed in.</w:t>
      </w:r>
    </w:p>
    <w:p>
      <w:pPr>
        <w:pStyle w:val="ListBullet"/>
        <w:spacing w:after="80"/>
      </w:pPr>
      <w:r>
        <w:rPr>
          <w:b/>
          <w:sz w:val="21"/>
        </w:rPr>
        <w:t xml:space="preserve">Part 11 elements.  </w:t>
      </w:r>
      <w:r>
        <w:rPr>
          <w:sz w:val="21"/>
        </w:rPr>
        <w:t>11.50 signature manifestation (printed name, timestamp, and the meaning of the signature) and 11.200 two-component signing are not addressed anywhere — zero repository hits. Approval is authorised by a bearer token, which is a weaker non-repudiation property than the docs imply. Timestamps are bare epoch seconds with no timezone and no trusted time source.</w:t>
      </w:r>
    </w:p>
    <w:p>
      <w:pPr>
        <w:pStyle w:val="ListBullet"/>
        <w:spacing w:after="80"/>
      </w:pPr>
      <w:r>
        <w:rPr>
          <w:b/>
          <w:sz w:val="21"/>
        </w:rPr>
        <w:t xml:space="preserve">EU is absent.  </w:t>
      </w:r>
      <w:r>
        <w:rPr>
          <w:sz w:val="21"/>
        </w:rPr>
        <w:t>GDPR: zero occurrences repository-wide. EU Annex 11: zero. GVP Module VI — the module that actually governs this workflow: zero. Yet the docs repeatedly invoke EMA, EudraVigilance and EU GVP. ICSR data is Article 9 special-category personal data. Either EU is in scope and these are required, or it is out of scope and no document says so.</w:t>
      </w:r>
    </w:p>
    <w:p>
      <w:r>
        <w:rPr>
          <w:b/>
          <w:i w:val="0"/>
          <w:sz w:val="21"/>
        </w:rPr>
        <w:t>Fourth, and the one a QPPV will care about most: the reporting clock is asserted but not tracked. assess_seriousness.py correctly returns EXPEDITED / 15 days, and a comment string in that file is the only place Day 0 is defined anywhere in the repository. There is no receipt-date capture, no computed due date, no clock-remaining metric, and no escalation. The human sign-off gate is therefore itself a reporting-clock risk — a case can sit at waitForTaskToken indefinitely with nothing counting down, and the 24-hour timeout fails the execution rather than escalating it.</w:t>
      </w:r>
    </w:p>
    <w:p>
      <w:pPr>
        <w:pStyle w:val="Heading2"/>
      </w:pPr>
      <w:r>
        <w:rPr>
          <w:rFonts w:ascii="Cambria" w:hAnsi="Cambria"/>
          <w:b/>
          <w:color w:val="C02138"/>
          <w:sz w:val="24"/>
        </w:rPr>
        <w:t>How does this compose with other agents, with a human in the loop?</w:t>
      </w:r>
    </w:p>
    <w:p>
      <w:r>
        <w:rPr>
          <w:b/>
          <w:i w:val="0"/>
          <w:sz w:val="21"/>
        </w:rPr>
        <w:t>This is the biggest content gap for your stated purpose, and it is a documentation gap rather than an architecture one.</w:t>
      </w:r>
    </w:p>
    <w:p>
      <w:r>
        <w:rPr>
          <w:b w:val="0"/>
          <w:i w:val="0"/>
          <w:sz w:val="21"/>
        </w:rPr>
        <w:t>I grepped every markdown file for multi-agent, agent-to-agent, A2A, cross-agent and orchestration language. Two hits, both inside docs/P0-Remediation-Plan.md — an internal remediation tracker. There is no document that explains how this agent and its AgentCore architecture extend to a second or third agent.</w:t>
      </w:r>
    </w:p>
    <w:p>
      <w:r>
        <w:rPr>
          <w:b w:val="0"/>
          <w:i w:val="0"/>
          <w:sz w:val="21"/>
        </w:rPr>
        <w:t>The human-in-the-loop story, by contrast, is excellent and covered in 19 documents: waitForTaskToken, separation of duties on verified identity, single-use compare-and-swap, denials written to the ledger. That half is done.</w:t>
      </w:r>
    </w:p>
    <w:p>
      <w:r>
        <w:rPr>
          <w:b w:val="0"/>
          <w:i w:val="0"/>
          <w:sz w:val="21"/>
        </w:rPr>
        <w:t>The composition story is genuinely there in the code — it is just never told. You already have: six Cedar policy files as a reusable policy model, an AgentCore Gateway attachment as IaC, a shared control-plane pattern that has been ported across four agents (housing, EDU, PV, benefits), a signed-reference boundary that is agent-agnostic, and one audit ledger design. What is missing is a document that says: here is the control plane, here is how agent two onboards to it, here is what it inherits for free, here is where the human gate sits when two agents hand off, and here is how Cedar prevents agent A from invoking agent B's tools.</w:t>
      </w:r>
    </w:p>
    <w:p>
      <w:r>
        <w:rPr>
          <w:b w:val="0"/>
          <w:i w:val="0"/>
          <w:sz w:val="21"/>
        </w:rPr>
        <w:t>For an internal AWS audience this is the most valuable thing you could add, because it is the difference between “we built a pharmacovigilance agent” and “we built a governed platform and pharmacovigilance is the first tenant.”</w:t>
      </w:r>
    </w:p>
    <w:p>
      <w:r>
        <w:br w:type="page"/>
      </w:r>
    </w:p>
    <w:p>
      <w:pPr>
        <w:pStyle w:val="Heading1"/>
      </w:pPr>
      <w:r>
        <w:rPr>
          <w:rFonts w:ascii="Cambria" w:hAnsi="Cambria"/>
          <w:b/>
          <w:color w:val="1D8102"/>
          <w:sz w:val="29"/>
        </w:rPr>
        <w:t>What is genuinely strong — lead with these</w:t>
      </w:r>
    </w:p>
    <w:p>
      <w:pPr>
        <w:pStyle w:val="ListBullet"/>
        <w:spacing w:after="80"/>
      </w:pPr>
      <w:r>
        <w:rPr>
          <w:b/>
          <w:sz w:val="21"/>
        </w:rPr>
        <w:t xml:space="preserve">Pass-by-reference PHI design.  </w:t>
      </w:r>
      <w:r>
        <w:rPr>
          <w:sz w:val="21"/>
        </w:rPr>
        <w:t>Raw content enters through exactly one Lambda; only opaque signed references cross Step Functions state, and a test enforces it. Extending this to the narrative output, not just the input, was the right call — that is the leak most teams ship.</w:t>
      </w:r>
    </w:p>
    <w:p>
      <w:pPr>
        <w:pStyle w:val="ListBullet"/>
        <w:spacing w:after="80"/>
      </w:pPr>
      <w:r>
        <w:rPr>
          <w:b/>
          <w:sz w:val="21"/>
        </w:rPr>
        <w:t xml:space="preserve">Hash-chained audit ledger.  </w:t>
      </w:r>
      <w:r>
        <w:rPr>
          <w:sz w:val="21"/>
        </w:rPr>
        <w:t>Server-read head, atomic TransactWriteItems, compare-and-swap so concurrent writers cannot fork, PutItem-only so the append-only IAM Deny still holds. This is what a Part 11 audit trail actually needs, and it is real engineering rather than documentation.</w:t>
      </w:r>
    </w:p>
    <w:p>
      <w:pPr>
        <w:pStyle w:val="ListBullet"/>
        <w:spacing w:after="80"/>
      </w:pPr>
      <w:r>
        <w:rPr>
          <w:b/>
          <w:sz w:val="21"/>
        </w:rPr>
        <w:t xml:space="preserve">Signed masking proof.  </w:t>
      </w:r>
      <w:r>
        <w:rPr>
          <w:sz w:val="21"/>
        </w:rPr>
        <w:t>Replacing a spoofable deidentified:true boolean with a server-signed reference bound to content is the correct answer to “the model asserts it is clean.”</w:t>
      </w:r>
    </w:p>
    <w:p>
      <w:pPr>
        <w:pStyle w:val="ListBullet"/>
        <w:spacing w:after="80"/>
      </w:pPr>
      <w:r>
        <w:rPr>
          <w:b/>
          <w:sz w:val="21"/>
        </w:rPr>
        <w:t xml:space="preserve">Self-disclosed defect.  </w:t>
      </w:r>
      <w:r>
        <w:rPr>
          <w:sz w:val="21"/>
        </w:rPr>
        <w:t>EP1-VALIDATION.md discloses that the canary found a real PHI leak — the CIOMS narrative crossing Step Functions state — names it, fixes it, adds a regression test and re-validates. Publishing your own near-miss with the fix is the single most credibility-building artifact in the repository. Point a CISO at it deliberately.</w:t>
      </w:r>
    </w:p>
    <w:p>
      <w:pPr>
        <w:pStyle w:val="ListBullet"/>
        <w:spacing w:after="80"/>
      </w:pPr>
      <w:r>
        <w:rPr>
          <w:b/>
          <w:sz w:val="21"/>
        </w:rPr>
        <w:t xml:space="preserve">The CI completeness gate.  </w:t>
      </w:r>
      <w:r>
        <w:rPr>
          <w:sz w:val="21"/>
        </w:rPr>
        <w:t>tests/test_ci_completeness.py detects and blocks the silently-skipped-CDK-assertions failure mode and requires pinned CDK versions so an independent verifier reproduces the validated synthesis. That is mature control thinking and rare.</w:t>
      </w:r>
    </w:p>
    <w:p>
      <w:pPr>
        <w:pStyle w:val="ListBullet"/>
        <w:spacing w:after="80"/>
      </w:pPr>
      <w:r>
        <w:rPr>
          <w:b/>
          <w:sz w:val="21"/>
        </w:rPr>
        <w:t xml:space="preserve">Anti-claims discipline.  </w:t>
      </w:r>
      <w:r>
        <w:rPr>
          <w:sz w:val="21"/>
        </w:rPr>
        <w:t>PILOT-SCOPE.md “What it will NOT do (do not claim these)” — writing the anti-claims down, in the sales-facing document, addressed to your own field team.</w:t>
      </w:r>
    </w:p>
    <w:p>
      <w:pPr>
        <w:pStyle w:val="ListBullet"/>
        <w:spacing w:after="80"/>
      </w:pPr>
      <w:r>
        <w:rPr>
          <w:b/>
          <w:sz w:val="21"/>
        </w:rPr>
        <w:t xml:space="preserve">DuplicateHold.  </w:t>
      </w:r>
      <w:r>
        <w:rPr>
          <w:sz w:val="21"/>
        </w:rPr>
        <w:t>Modelled as a terminal work queue rather than an error. Double-reporting an ICSR to a regulator is worse than a stalled case, and the code says so. That is domain understanding.</w:t>
      </w:r>
    </w:p>
    <w:p>
      <w:pPr>
        <w:pStyle w:val="Heading1"/>
      </w:pPr>
      <w:r>
        <w:rPr>
          <w:rFonts w:ascii="Cambria" w:hAnsi="Cambria"/>
          <w:b/>
          <w:color w:val="232F3E"/>
          <w:sz w:val="29"/>
        </w:rPr>
        <w:t>Action plan</w:t>
      </w:r>
    </w:p>
    <w:p>
      <w:pPr>
        <w:pStyle w:val="Heading2"/>
      </w:pPr>
      <w:r>
        <w:rPr>
          <w:rFonts w:ascii="Cambria" w:hAnsi="Cambria"/>
          <w:b/>
          <w:color w:val="C02138"/>
          <w:sz w:val="24"/>
        </w:rPr>
        <w:t>P0 — before you show this to anyone</w:t>
      </w:r>
    </w:p>
    <w:tbl>
      <w:tblPr>
        <w:tblStyle w:val="TableGrid"/>
        <w:tblW w:type="auto" w:w="0"/>
        <w:jc w:val="center"/>
        <w:tblLook w:firstColumn="1" w:firstRow="1" w:lastColumn="0" w:lastRow="0" w:noHBand="0" w:noVBand="1" w:val="04A0"/>
      </w:tblPr>
      <w:tblGrid>
        <w:gridCol w:w="3264"/>
        <w:gridCol w:w="3264"/>
        <w:gridCol w:w="3264"/>
      </w:tblGrid>
      <w:tr>
        <w:tc>
          <w:tcPr>
            <w:tcW w:type="dxa" w:w="504"/>
            <w:shd w:val="clear" w:fill="232F3E"/>
          </w:tcPr>
          <w:p>
            <w:r/>
            <w:r>
              <w:rPr>
                <w:b/>
                <w:color w:val="FFFFFF"/>
                <w:sz w:val="18"/>
              </w:rPr>
              <w:t>#</w:t>
            </w:r>
          </w:p>
        </w:tc>
        <w:tc>
          <w:tcPr>
            <w:tcW w:type="dxa" w:w="5184"/>
            <w:shd w:val="clear" w:fill="232F3E"/>
          </w:tcPr>
          <w:p>
            <w:r/>
            <w:r>
              <w:rPr>
                <w:b/>
                <w:color w:val="FFFFFF"/>
                <w:sz w:val="18"/>
              </w:rPr>
              <w:t>Action</w:t>
            </w:r>
          </w:p>
        </w:tc>
        <w:tc>
          <w:tcPr>
            <w:tcW w:type="dxa" w:w="4104"/>
            <w:shd w:val="clear" w:fill="232F3E"/>
          </w:tcPr>
          <w:p>
            <w:r/>
            <w:r>
              <w:rPr>
                <w:b/>
                <w:color w:val="FFFFFF"/>
                <w:sz w:val="18"/>
              </w:rPr>
              <w:t>Why</w:t>
            </w:r>
          </w:p>
        </w:tc>
      </w:tr>
      <w:tr>
        <w:tc>
          <w:tcPr>
            <w:tcW w:type="dxa" w:w="504"/>
          </w:tcPr>
          <w:p>
            <w:pPr>
              <w:spacing w:after="40"/>
            </w:pPr>
            <w:r/>
            <w:r>
              <w:rPr>
                <w:b/>
                <w:sz w:val="18"/>
              </w:rPr>
              <w:t>1</w:t>
            </w:r>
          </w:p>
        </w:tc>
        <w:tc>
          <w:tcPr>
            <w:tcW w:type="dxa" w:w="5184"/>
          </w:tcPr>
          <w:p>
            <w:pPr>
              <w:spacing w:after="40"/>
            </w:pPr>
            <w:r/>
            <w:r>
              <w:rPr>
                <w:sz w:val="18"/>
              </w:rPr>
              <w:t>Regenerate the regulatory .docx from a corrected regulatory.js — remove the “fails soft to a deterministic aggregate” line, the “Authoritative” header, the deidentified=false line, and the 32/32 and 7/7 counts. Gate docs/generators/*.js in test_release_consistency.py.</w:t>
            </w:r>
          </w:p>
        </w:tc>
        <w:tc>
          <w:tcPr>
            <w:tcW w:type="dxa" w:w="4104"/>
          </w:tcPr>
          <w:p>
            <w:pPr>
              <w:spacing w:after="40"/>
            </w:pPr>
            <w:r/>
            <w:r>
              <w:rPr>
                <w:sz w:val="18"/>
              </w:rPr>
              <w:t>Your regulatory document currently describes a fabrication path you removed.</w:t>
            </w:r>
          </w:p>
        </w:tc>
      </w:tr>
      <w:tr>
        <w:tc>
          <w:tcPr>
            <w:tcW w:type="dxa" w:w="504"/>
          </w:tcPr>
          <w:p>
            <w:pPr>
              <w:spacing w:after="40"/>
            </w:pPr>
            <w:r/>
            <w:r>
              <w:rPr>
                <w:b/>
                <w:sz w:val="18"/>
              </w:rPr>
              <w:t>2</w:t>
            </w:r>
          </w:p>
        </w:tc>
        <w:tc>
          <w:tcPr>
            <w:tcW w:type="dxa" w:w="5184"/>
          </w:tcPr>
          <w:p>
            <w:pPr>
              <w:spacing w:after="40"/>
            </w:pPr>
            <w:r/>
            <w:r>
              <w:rPr>
                <w:sz w:val="18"/>
              </w:rPr>
              <w:t>Reconcile every count to 114 (23 CDK) across 13 call-sites; fix the RELEASE-MANIFEST self-contradiction at lines 15 vs 24; add a count assertion to CI.</w:t>
            </w:r>
          </w:p>
        </w:tc>
        <w:tc>
          <w:tcPr>
            <w:tcW w:type="dxa" w:w="4104"/>
          </w:tcPr>
          <w:p>
            <w:pPr>
              <w:spacing w:after="40"/>
            </w:pPr>
            <w:r/>
            <w:r>
              <w:rPr>
                <w:sz w:val="18"/>
              </w:rPr>
              <w:t>First thing a reviewer spot-checks. One wrong number discredits the control claims.</w:t>
            </w:r>
          </w:p>
        </w:tc>
      </w:tr>
      <w:tr>
        <w:tc>
          <w:tcPr>
            <w:tcW w:type="dxa" w:w="504"/>
          </w:tcPr>
          <w:p>
            <w:pPr>
              <w:spacing w:after="40"/>
            </w:pPr>
            <w:r/>
            <w:r>
              <w:rPr>
                <w:b/>
                <w:sz w:val="18"/>
              </w:rPr>
              <w:t>3</w:t>
            </w:r>
          </w:p>
        </w:tc>
        <w:tc>
          <w:tcPr>
            <w:tcW w:type="dxa" w:w="5184"/>
          </w:tcPr>
          <w:p>
            <w:pPr>
              <w:spacing w:after="40"/>
            </w:pPr>
            <w:r/>
            <w:r>
              <w:rPr>
                <w:sz w:val="18"/>
              </w:rPr>
              <w:t>Delete the “EP1 not yet run” text in THREAT-MODEL.md:25, START-HERE.md:10-11 and 29-31, AUDIT-READINESS.md:5 and 39, cdk/README.md:48.</w:t>
            </w:r>
          </w:p>
        </w:tc>
        <w:tc>
          <w:tcPr>
            <w:tcW w:type="dxa" w:w="4104"/>
          </w:tcPr>
          <w:p>
            <w:pPr>
              <w:spacing w:after="40"/>
            </w:pPr>
            <w:r/>
            <w:r>
              <w:rPr>
                <w:sz w:val="18"/>
              </w:rPr>
              <w:t>Four documents currently tell a CISO your validation never happened.</w:t>
            </w:r>
          </w:p>
        </w:tc>
      </w:tr>
      <w:tr>
        <w:tc>
          <w:tcPr>
            <w:tcW w:type="dxa" w:w="504"/>
          </w:tcPr>
          <w:p>
            <w:pPr>
              <w:spacing w:after="40"/>
            </w:pPr>
            <w:r/>
            <w:r>
              <w:rPr>
                <w:b/>
                <w:sz w:val="18"/>
              </w:rPr>
              <w:t>4</w:t>
            </w:r>
          </w:p>
        </w:tc>
        <w:tc>
          <w:tcPr>
            <w:tcW w:type="dxa" w:w="5184"/>
          </w:tcPr>
          <w:p>
            <w:pPr>
              <w:spacing w:after="40"/>
            </w:pPr>
            <w:r/>
            <w:r>
              <w:rPr>
                <w:sz w:val="18"/>
              </w:rPr>
              <w:t>Promote pv-val2 / 2026-07-28 into RELEASE-MANIFEST, VALIDATED_RELEASE, START-HERE, PILOT-SCOPE, GATE-B-CHECKLIST; correct the tag provenance.</w:t>
            </w:r>
          </w:p>
        </w:tc>
        <w:tc>
          <w:tcPr>
            <w:tcW w:type="dxa" w:w="4104"/>
          </w:tcPr>
          <w:p>
            <w:pPr>
              <w:spacing w:after="40"/>
            </w:pPr>
            <w:r/>
            <w:r>
              <w:rPr>
                <w:sz w:val="18"/>
              </w:rPr>
              <w:t>The shipped tag's actual validating run appears in no authoritative document.</w:t>
            </w:r>
          </w:p>
        </w:tc>
      </w:tr>
      <w:tr>
        <w:tc>
          <w:tcPr>
            <w:tcW w:type="dxa" w:w="504"/>
          </w:tcPr>
          <w:p>
            <w:pPr>
              <w:spacing w:after="40"/>
            </w:pPr>
            <w:r/>
            <w:r>
              <w:rPr>
                <w:b/>
                <w:sz w:val="18"/>
              </w:rPr>
              <w:t>5</w:t>
            </w:r>
          </w:p>
        </w:tc>
        <w:tc>
          <w:tcPr>
            <w:tcW w:type="dxa" w:w="5184"/>
          </w:tcPr>
          <w:p>
            <w:pPr>
              <w:spacing w:after="40"/>
            </w:pPr>
            <w:r/>
            <w:r>
              <w:rPr>
                <w:sz w:val="18"/>
              </w:rPr>
              <w:t>Retitle README.md:91 and either remove the legacy shell block at 118-131 or fence it below the CDK path under an explicit legacy heading.</w:t>
            </w:r>
          </w:p>
        </w:tc>
        <w:tc>
          <w:tcPr>
            <w:tcW w:type="dxa" w:w="4104"/>
          </w:tcPr>
          <w:p>
            <w:pPr>
              <w:spacing w:after="40"/>
            </w:pPr>
            <w:r/>
            <w:r>
              <w:rPr>
                <w:sz w:val="18"/>
              </w:rPr>
              <w:t>The README's only runnable block is the path you tell people not to use.</w:t>
            </w:r>
          </w:p>
        </w:tc>
      </w:tr>
      <w:tr>
        <w:tc>
          <w:tcPr>
            <w:tcW w:type="dxa" w:w="504"/>
          </w:tcPr>
          <w:p>
            <w:pPr>
              <w:spacing w:after="40"/>
            </w:pPr>
            <w:r/>
            <w:r>
              <w:rPr>
                <w:b/>
                <w:sz w:val="18"/>
              </w:rPr>
              <w:t>6</w:t>
            </w:r>
          </w:p>
        </w:tc>
        <w:tc>
          <w:tcPr>
            <w:tcW w:type="dxa" w:w="5184"/>
          </w:tcPr>
          <w:p>
            <w:pPr>
              <w:spacing w:after="40"/>
            </w:pPr>
            <w:r/>
            <w:r>
              <w:rPr>
                <w:sz w:val="18"/>
              </w:rPr>
              <w:t>Downgrade the concurrency / replay-storm language in EP1-VALIDATION.md:126-128, GATE-B-CHECKLIST.md:13 and DEPLOYMENT-GUIDE.md:60-63 to what one idempotency unit test supports.</w:t>
            </w:r>
          </w:p>
        </w:tc>
        <w:tc>
          <w:tcPr>
            <w:tcW w:type="dxa" w:w="4104"/>
          </w:tcPr>
          <w:p>
            <w:pPr>
              <w:spacing w:after="40"/>
            </w:pPr>
            <w:r/>
            <w:r>
              <w:rPr>
                <w:sz w:val="18"/>
              </w:rPr>
              <w:t>“Proven” is not supportable and this is a testable claim.</w:t>
            </w:r>
          </w:p>
        </w:tc>
      </w:tr>
    </w:tbl>
    <w:p>
      <w:pPr>
        <w:pStyle w:val="Heading2"/>
      </w:pPr>
      <w:r>
        <w:rPr>
          <w:rFonts w:ascii="Cambria" w:hAnsi="Cambria"/>
          <w:b/>
          <w:color w:val="B56D00"/>
          <w:sz w:val="24"/>
        </w:rPr>
        <w:t>P1 — before a customer sees it</w:t>
      </w:r>
    </w:p>
    <w:tbl>
      <w:tblPr>
        <w:tblStyle w:val="TableGrid"/>
        <w:tblW w:type="auto" w:w="0"/>
        <w:jc w:val="center"/>
        <w:tblLook w:firstColumn="1" w:firstRow="1" w:lastColumn="0" w:lastRow="0" w:noHBand="0" w:noVBand="1" w:val="04A0"/>
      </w:tblPr>
      <w:tblGrid>
        <w:gridCol w:w="3264"/>
        <w:gridCol w:w="3264"/>
        <w:gridCol w:w="3264"/>
      </w:tblGrid>
      <w:tr>
        <w:tc>
          <w:tcPr>
            <w:tcW w:type="dxa" w:w="504"/>
            <w:shd w:val="clear" w:fill="232F3E"/>
          </w:tcPr>
          <w:p>
            <w:r/>
            <w:r>
              <w:rPr>
                <w:b/>
                <w:color w:val="FFFFFF"/>
                <w:sz w:val="18"/>
              </w:rPr>
              <w:t>#</w:t>
            </w:r>
          </w:p>
        </w:tc>
        <w:tc>
          <w:tcPr>
            <w:tcW w:type="dxa" w:w="5184"/>
            <w:shd w:val="clear" w:fill="232F3E"/>
          </w:tcPr>
          <w:p>
            <w:r/>
            <w:r>
              <w:rPr>
                <w:b/>
                <w:color w:val="FFFFFF"/>
                <w:sz w:val="18"/>
              </w:rPr>
              <w:t>Action</w:t>
            </w:r>
          </w:p>
        </w:tc>
        <w:tc>
          <w:tcPr>
            <w:tcW w:type="dxa" w:w="4104"/>
            <w:shd w:val="clear" w:fill="232F3E"/>
          </w:tcPr>
          <w:p>
            <w:r/>
            <w:r>
              <w:rPr>
                <w:b/>
                <w:color w:val="FFFFFF"/>
                <w:sz w:val="18"/>
              </w:rPr>
              <w:t>Why</w:t>
            </w:r>
          </w:p>
        </w:tc>
      </w:tr>
      <w:tr>
        <w:tc>
          <w:tcPr>
            <w:tcW w:type="dxa" w:w="504"/>
          </w:tcPr>
          <w:p>
            <w:pPr>
              <w:spacing w:after="40"/>
            </w:pPr>
            <w:r/>
            <w:r>
              <w:rPr>
                <w:b/>
                <w:sz w:val="18"/>
              </w:rPr>
              <w:t>7</w:t>
            </w:r>
          </w:p>
        </w:tc>
        <w:tc>
          <w:tcPr>
            <w:tcW w:type="dxa" w:w="5184"/>
          </w:tcPr>
          <w:p>
            <w:pPr>
              <w:spacing w:after="40"/>
            </w:pPr>
            <w:r/>
            <w:r>
              <w:rPr>
                <w:sz w:val="18"/>
              </w:rPr>
              <w:t>Write the multi-agent composition document: the shared control plane, how a second agent onboards, what it inherits, where the human gate sits on hand-off, how Cedar isolates agents from each other's tools.</w:t>
            </w:r>
          </w:p>
        </w:tc>
        <w:tc>
          <w:tcPr>
            <w:tcW w:type="dxa" w:w="4104"/>
          </w:tcPr>
          <w:p>
            <w:pPr>
              <w:spacing w:after="40"/>
            </w:pPr>
            <w:r/>
            <w:r>
              <w:rPr>
                <w:sz w:val="18"/>
              </w:rPr>
              <w:t>The specific thing you asked for, and the thing that turns this into a platform story.</w:t>
            </w:r>
          </w:p>
        </w:tc>
      </w:tr>
      <w:tr>
        <w:tc>
          <w:tcPr>
            <w:tcW w:type="dxa" w:w="504"/>
          </w:tcPr>
          <w:p>
            <w:pPr>
              <w:spacing w:after="40"/>
            </w:pPr>
            <w:r/>
            <w:r>
              <w:rPr>
                <w:b/>
                <w:sz w:val="18"/>
              </w:rPr>
              <w:t>8</w:t>
            </w:r>
          </w:p>
        </w:tc>
        <w:tc>
          <w:tcPr>
            <w:tcW w:type="dxa" w:w="5184"/>
          </w:tcPr>
          <w:p>
            <w:pPr>
              <w:spacing w:after="40"/>
            </w:pPr>
            <w:r/>
            <w:r>
              <w:rPr>
                <w:sz w:val="18"/>
              </w:rPr>
              <w:t>Apply the Object Lock bypass Deny as a bucket policy. Today write_audit has the Deny but request_signoff and finalize get grant_put, which expands to include PutObjectRetention and PutObjectLegalHold.</w:t>
            </w:r>
          </w:p>
        </w:tc>
        <w:tc>
          <w:tcPr>
            <w:tcW w:type="dxa" w:w="4104"/>
          </w:tcPr>
          <w:p>
            <w:pPr>
              <w:spacing w:after="40"/>
            </w:pPr>
            <w:r/>
            <w:r>
              <w:rPr>
                <w:sz w:val="18"/>
              </w:rPr>
              <w:t>The control is right; it is applied to one of three principals.</w:t>
            </w:r>
          </w:p>
        </w:tc>
      </w:tr>
      <w:tr>
        <w:tc>
          <w:tcPr>
            <w:tcW w:type="dxa" w:w="504"/>
          </w:tcPr>
          <w:p>
            <w:pPr>
              <w:spacing w:after="40"/>
            </w:pPr>
            <w:r/>
            <w:r>
              <w:rPr>
                <w:b/>
                <w:sz w:val="18"/>
              </w:rPr>
              <w:t>9</w:t>
            </w:r>
          </w:p>
        </w:tc>
        <w:tc>
          <w:tcPr>
            <w:tcW w:type="dxa" w:w="5184"/>
          </w:tcPr>
          <w:p>
            <w:pPr>
              <w:spacing w:after="40"/>
            </w:pPr>
            <w:r/>
            <w:r>
              <w:rPr>
                <w:sz w:val="18"/>
              </w:rPr>
              <w:t>Scope bedrock-agentcore:* and bedrock:InvokeModel to specific ARNs.</w:t>
            </w:r>
          </w:p>
        </w:tc>
        <w:tc>
          <w:tcPr>
            <w:tcW w:type="dxa" w:w="4104"/>
          </w:tcPr>
          <w:p>
            <w:pPr>
              <w:spacing w:after="40"/>
            </w:pPr>
            <w:r/>
            <w:r>
              <w:rPr>
                <w:sz w:val="18"/>
              </w:rPr>
              <w:t>One Lambda currently has full admin over the authorization control plane.</w:t>
            </w:r>
          </w:p>
        </w:tc>
      </w:tr>
      <w:tr>
        <w:tc>
          <w:tcPr>
            <w:tcW w:type="dxa" w:w="504"/>
          </w:tcPr>
          <w:p>
            <w:pPr>
              <w:spacing w:after="40"/>
            </w:pPr>
            <w:r/>
            <w:r>
              <w:rPr>
                <w:b/>
                <w:sz w:val="18"/>
              </w:rPr>
              <w:t>10</w:t>
            </w:r>
          </w:p>
        </w:tc>
        <w:tc>
          <w:tcPr>
            <w:tcW w:type="dxa" w:w="5184"/>
          </w:tcPr>
          <w:p>
            <w:pPr>
              <w:spacing w:after="40"/>
            </w:pPr>
            <w:r/>
            <w:r>
              <w:rPr>
                <w:sz w:val="18"/>
              </w:rPr>
              <w:t>Add CloudTrail with S3 and DynamoDB data events on the vault and ledger; add Network Firewall logging.</w:t>
            </w:r>
          </w:p>
        </w:tc>
        <w:tc>
          <w:tcPr>
            <w:tcW w:type="dxa" w:w="4104"/>
          </w:tcPr>
          <w:p>
            <w:pPr>
              <w:spacing w:after="40"/>
            </w:pPr>
            <w:r/>
            <w:r>
              <w:rPr>
                <w:sz w:val="18"/>
              </w:rPr>
              <w:t>Independent proof the evidence store was not administratively altered. The firewall currently produces no logs at all.</w:t>
            </w:r>
          </w:p>
        </w:tc>
      </w:tr>
      <w:tr>
        <w:tc>
          <w:tcPr>
            <w:tcW w:type="dxa" w:w="504"/>
          </w:tcPr>
          <w:p>
            <w:pPr>
              <w:spacing w:after="40"/>
            </w:pPr>
            <w:r/>
            <w:r>
              <w:rPr>
                <w:b/>
                <w:sz w:val="18"/>
              </w:rPr>
              <w:t>11</w:t>
            </w:r>
          </w:p>
        </w:tc>
        <w:tc>
          <w:tcPr>
            <w:tcW w:type="dxa" w:w="5184"/>
          </w:tcPr>
          <w:p>
            <w:pPr>
              <w:spacing w:after="40"/>
            </w:pPr>
            <w:r/>
            <w:r>
              <w:rPr>
                <w:sz w:val="18"/>
              </w:rPr>
              <w:t>Add retries and catches to every Step Functions task; extend the 24-hour sign-off timeout to days with a catch into an explicit abandoned-case state.</w:t>
            </w:r>
          </w:p>
        </w:tc>
        <w:tc>
          <w:tcPr>
            <w:tcW w:type="dxa" w:w="4104"/>
          </w:tcPr>
          <w:p>
            <w:pPr>
              <w:spacing w:after="40"/>
            </w:pPr>
            <w:r/>
            <w:r>
              <w:rPr>
                <w:sz w:val="18"/>
              </w:rPr>
              <w:t>One Lambda throttle currently fails a nine-step execution and the case lands in no queue.</w:t>
            </w:r>
          </w:p>
        </w:tc>
      </w:tr>
      <w:tr>
        <w:tc>
          <w:tcPr>
            <w:tcW w:type="dxa" w:w="504"/>
          </w:tcPr>
          <w:p>
            <w:pPr>
              <w:spacing w:after="40"/>
            </w:pPr>
            <w:r/>
            <w:r>
              <w:rPr>
                <w:b/>
                <w:sz w:val="18"/>
              </w:rPr>
              <w:t>12</w:t>
            </w:r>
          </w:p>
        </w:tc>
        <w:tc>
          <w:tcPr>
            <w:tcW w:type="dxa" w:w="5184"/>
          </w:tcPr>
          <w:p>
            <w:pPr>
              <w:spacing w:after="40"/>
            </w:pPr>
            <w:r/>
            <w:r>
              <w:rPr>
                <w:sz w:val="18"/>
              </w:rPr>
              <w:t>Add Day-0 receipt capture, a computed due date, a clock-remaining metric and escalation alarms on the human gate and DuplicateHold.</w:t>
            </w:r>
          </w:p>
        </w:tc>
        <w:tc>
          <w:tcPr>
            <w:tcW w:type="dxa" w:w="4104"/>
          </w:tcPr>
          <w:p>
            <w:pPr>
              <w:spacing w:after="40"/>
            </w:pPr>
            <w:r/>
            <w:r>
              <w:rPr>
                <w:sz w:val="18"/>
              </w:rPr>
              <w:t>The reporting clock is the QPPV's first question and it is untracked.</w:t>
            </w:r>
          </w:p>
        </w:tc>
      </w:tr>
      <w:tr>
        <w:tc>
          <w:tcPr>
            <w:tcW w:type="dxa" w:w="504"/>
          </w:tcPr>
          <w:p>
            <w:pPr>
              <w:spacing w:after="40"/>
            </w:pPr>
            <w:r/>
            <w:r>
              <w:rPr>
                <w:b/>
                <w:sz w:val="18"/>
              </w:rPr>
              <w:t>13</w:t>
            </w:r>
          </w:p>
        </w:tc>
        <w:tc>
          <w:tcPr>
            <w:tcW w:type="dxa" w:w="5184"/>
          </w:tcPr>
          <w:p>
            <w:pPr>
              <w:spacing w:after="40"/>
            </w:pPr>
            <w:r/>
            <w:r>
              <w:rPr>
                <w:sz w:val="18"/>
              </w:rPr>
              <w:t>Switch the masker to Comprehend Medical DetectPHI; add Bedrock Guardrails and model invocation logging.</w:t>
            </w:r>
          </w:p>
        </w:tc>
        <w:tc>
          <w:tcPr>
            <w:tcW w:type="dxa" w:w="4104"/>
          </w:tcPr>
          <w:p>
            <w:pPr>
              <w:spacing w:after="40"/>
            </w:pPr>
            <w:r/>
            <w:r>
              <w:rPr>
                <w:sz w:val="18"/>
              </w:rPr>
              <w:t>Right service for clinical text; audit answer for what the model saw.</w:t>
            </w:r>
          </w:p>
        </w:tc>
      </w:tr>
      <w:tr>
        <w:tc>
          <w:tcPr>
            <w:tcW w:type="dxa" w:w="504"/>
          </w:tcPr>
          <w:p>
            <w:pPr>
              <w:spacing w:after="40"/>
            </w:pPr>
            <w:r/>
            <w:r>
              <w:rPr>
                <w:b/>
                <w:sz w:val="18"/>
              </w:rPr>
              <w:t>14</w:t>
            </w:r>
          </w:p>
        </w:tc>
        <w:tc>
          <w:tcPr>
            <w:tcW w:type="dxa" w:w="5184"/>
          </w:tcPr>
          <w:p>
            <w:pPr>
              <w:spacing w:after="40"/>
            </w:pPr>
            <w:r/>
            <w:r>
              <w:rPr>
                <w:sz w:val="18"/>
              </w:rPr>
              <w:t>Add VPC endpoint policies. The S3 gateway endpoint currently reaches every bucket in the partition.</w:t>
            </w:r>
          </w:p>
        </w:tc>
        <w:tc>
          <w:tcPr>
            <w:tcW w:type="dxa" w:w="4104"/>
          </w:tcPr>
          <w:p>
            <w:pPr>
              <w:spacing w:after="40"/>
            </w:pPr>
            <w:r/>
            <w:r>
              <w:rPr>
                <w:sz w:val="18"/>
              </w:rPr>
              <w:t>This is the exfiltration path the egress firewall was built to close.</w:t>
            </w:r>
          </w:p>
        </w:tc>
      </w:tr>
    </w:tbl>
    <w:p>
      <w:pPr>
        <w:pStyle w:val="Heading2"/>
      </w:pPr>
      <w:r>
        <w:rPr>
          <w:rFonts w:ascii="Cambria" w:hAnsi="Cambria"/>
          <w:b/>
          <w:color w:val="5A6570"/>
          <w:sz w:val="24"/>
        </w:rPr>
        <w:t>P2 — worth doing, not blocking</w:t>
      </w:r>
    </w:p>
    <w:p>
      <w:pPr>
        <w:pStyle w:val="ListBullet"/>
        <w:spacing w:after="80"/>
      </w:pPr>
      <w:r>
        <w:rPr>
          <w:sz w:val="21"/>
        </w:rPr>
        <w:t>Decide EU in-scope or out and say so explicitly. If in: GDPR lawful basis, Article 30, DPIA, Chapter V transfer, and a 72-hour notification path in INCIDENT-RESPONSE.md; plus EU Annex 11 and GVP Module VI by name.</w:t>
      </w:r>
    </w:p>
    <w:p>
      <w:pPr>
        <w:pStyle w:val="ListBullet"/>
        <w:spacing w:after="80"/>
      </w:pPr>
      <w:r>
        <w:rPr>
          <w:sz w:val="21"/>
        </w:rPr>
        <w:t>Write docs/PART-11-MAPPING.md walking 11.10 / 11.50 / 11.70 / 11.100 / 11.200 element by element, stating plainly which are supported, which are adopter-owned, and which are not addressed. Add a content hash of the approved artifact and a signature-meaning field.</w:t>
      </w:r>
    </w:p>
    <w:p>
      <w:pPr>
        <w:pStyle w:val="ListBullet"/>
        <w:spacing w:after="80"/>
      </w:pPr>
      <w:r>
        <w:rPr>
          <w:sz w:val="21"/>
        </w:rPr>
        <w:t>Add insider/collusion, model and prompt supply chain, availability-as-compliance-event, and Cedar policy integrity to the threat model, with residual-risk ratings.</w:t>
      </w:r>
    </w:p>
    <w:p>
      <w:pPr>
        <w:pStyle w:val="ListBullet"/>
        <w:spacing w:after="80"/>
      </w:pPr>
      <w:r>
        <w:rPr>
          <w:sz w:val="21"/>
        </w:rPr>
        <w:t>Migrate three deprecated APIs: advanced_security_mode (already emitting a deprecation warning and the cause of the version-fragile test), point_in_time_recovery, and dynamodb.Table to TableV2.</w:t>
      </w:r>
    </w:p>
    <w:p>
      <w:pPr>
        <w:pStyle w:val="ListBullet"/>
        <w:spacing w:after="80"/>
      </w:pPr>
      <w:r>
        <w:rPr>
          <w:sz w:val="21"/>
        </w:rPr>
        <w:t>Multi-account separation — a dedicated log-archive account for the WORM vault and CloudTrail. Today a single compromised admin credential reaches both the system and its evidence. This is the largest structural gap and needs design time, not a patch.</w:t>
      </w:r>
    </w:p>
    <w:p>
      <w:pPr>
        <w:pStyle w:val="ListBullet"/>
        <w:spacing w:after="80"/>
      </w:pPr>
      <w:r>
        <w:rPr>
          <w:sz w:val="21"/>
        </w:rPr>
        <w:t>De-pin from us-east-1 by resolving the firewall endpoint map through a custom resource rather than a synth-time literal.</w:t>
      </w:r>
    </w:p>
    <w:p>
      <w:pPr>
        <w:pStyle w:val="Heading1"/>
      </w:pPr>
      <w:r>
        <w:rPr>
          <w:rFonts w:ascii="Cambria" w:hAnsi="Cambria"/>
          <w:b/>
          <w:color w:val="232F3E"/>
          <w:sz w:val="29"/>
        </w:rPr>
        <w:t>How I would open the internal meeting</w:t>
      </w:r>
    </w:p>
    <w:p>
      <w:r>
        <w:rPr>
          <w:b w:val="0"/>
          <w:i w:val="0"/>
          <w:sz w:val="21"/>
        </w:rPr>
        <w:t>Lead with the self-disclosed PHI leak in EP1-VALIDATION.md. A room of AWS security people will trust everything else you say afterwards, because you showed them the thing you found and fixed before they had to ask. Then the deterministic controller and the signed masking proof. Then be straight that the reporting clock, the Part 11 signature binding and the multi-agent story are the next three pieces of work — naming them yourself is worth more than hoping nobody asks.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