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</w:pPr>
      <w:r>
        <w:rPr>
          <w:b/>
          <w:bCs/>
          <w:color w:val="1C7293"/>
          <w:spacing w:val="40"/>
          <w:sz w:val="19"/>
          <w:szCs w:val="19"/>
        </w:rPr>
        <w:t xml:space="preserve">GOVERNED AGENTIC AI · AMAZON BEDROCK AGENTCORE</w:t>
      </w:r>
    </w:p>
    <w:p>
      <w:pPr>
        <w:pStyle w:val="Title"/>
      </w:pPr>
      <w:r>
        <w:t xml:space="preserve">Pharmacovigilance ICSR Intake Agent</w:t>
      </w:r>
    </w:p>
    <w:p>
      <w:pPr>
        <w:pStyle w:val="Title"/>
      </w:pPr>
      <w:r>
        <w:t xml:space="preserve">on Amazon Bedrock AgentCore</w:t>
      </w:r>
    </w:p>
    <w:p>
      <w:pPr>
        <w:pStyle w:val="Subtitle"/>
        <w:spacing w:after="500" w:before="120"/>
      </w:pPr>
      <w:r>
        <w:t xml:space="preserve">Solution Architect Deployment Runbook</w:t>
      </w:r>
    </w:p>
    <w:p>
      <w:pPr>
        <w:pBdr>
          <w:top w:val="single" w:color="0B8F72" w:sz="6"/>
          <w:bottom w:val="single" w:color="0B8F72" w:sz="6"/>
        </w:pBdr>
        <w:shd w:fill="EEF3F7" w:val="clear"/>
        <w:spacing w:after="60" w:before="60" w:line="260"/>
      </w:pPr>
      <w:r>
        <w:rPr>
          <w:i/>
          <w:iCs/>
          <w:color w:val="1A2733"/>
          <w:sz w:val="19"/>
          <w:szCs w:val="19"/>
        </w:rPr>
        <w:t xml:space="preserve">Step-by-step deployment of the governed pharmacovigilance (drug-safety) ICSR-intake accelerator into an AWS account — identity, governance spine, tools, and the Runtime agent — from one manifest. Region: us-east-1. Accelerator reference; not a validated or production-certified system. Version 1.2 · 2026.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1.	Overview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2.	Prerequisites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3.	What gets deployed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4.	Deployment procedure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5.	Configuration reference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6.	Validation checklist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7.	Teardown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8.	Windows / Git-Bash operational notes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This runbook stands up the governed pharmacovigilance ICSR-intake agent in an AWS account. The agent is defined by a single manifest and produced from the reusable governed-hero-agent template; the deployment is split into three lifecycles that are deployed and torn down independently: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Identity stack </w:t>
      </w:r>
      <w:r>
        <w:t xml:space="preserve">— a stable Amazon Cognito user pool, app client, and test users. Long-lived; not touched by spine redeploys.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Governance spine </w:t>
      </w:r>
      <w:r>
        <w:t xml:space="preserve">— the Cedar policy engine, AgentCore Gateway, tool Lambdas, Bedrock Guardrail, WORM audit stores, and the Step Functions human sign-off gate. Reproducible; stood up and torn down as a unit.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Runtime agent </w:t>
      </w:r>
      <w:r>
        <w:t xml:space="preserve">— the generic Strands agent, containerized and deployed to AgentCore Runtime with a Cognito JWT inbound authorizer; its workflow prompt is rendered from the manifest.</w:t>
      </w:r>
    </w:p>
    <w:p>
      <w:r>
        <w:t xml:space="preserve">The whole spine deploys with one command, proves itself with a governance demo, and is covered by a 346-test offline suite (48 CDK security assertions) plus a live clean-account validation run, and tears down with zero residual. Everything is driven from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agents/pharmacovigilance/manifest.yaml</w:t>
      </w:r>
      <w:r>
        <w:t xml:space="preserve"> — the engine, control library, and runtime are shared across agents.</w:t>
      </w:r>
    </w:p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Honesty boundary</w:t>
            </w:r>
          </w:p>
          <w:p>
            <w:pPr>
              <w:spacing w:after="20" w:line="258"/>
            </w:pPr>
            <w:r>
              <w:t xml:space="preserve">This is an accelerator, not a validated or production-certified system. Authorization to operate, computer-system validation (CSV/CSA), IdP federation, validated connectors to the safety system of record (Argus / ArisG / E2B gateway), licensed MedDRA/WHODrug dictionaries, and regulatory review of narratives and reporting rules are sponsor responsibilities. See the Regulatory-Adherence Guide.</w:t>
            </w:r>
          </w:p>
        </w:tc>
      </w:tr>
    </w:tbl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AWS account &amp; access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An AWS account </w:t>
      </w:r>
      <w:r>
        <w:t xml:space="preserve">with administrative credentials configured for the AWS CLI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aws sts get-caller-identity</w:t>
      </w:r>
      <w:r>
        <w:t xml:space="preserve"> must succeed).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Region </w:t>
      </w:r>
      <w:r>
        <w:t xml:space="preserve">— us-east-1 (the reference deployment; Comprehend, Bedrock models, and AgentCore are all available there).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Model access </w:t>
      </w:r>
      <w:r>
        <w:t xml:space="preserve">— enable the Anthropic Claude models in Amazon Bedrock (the narrative-drafting tool defaults to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us.anthropic.claude-sonnet-4-5</w:t>
      </w:r>
      <w:r>
        <w:t xml:space="preserve"> cross-region inference profile).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Egress </w:t>
      </w:r>
      <w:r>
        <w:t xml:space="preserve">—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openfda_lookup</w:t>
      </w:r>
      <w:r>
        <w:t xml:space="preserve"> tool calls the public openFDA drug-event (FAERS) API over HTTPS (no API key; rate-limited; returns found:false / authoritative:false and never substitutes a fabricated aggregate if egress is blocked).</w:t>
      </w:r>
    </w:p>
    <w:p>
      <w:pPr>
        <w:pStyle w:val="Heading2"/>
      </w:pPr>
      <w:r>
        <w:t xml:space="preserve">2.2 Tooling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78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aws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AWS CLI v2.30+ (validated on 2.33)</w:t>
            </w:r>
          </w:p>
        </w:tc>
      </w:tr>
      <w:tr>
        <w:tc>
          <w:tcPr>
            <w:tcW w:type="dxa" w:w="26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python3</w:t>
            </w:r>
          </w:p>
        </w:tc>
        <w:tc>
          <w:tcPr>
            <w:tcW w:type="dxa" w:w="7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3.12 (Lambda runtime is python3.12; the Runtime toolkit needs a 3.12 venv)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pyyaml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for render.py (turns the manifest into deploy inputs)</w:t>
            </w:r>
          </w:p>
        </w:tc>
      </w:tr>
      <w:tr>
        <w:tc>
          <w:tcPr>
            <w:tcW w:type="dxa" w:w="26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bash</w:t>
            </w:r>
          </w:p>
        </w:tc>
        <w:tc>
          <w:tcPr>
            <w:tcW w:type="dxa" w:w="7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Any POSIX shell. On Windows, use Git-Bash (see §8)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agentcore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bedrock-agentcore-starter-toolkit (installed into the Runtime venv in Step 4)</w:t>
            </w:r>
          </w:p>
        </w:tc>
      </w:tr>
    </w:tbl>
    <w:p>
      <w:pPr>
        <w:pStyle w:val="Heading2"/>
      </w:pPr>
      <w:r>
        <w:t xml:space="preserve">2.4 Service quotas that bite</w:t>
      </w:r>
    </w:p>
    <w:p>
      <w:r>
        <w:t xml:space="preserve">Two default quotas will stop this deployment before anything is wrong with it. Check both before you start; neither error names the deployment, and one of them cost four full-portfolio gate runs to diagnose.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500"/>
        <w:gridCol w:w="900"/>
        <w:gridCol w:w="4200"/>
        <w:gridCol w:w="2840"/>
      </w:tblGrid>
      <w:tr>
        <w:trPr>
          <w:tblHeader/>
        </w:trPr>
        <w:tc>
          <w:tcPr>
            <w:tcW w:type="dxa" w:w="25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Quota</w:t>
            </w:r>
          </w:p>
        </w:tc>
        <w:tc>
          <w:tcPr>
            <w:tcW w:type="dxa" w:w="9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this deployment needs</w:t>
            </w:r>
          </w:p>
        </w:tc>
        <w:tc>
          <w:tcPr>
            <w:tcW w:type="dxa" w:w="28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 if short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CloudTrail: Trails per region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 free slots per pack (an account-wide capture-all management trail, and a data-events trail writing to the WORM evidence bucket)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CREATE_FAILED on the observability stack: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already has 5 trails in us-east-1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. Not adjustable in Service Quotas — it needs a Support case.</w:t>
            </w:r>
          </w:p>
        </w:tc>
      </w:tr>
      <w:tr>
        <w:tc>
          <w:tcPr>
            <w:tcW w:type="dxa" w:w="25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AgentCore: policy names</w:t>
            </w:r>
          </w:p>
        </w:tc>
        <w:tc>
          <w:tcPr>
            <w:tcW w:type="dxa" w:w="9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2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Policy names are unique per ACCOUNT and region, not per policy engine. Every pack prefixes its names (e.g. ben_fp2_mask_before_assess) so packs can coexist</w:t>
            </w:r>
          </w:p>
        </w:tc>
        <w:tc>
          <w:tcPr>
            <w:tcW w:type="dxa" w:w="2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CreatePolicy fails with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ConflictException: Policy with the same name already exists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naming neither the policy nor the engine holding it.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Two overlay packs in one account</w:t>
            </w:r>
          </w:p>
          <w:p>
            <w:pPr>
              <w:spacing w:after="20" w:line="258"/>
            </w:pPr>
            <w:r>
              <w:t xml:space="preserve">The trail quota is the binding constraint. Each pack needs two trails, and the shared governance core takes one, so a single region fits the core plus two packs at the default of 5 — with nothing left for a concurrent validation run. Request an increase to 10 before running two packs and a gate in the same region.</w:t>
            </w:r>
          </w:p>
        </w:tc>
      </w:tr>
    </w:tbl>
    <w:p>
      <w:pPr>
        <w:pStyle w:val="Heading2"/>
      </w:pPr>
      <w:r>
        <w:t xml:space="preserve">2.5 Project layout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lib/engine/ </w:t>
      </w:r>
      <w:r>
        <w:t xml:space="preserve">— the manifest-driven engine: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render.py</w:t>
      </w:r>
      <w:r>
        <w:t xml:space="preserve"> plus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redteam.sh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destroy.sh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deploy_identity.sh</w:t>
      </w:r>
      <w:r>
        <w:t xml:space="preserve"> and the sign-off state-machine template.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lib/controls/ </w:t>
      </w:r>
      <w:r>
        <w:t xml:space="preserve">— the shared control library: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mask_pii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write_audit</w:t>
      </w:r>
      <w:r>
        <w:t xml:space="preserve">, the sign-off Lambdas, and the MCP client. Reused by every agent.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lib/runtime/ </w:t>
      </w:r>
      <w:r>
        <w:t xml:space="preserve">— the generic Strands agent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Dockerfile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requirements.txt</w:t>
      </w:r>
      <w:r>
        <w:t xml:space="preserve">) and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_configure/_launch/_invoke/_obs_setup</w:t>
      </w:r>
      <w:r>
        <w:t xml:space="preserve"> helper scripts (self-locating; run from a fresh clone).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agents/pharmacovigilance/ </w:t>
      </w:r>
      <w:r>
        <w:t xml:space="preserve">— the only agent-specific part: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manifest.yaml</w:t>
      </w:r>
      <w:r>
        <w:t xml:space="preserve"> (single source of truth),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tools/</w:t>
      </w:r>
      <w:r>
        <w:t xml:space="preserve">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intake_icsr.py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openfda_lookup.py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assess_seriousness.py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detect_duplicate.py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record_causality.py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pv_core.py</w:t>
      </w:r>
      <w:r>
        <w:t xml:space="preserve">),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demo_extra.sh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lib/connector/ </w:t>
      </w:r>
      <w:r>
        <w:t xml:space="preserve">— the reusable governed OAuth connector (optional depth add-on):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verify_source</w:t>
      </w:r>
      <w:r>
        <w:t xml:space="preserve"> (mints an outbound token via AgentCore Identity — no stored secret),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deploy_connector.sh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prove_connector.sh</w:t>
      </w:r>
      <w:r>
        <w:t xml:space="preserve">, and a mock OAuth-protected system of record. Deployed separately from the spine.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Corporate SSO (optional).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lib/engine/deploy_federation.sh</w:t>
      </w:r>
      <w:r>
        <w:t xml:space="preserve"> +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lib/controls/idp_group_mapper.py</w:t>
      </w:r>
      <w:r>
        <w:t xml:space="preserve"> federate an external OIDC/SAML IdP (Okta / Entra) into the pool so employees sign in with SSO and hit the SAME Cedar policies as the built-in users — see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docs/IdP-Federation-Reference.md</w:t>
      </w:r>
      <w:r>
        <w:t xml:space="preserve">.</w:t>
      </w:r>
    </w:p>
    <w:p>
      <w:pPr>
        <w:pStyle w:val="Heading1"/>
      </w:pPr>
      <w:r>
        <w:t xml:space="preserve">3. What gets deployed</w:t>
      </w:r>
    </w:p>
    <w:tbl>
      <w:tblPr>
        <w:tblW w:type="dxa" w:w="9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1700"/>
        <w:gridCol w:w="6300"/>
        <w:gridCol w:w="1440"/>
      </w:tblGrid>
      <w:tr>
        <w:trPr>
          <w:tblHeader/>
        </w:trPr>
        <w:tc>
          <w:tcPr>
            <w:tcW w:type="dxa" w:w="17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 resource(s)</w:t>
            </w:r>
          </w:p>
        </w:tc>
        <w:tc>
          <w:tcPr>
            <w:tcW w:type="dxa" w:w="14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Lifecycle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Identity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 user pool pv-pharmacovigilance, app client pv-gw, users pv_reviewer / approver / outsider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Policy engine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Policy engine pv_pharmacovigilance_authz (Cedar, deny-by-default)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Gateway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Gateway pv-pharmacovigilance-gw (MCP, CUSTOM_JWT, ENFORCE)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Lambdas: pv-intake-icsr, pv-openfda-lookup, pv-mask-pii, pv-assess-seriousness, pv-detect-duplicate, pv-record-causality, pv-core-tools, pv-write-audit, pv-request-signoff (+ 3 sign-off Lambdas)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Guardrail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Bedrock Guardrail pv-pharmacovigilance-guardrail (PHI anonymize + prompt-attack)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WORM audit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DynamoDB pv-audit (append-only) + S3 Object Lock bucket pv-audit-worm-&lt;acct&gt;-&lt;region&gt;; each record hash-chained (tamper-evident)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Human gate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 Functions pv-signoff + DynamoDB pv-pending-approvals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Discovery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SSM parameter /pv-pharmacovigilance/gateway-url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Runtime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Runtime pv_runtime_agent (ARM64 container via CodeBuild + ECR)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Runtime</w:t>
            </w:r>
          </w:p>
        </w:tc>
      </w:tr>
    </w:tbl>
    <w:p>
      <w:r>
        <w:rPr>
          <w:b/>
          <w:bCs/>
        </w:rPr>
        <w:t xml:space="preserve">Optional connector (Step 5). </w:t>
      </w:r>
      <w:r>
        <w:t xml:space="preserve">If deployed, the governed OAuth connector adds a mock system-of-record Lambda behind API Gateway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pv-sor-api</w:t>
      </w:r>
      <w:r>
        <w:t xml:space="preserve">), an AgentCore Identity OAuth2 credential provider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pv-sor-oauth</w:t>
      </w:r>
      <w:r>
        <w:t xml:space="preserve">) and workload identity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pv-verify-source-wi</w:t>
      </w:r>
      <w:r>
        <w:t xml:space="preserve">), a Cognito M2M domain and resource server on the agent’s pool, and the governed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verify_source</w:t>
      </w:r>
      <w:r>
        <w:t xml:space="preserve"> tool. Torn down separately — see §7.</w:t>
      </w:r>
    </w:p>
    <w:p>
      <w:pPr>
        <w:pStyle w:val="Heading1"/>
      </w:pPr>
      <w:r>
        <w:t xml:space="preserve">4. Deployment procedure</w:t>
      </w:r>
    </w:p>
    <w:p>
      <w:r>
        <w:rPr>
          <w:b/>
          <w:bCs/>
        </w:rPr>
        <w:t xml:space="preserve">Run the steps in order. </w:t>
      </w:r>
      <w:r>
        <w:t xml:space="preserve">All commands assume you are in the project root (the folder containing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agents/</w:t>
      </w:r>
      <w:r>
        <w:t xml:space="preserve">), with the AWS CLI configured for us-east-1.</w:t>
      </w:r>
    </w:p>
    <w:p>
      <w:pPr>
        <w:pStyle w:val="Heading2"/>
      </w:pPr>
      <w:r>
        <w:t xml:space="preserve">Step 0 — Confirm the environment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sts get-caller-identity          # confirms credentials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configure get region             # should print us-east-1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python3 -c "import yaml"              # render.py needs pyyaml</w:t>
      </w:r>
    </w:p>
    <w:p>
      <w:pPr>
        <w:pStyle w:val="Heading2"/>
      </w:pPr>
      <w:r>
        <w:t xml:space="preserve">Step 1 — Deploy the stable identity stack</w:t>
      </w:r>
    </w:p>
    <w:p>
      <w:r>
        <w:t xml:space="preserve">Creates (or reuses) the Cognito pool, app client, group, and the three test users; writes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identity-state.env</w:t>
      </w:r>
      <w:r>
        <w:t xml:space="preserve">. Idempotent and safe to re-run.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lib/engine/deploy_identity.sh agents/pharmacovigilance</w:t>
      </w:r>
    </w:p>
    <w:p>
      <w:r>
        <w:rPr>
          <w:b/>
          <w:bCs/>
        </w:rPr>
        <w:t xml:space="preserve">Result: </w:t>
      </w:r>
      <w:r>
        <w:t xml:space="preserve">pool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pv-pharmacovigilance</w:t>
      </w:r>
      <w:r>
        <w:t xml:space="preserve">, client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pv-gw</w:t>
      </w:r>
      <w:r>
        <w:t xml:space="preserve">, users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pv_reviewer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approver</w:t>
      </w:r>
      <w:r>
        <w:t xml:space="preserve"> (group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pv_reviewer</w:t>
      </w:r>
      <w:r>
        <w:t xml:space="preserve">)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outsider</w:t>
      </w:r>
      <w:r>
        <w:t xml:space="preserve">. Discovery URL and IDs land in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identity-state.env</w:t>
      </w:r>
      <w:r>
        <w:t xml:space="preserve">.</w:t>
      </w:r>
    </w:p>
    <w:p>
      <w:pPr>
        <w:pStyle w:val="Heading2"/>
      </w:pPr>
      <w:r>
        <w:t xml:space="preserve">Step 2 — Deploy the governance spine</w:t>
      </w:r>
    </w:p>
    <w:p>
      <w:r>
        <w:t xml:space="preserve">One idempotent command renders the manifest and builds the entire spine in the proven order: IAM roles → WORM stores → Guardrail → tool Lambdas (with per-agent resource env wired in) → policy engine → Gateway (LOG_ONLY) → targets → Cedar policies → flip to ENFORCE → human-gate Step Functions → publish the gateway URL to SSM. It sources the stable identity and writes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spine-state.env</w:t>
      </w:r>
      <w:r>
        <w:t xml:space="preserve">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lib/engine/deploy.sh agents/pharmacovigilance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Run cycles serialized</w:t>
            </w:r>
          </w:p>
          <w:p>
            <w:pPr>
              <w:spacing w:after="20" w:line="258"/>
            </w:pPr>
            <w:r>
              <w:t xml:space="preserve">Do not run two spine deploys concurrently — overlapping runs collide on the policy-engine name. Deploy takes roughly three to four minutes end to end. Deploy from a path without spaces (see §8).</w:t>
            </w:r>
          </w:p>
        </w:tc>
      </w:tr>
    </w:tbl>
    <w:p>
      <w:r>
        <w:rPr>
          <w:b/>
          <w:bCs/>
        </w:rPr>
        <w:t xml:space="preserve">Tamper-evident audit. </w:t>
      </w:r>
      <w:r>
        <w:t xml:space="preserve">The demo also proves the audit ledger is </w:t>
      </w:r>
      <w:r>
        <w:rPr>
          <w:b/>
          <w:bCs/>
        </w:rPr>
        <w:t xml:space="preserve">hash-chained</w:t>
      </w:r>
      <w:r>
        <w:t xml:space="preserve">: each record embeds the prior record’s hash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chain_hash = SHA-256(prev_hash + entry_hash)</w:t>
      </w:r>
      <w:r>
        <w:t xml:space="preserve">), so editing, reordering, or deleting any record breaks every link after it — on top of the append-only + Object-Lock guarantees.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lib/controls/verify_chain.py</w:t>
      </w:r>
      <w:r>
        <w:t xml:space="preserve"> replays the links and reports INTACT or the first broken record.</w:t>
      </w:r>
    </w:p>
    <w:p>
      <w:pPr>
        <w:pStyle w:val="Heading2"/>
      </w:pPr>
      <w:r>
        <w:t xml:space="preserve">Step 3 — Prove the governance (32 checks)</w:t>
      </w:r>
    </w:p>
    <w:p>
      <w:r>
        <w:t xml:space="preserve">Mints safety-reviewer and outsider tokens and exercises the full governed workflow live, in ENFORCE mode. Expect 32 passed / 0 failed.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lib/engine/demo.sh agents/pharmacovigilance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lib/engine/redteam.sh agents/pharmacovigilance   # adversarial: governance holds under attack (7/7)</w:t>
      </w:r>
    </w:p>
    <w:p>
      <w:r>
        <w:t xml:space="preserve">The demo proves deny-by-default (safety reviewer ALLOW / outsider DENY), the mask-before-assess, mask-before-causality, and mask-before-draft forbids and no-self-submit / no-self-causality-commit (each denial names the exact Cedar policy), real PHI masking (name/DOB/address redaction), the live openFDA FAERS background lookup (aggregate, non-PHI), the deterministic seriousness + reporting-clock determination (EXPEDITED 15-day / PERIODIC / ROUTINE per ICH E2B(R3) / 21 CFR 314.80), a real Bedrock CIOMS narrative through the Guardrail, the immutable WORM audit (write-once + duplicate rejection), and the human sign-off gate (separation of duties + single-use token).</w:t>
      </w:r>
    </w:p>
    <w:p>
      <w:r>
        <w:rPr>
          <w:b/>
          <w:bCs/>
        </w:rPr>
        <w:t xml:space="preserve">Deeper caseload workflows (step two). </w:t>
      </w:r>
      <w:r>
        <w:t xml:space="preserve">The demo also exercises the deeper workflows, each a governed tool with its own Cedar control: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detect_duplicate</w:t>
      </w:r>
      <w:r>
        <w:t xml:space="preserve"> (deterministic duplicate-ICSR detection that HOLDs a suspected duplicate so a case isn't double-reported),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record_causality</w:t>
      </w:r>
      <w:r>
        <w:t xml:space="preserve"> (PREPARE a documented causality/reportability determination — the highest-risk discretionary judgment — requiring a written rationale and approval by a DIFFERENT senior safety physician; fail-closed on un-masked input),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commit_causality</w:t>
      </w:r>
      <w:r>
        <w:t xml:space="preserve"> — a consequential, senior-human-only action the agent can never take (forbidden by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no_self_causality_commit</w:t>
      </w:r>
      <w:r>
        <w:t xml:space="preserve">, mirroring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no_self_submit</w:t>
      </w:r>
      <w:r>
        <w:t xml:space="preserve">). The pattern is the point: every new high-risk action is a tool body plus its own deny-by-default forbid.</w:t>
      </w:r>
    </w:p>
    <w:p>
      <w:pPr>
        <w:pStyle w:val="Heading2"/>
      </w:pPr>
      <w:r>
        <w:t xml:space="preserve">Step 4 — Deploy the Runtime agent</w:t>
      </w:r>
    </w:p>
    <w:p>
      <w:r>
        <w:t xml:space="preserve">Create the Python 3.12 virtual environment and install the toolkit once. Use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setup_venv.sh</w:t>
      </w:r>
      <w:r>
        <w:t xml:space="preserve"> helper — it builds the venv with the correct per-OS layout (on Windows a venv exposes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, not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bin/</w:t>
      </w:r>
      <w:r>
        <w:t xml:space="preserve">) and installs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bedrock-agentcore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bedrock-agentcore-starter-toolkit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strands-agents</w:t>
      </w:r>
      <w:r>
        <w:t xml:space="preserve">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strands-agents-tools</w:t>
      </w:r>
      <w:r>
        <w:t xml:space="preserve">: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lib/runtime/setup_venv.sh</w:t>
      </w:r>
    </w:p>
    <w:p>
      <w:r>
        <w:t xml:space="preserve">Grant the Runtime execution role permission to read the gateway-URL parameter, configure the agent with the Cognito JWT inbound authorizer (and the manifest-rendered workflow prompt), and launch it (ARM64 build runs in CodeBuild — no local Docker needed). Each helper takes the agent directory: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lib/runtime/_obs_setup.sh  agents/pharmacovigilance   # grants ssm:GetParameter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lib/runtime/_configure.sh  agents/pharmacovigilance   # agentcore configure -- JWT authorizer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lib/runtime/_launch.sh     agents/pharmacovigilance   # agentcore launch -- CodeBuild ARM64 -&gt; Runtime</w:t>
      </w:r>
    </w:p>
    <w:p>
      <w:r>
        <w:rPr>
          <w:b/>
          <w:bCs/>
        </w:rPr>
        <w:t xml:space="preserve">Result: </w:t>
      </w:r>
      <w:r>
        <w:t xml:space="preserve">an AgentCore Runtime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pv_runtime_agent-&lt;id&gt;</w:t>
      </w:r>
      <w:r>
        <w:t xml:space="preserve"> with a Cognito JWT inbound authorizer, OpenTelemetry observability enabled, and the gateway URL discovered from SSM.</w:t>
      </w:r>
    </w:p>
    <w:p>
      <w:pPr>
        <w:pStyle w:val="Heading2"/>
      </w:pPr>
      <w:r>
        <w:t xml:space="preserve">Step 5 — Invoke and verify</w:t>
      </w:r>
    </w:p>
    <w:p>
      <w:r>
        <w:t xml:space="preserve">Invoke as a safety reviewer (full governed workflow) and as an outsider (access denied):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lib/runtime/_invoke.sh agents/pharmacovigilance pv_reviewer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invoke_demo.sh                          # pv_reviewer invoke with a sample adverse-event case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lib/runtime/_invoke.sh agents/pharmacovigilance outsider $PV_OUTSIDER_PW</w:t>
      </w:r>
    </w:p>
    <w:p>
      <w:r>
        <w:t xml:space="preserve">Expected: the safety reviewer returns a workflow summary (FAERS background, seriousness + reporting clock, drafted CIOMS narrative, INTENT audit, PENDING_APPROVAL)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tools_available</w:t>
      </w:r>
      <w:r>
        <w:t xml:space="preserve"> that does not include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finalize_submission</w:t>
      </w:r>
      <w:r>
        <w:t xml:space="preserve"> or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commit_causality</w:t>
      </w:r>
      <w:r>
        <w:t xml:space="preserve"> — Cedar hides the forbidden tools. The outsider returns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ACCESS DENIED</w:t>
      </w:r>
      <w:r>
        <w:t xml:space="preserve">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tools_available: []</w:t>
      </w:r>
      <w:r>
        <w:t xml:space="preserve">.</w:t>
      </w:r>
    </w:p>
    <w:p>
      <w:pPr>
        <w:pStyle w:val="Heading2"/>
      </w:pPr>
      <w:r>
        <w:t xml:space="preserve">Step 5 (optional) — Adversarial proof and the governed OAuth connector</w:t>
      </w:r>
    </w:p>
    <w:p>
      <w:r>
        <w:t xml:space="preserve">Two optional proofs that deepen the evidence. The red-team harness re-runs the governed workflow under adversarial inputs (prompt injection, forbidden-tool coaxing, attempts to act on unmasked data) and shows every control holds — the mask-before forbids and no-self-commit fire by name: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lib/engine/redteam.sh agents/pharmacovigilance          # adversarial proof: governance holds under attack</w:t>
      </w:r>
    </w:p>
    <w:p>
      <w:r>
        <w:t xml:space="preserve">The connector proves the agent authenticates to a real, OAuth2-protected dependency without holding a secret.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deploy_connector.sh</w:t>
      </w:r>
      <w:r>
        <w:t xml:space="preserve"> stands up a mock system of record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MOCK-Argus-SafetyDB</w:t>
      </w:r>
      <w:r>
        <w:t xml:space="preserve">) behind API Gateway, an AgentCore Identity OAuth2 credential provider + workload identity, and the governed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verify_source</w:t>
      </w:r>
      <w:r>
        <w:t xml:space="preserve"> tool.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prove_connector.sh</w:t>
      </w:r>
      <w:r>
        <w:t xml:space="preserve"> mints a token through Identity and shows the SoR rejects unauthenticated calls, the tool holds no secret, and Cedar deny-by-default extends to the connector. The mock SoR verifies the token’s </w:t>
      </w:r>
      <w:r>
        <w:rPr>
          <w:b/>
          <w:bCs/>
        </w:rPr>
        <w:t xml:space="preserve">RS256 signature against the Cognito JWKS</w:t>
      </w:r>
      <w:r>
        <w:t xml:space="preserve"> (not just its claims), so a forged or tampered token is rejected: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lib/connector/deploy_connector.sh agents/pharmacovigilance   # mock SoR + Identity OAuth provider + verify_source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lib/connector/prove_connector.sh  agents/pharmacovigilance   # OAuth + RS256/JWKS + no stored secret + deny-by-default</w:t>
      </w:r>
    </w:p>
    <w:p>
      <w:pPr>
        <w:pStyle w:val="Heading2"/>
      </w:pPr>
      <w:r>
        <w:t xml:space="preserve">Step 6 (optional) — Federate your corporate IdP (SSO)</w:t>
      </w:r>
    </w:p>
    <w:p>
      <w:r>
        <w:t xml:space="preserve">Swap the built-in test users for real employees from Okta / Microsoft Entra / any OIDC or SAML IdP, WITHOUT changing a Cedar policy. A Cognito Pre-Token-Generation Lambda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idp_group_mapper.py</w:t>
      </w:r>
      <w:r>
        <w:t xml:space="preserve">) maps the IdP’s group claim into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cognito:groups</w:t>
      </w:r>
      <w:r>
        <w:t xml:space="preserve">, so the existing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pv_reviewer_permit</w:t>
      </w:r>
      <w:r>
        <w:t xml:space="preserve"> authorizes federated users; a user whose groups map to nothing gets no role, so deny-by-default still holds. Idempotent and independent of the spine.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# OIDC (Okta / Entra / Ping …):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IDP_TYPE=oidc IDP_NAME=Okta OIDC_ISSUER=https://&lt;org&gt;.okta.com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OIDC_CLIENT_ID=&lt;id&gt; OIDC_CLIENT_SECRET=&lt;secret&gt; GROUPS_CLAIM=groups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GROUP_MAP='{"SafetyReviewers":"pv_reviewer"}'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bash lib/engine/deploy_federation.sh agents/pharmacovigilance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tear the federation back down (keeps the base pool + test users):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DESTROY=1 IDP_NAME=Okta bash lib/engine/deploy_federation.sh agents/pharmacovigilance</w:t>
      </w:r>
    </w:p>
    <w:p>
      <w:r>
        <w:t xml:space="preserve">Full recipe (SAML too), the group→role mapping, and the adopter-owns boundary: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docs/IdP-Federation-Reference.md</w:t>
      </w:r>
      <w:r>
        <w:t xml:space="preserve">.</w:t>
      </w:r>
    </w:p>
    <w:p>
      <w:pPr>
        <w:pStyle w:val="Heading1"/>
      </w:pPr>
      <w:r>
        <w:t xml:space="preserve">5. Configuration reference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100"/>
        <w:gridCol w:w="3540"/>
        <w:gridCol w:w="4800"/>
      </w:tblGrid>
      <w:tr>
        <w:trPr>
          <w:tblHeader/>
        </w:trPr>
        <w:tc>
          <w:tcPr>
            <w:tcW w:type="dxa" w:w="21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5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8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/ value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agent.region in the manifest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Drafting model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model.draft_model_id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in the manifest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us.anthropic.claude-sonnet-4-5-20250929-v1:0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Guardrail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pv-pharmacovigilance-guardrail (created in deploy)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PHI=ANONYMIZE + PROMPT_ATTACK HIGH; version DRAFT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 users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identity.users in the manifest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pv_reviewer / approver / outsider; passwords via env (placeholder defaults ChangeMe-*1!)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Seriousness rules &amp; clock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assess_seriousness.py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(illustrative)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six ICH E2B(R3) criteria; serious+unexpected -&gt; EXPEDITED 15-day, serious+listed -&gt; PERIODIC, non-serious -&gt; ROUTINE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FAERS background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openfda_lookup.py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(live)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openFDA drug/event.json; aggregate non-PHI; fail-soft deterministic fallback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Gateway URL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SSM /pv-pharmacovigilance/gateway-url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published each spine deploy; read by the Runtime agent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Reviewer group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Cedar permit condition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cognito:groups contains pv_reviewer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Audit stores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controls + audit in the manifest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DynamoDB pv-audit + S3 pv-audit-worm-&lt;acct&gt;-&lt;region&gt; (Object Lock GOVERNANCE 1d)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Change the passwords, and configure the real rules, before any shared use</w:t>
            </w:r>
          </w:p>
          <w:p>
            <w:pPr>
              <w:spacing w:after="20" w:line="258"/>
            </w:pPr>
            <w:r>
              <w:t xml:space="preserve">The default test-user passwords are for a private evaluation account only — rotate them (or federate a real IdP) before the environment is shared. The seriousness criteria and reporting clocks in assess_seriousness are illustrative regulatory defaults — replace them with the authoritative, market-specific rules, under regulatory review, before any real use. MedDRA/WHODrug coding and safety-system connectors ship as labeled stubs. See the Maintenance Guide.</w:t>
            </w:r>
          </w:p>
        </w:tc>
      </w:tr>
    </w:tbl>
    <w:p>
      <w:pPr>
        <w:pStyle w:val="Heading1"/>
      </w:pPr>
      <w:r>
        <w:t xml:space="preserve">6. Validation checklist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deploy_identity.sh</w:t>
      </w:r>
      <w:r>
        <w:t xml:space="preserve"> → identity-state.env written; pool visible in Cognito.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deploy.sh</w:t>
      </w:r>
      <w:r>
        <w:t xml:space="preserve"> → ends with a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Gateway URL: … (mode ENFORCE)</w:t>
      </w:r>
      <w:r>
        <w:t xml:space="preserve"> line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spine-state.env</w:t>
      </w:r>
      <w:r>
        <w:t xml:space="preserve"> written.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demo.sh</w:t>
      </w:r>
      <w:r>
        <w:t xml:space="preserve"> →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32 passed, 0 failed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GOVERNANCE DEMO: PASS</w:t>
      </w:r>
      <w:r>
        <w:t xml:space="preserve">;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redteam.sh</w:t>
      </w:r>
      <w:r>
        <w:t xml:space="preserve"> →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7/7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SSM parameter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/pv-pharmacovigilance/gateway-url</w:t>
      </w:r>
      <w:r>
        <w:t xml:space="preserve"> exists and matches the live gateway.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Runtime invoke: pv_reviewer → workflow summary; outsider → ACCESS DENIED.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CloudWatch log group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/aws/bedrock-agentcore/runtimes/pv_runtime_agent-*-DEFAULT</w:t>
      </w:r>
      <w:r>
        <w:t xml:space="preserve"> shows per-step, identity-tagged logs.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Tamper-evident audit: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lib/controls/verify_chain.py</w:t>
      </w:r>
      <w:r>
        <w:t xml:space="preserve"> on a case’s records reports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intact: true</w:t>
      </w:r>
      <w:r>
        <w:t xml:space="preserve">; altering any record makes it report the first broken link.</w:t>
      </w:r>
    </w:p>
    <w:p>
      <w:pPr>
        <w:pStyle w:val="Heading1"/>
      </w:pPr>
      <w:r>
        <w:t xml:space="preserve">7. Teardown</w:t>
      </w:r>
    </w:p>
    <w:p>
      <w:r>
        <w:t xml:space="preserve">The spine tears down with zero residual (including the Object-Lock bucket, which requires an admin governance-bypass the tool role does not have). Identity is preserved by design — remove it explicitly only when finished.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lib/engine/destroy.sh agents/pharmacovigilance     # spine only; leaves identity + Runtime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optional, full cleanup: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remove the Cognito pool, and from lib/runtime: agentcore destroy</w:t>
      </w:r>
    </w:p>
    <w:p>
      <w:r>
        <w:rPr>
          <w:b/>
          <w:bCs/>
        </w:rPr>
        <w:t xml:space="preserve">If you deployed the connector (Step 5), </w:t>
      </w:r>
      <w:r>
        <w:t xml:space="preserve">tear its resources down too —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destroy.sh</w:t>
      </w:r>
      <w:r>
        <w:t xml:space="preserve"> removes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pv-sor-api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pv-verify-source</w:t>
      </w:r>
      <w:r>
        <w:t xml:space="preserve"> Lambdas with the spine, but the API, the Identity provider and workload identity, the connector role, and the connector’s Cognito artifacts persist: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apigatewayv2 delete-api --api-id &lt;pv-sor-api id&gt; --region us-east-1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bedrock-agentcore-control delete-oauth2-credential-provider --name pv-sor-oauth --region us-east-1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bedrock-agentcore-control delete-workload-identity --name pv-verify-source-wi --region us-east-1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iam delete-role --role-name pv-connector-exec        # detach its policies first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the connector Cognito domain (pv-sor-&lt;acct&gt;), M2M app client, and resource server go with the user pool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Export evidence first</w:t>
            </w:r>
          </w:p>
          <w:p>
            <w:pPr>
              <w:spacing w:after="20" w:line="258"/>
            </w:pPr>
            <w:r>
              <w:t xml:space="preserve">The WORM audit ledger and bucket are deleted by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destroy.sh</w:t>
            </w:r>
            <w:r>
              <w:t xml:space="preserve">. Export any audit evidence you need to retain before tearing down. See the Maintenance Guide, §5.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Stop orphaned sign-off executions before teardown</w:t>
            </w:r>
          </w:p>
          <w:p>
            <w:pPr>
              <w:spacing w:after="20" w:line="258"/>
            </w:pPr>
            <w:r>
              <w:t xml:space="preserve">The human sign-off gate uses a Step Functions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waitForTaskToken</w:t>
            </w:r>
            <w:r>
              <w:t xml:space="preserve"> execution that can run for up to a year. If you invoke the agent and leave a submission PENDING (never approved) before tearing down, that RUNNING execution keeps the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pv-signoff</w:t>
            </w:r>
            <w:r>
              <w:t xml:space="preserve"> state machine stuck in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DELETING</w:t>
            </w:r>
            <w:r>
              <w:t xml:space="preserve">, which then blocks the next deploy from re-creating a state machine of the same name (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StateMachineDeleting</w:t>
            </w:r>
            <w:r>
              <w:t xml:space="preserve">).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destroy.sh</w:t>
            </w:r>
            <w:r>
              <w:t xml:space="preserve"> stops RUNNING executions before deleting, but if a redeploy hits this, stop the leftover execution and let deletion finish:</w:t>
            </w:r>
          </w:p>
        </w:tc>
      </w:tr>
    </w:tbl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stepfunctions list-executions --state-machine-arn arn:aws:states:&lt;region&gt;:&lt;acct&gt;:stateMachine:pv-signoff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--status-filter RUNNING --region us-east-1 --query 'executions[].executionArn' --output text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stepfunctions stop-execution --execution-arn &lt;arn&gt; --region us-east-1   # then redeploy</w:t>
      </w:r>
    </w:p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Policy names are unique per account/region — the template prefixes them</w:t>
            </w:r>
          </w:p>
          <w:p>
            <w:pPr>
              <w:spacing w:after="20" w:line="258"/>
            </w:pPr>
            <w:r>
              <w:t xml:space="preserve">AgentCore Policy names are unique per account/region, and the template agents share several logical policy names (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mask_before_assess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mask_before_draft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no_self_submit</w:t>
            </w:r>
            <w:r>
              <w:t xml:space="preserve">). The template prefixes each policy with the agent prefix (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pv_mask_before_assess</w:t>
            </w:r>
            <w:r>
              <w:t xml:space="preserve">) so multiple template agents coexist in one account. If you do NOT prefix, deploy and validate one agent at a time — deploying a second unprefixed agent while another is live fails with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ConflictException … Policy with the same name already exists</w:t>
            </w:r>
            <w:r>
              <w:t xml:space="preserve"> and can leave a partial spine that must be torn down.</w:t>
            </w:r>
          </w:p>
        </w:tc>
      </w:tr>
    </w:tbl>
    <w:p>
      <w:pPr>
        <w:pStyle w:val="Heading1"/>
      </w:pPr>
      <w:r>
        <w:t xml:space="preserve">8. Windows / Git-Bash operational notes</w:t>
      </w:r>
    </w:p>
    <w:p>
      <w:r>
        <w:t xml:space="preserve">The reference environment is Windows with Git-Bash driving the native AWS CLI. These are the lessons that make a Windows deploy go clean the first time (all validated this session; some are handled inside the scripts, the first two are on you):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Deploy from a path WITHOUT spaces. </w:t>
      </w:r>
      <w:r>
        <w:t xml:space="preserve">A project path like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C:\...\pharmacovigilance agent</w:t>
      </w:r>
      <w:r>
        <w:t xml:space="preserve"> (with a space) breaks Git-Bash argument quoting when driven from PowerShell — you get errors like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cd: /c/Users/.../pharmacovigilance: No such file or directory</w:t>
      </w:r>
      <w:r>
        <w:t xml:space="preserve">. Put the project in a no-space path such as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C:\...\pv_icsr_agent</w:t>
      </w:r>
      <w:r>
        <w:t xml:space="preserve"> before deploying.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Detached long runs — Start-Process with a single space-free argument. </w:t>
      </w:r>
      <w:r>
        <w:t xml:space="preserve">The 3–4 minute deploy, the venv build, and the CodeBuild launch must run detached, or a foreground shell can be killed on a timeout before they finish. The pattern that works: write a tiny runner script that self-logs and changes into the no-space dir — its first lines are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exec &gt; run.log 2&gt;&amp;1</w:t>
      </w:r>
      <w:r>
        <w:t xml:space="preserve">, then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cd &lt;no-space dir&gt;</w:t>
      </w:r>
      <w:r>
        <w:t xml:space="preserve">, then the command — and launch it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Start-Process -FilePath 'C:\Program Files\Git\bin\bash.exe' -ArgumentList '/c/…/runner.sh' -WindowStyle Hidden</w:t>
      </w:r>
      <w:r>
        <w:t xml:space="preserve">. Pass the runner path as </w:t>
      </w:r>
      <w:r>
        <w:rPr>
          <w:b/>
          <w:bCs/>
        </w:rPr>
        <w:t xml:space="preserve">one space-free argument</w:t>
      </w:r>
      <w:r>
        <w:t xml:space="preserve">: PowerShell's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-ArgumentList</w:t>
      </w:r>
      <w:r>
        <w:t xml:space="preserve"> joins a multi-token array unquoted, so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'-lc','bash /c/…/runner.sh'</w:t>
      </w:r>
      <w:r>
        <w:t xml:space="preserve"> silently drops the command at the space and the process exits doing nothing. Then verify progress by </w:t>
      </w:r>
      <w:r>
        <w:rPr>
          <w:b/>
          <w:bCs/>
        </w:rPr>
        <w:t xml:space="preserve">polling AWS state</w:t>
      </w:r>
      <w:r>
        <w:t xml:space="preserve"> (list the gateway/lambdas/policies) — the runner's log is block-buffered to a file, so an empty log does not mean no progress; query the resources.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Stop orphaned sign-off executions before teardown. </w:t>
      </w:r>
      <w:r>
        <w:t xml:space="preserve">A PENDING submission leaves a RUNNING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waitForTaskToken</w:t>
      </w:r>
      <w:r>
        <w:t xml:space="preserve"> execution that keeps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pv-signoff</w:t>
      </w:r>
      <w:r>
        <w:t xml:space="preserve"> stuck DELETING and blocks the next deploy — stop it first (see §7).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Policy names are unique per account/region. </w:t>
      </w:r>
      <w:r>
        <w:t xml:space="preserve">The template prefixes policies per agent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pv_mask_before_assess</w:t>
      </w:r>
      <w:r>
        <w:t xml:space="preserve">) so multiple agents coexist; if you don't prefix, deploy one at a time (see §7).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Path conversion: </w:t>
      </w:r>
      <w:r>
        <w:t xml:space="preserve">Git-Bash rewrites arguments that start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</w:t>
      </w:r>
      <w:r>
        <w:t xml:space="preserve"> (e.g. SSM names) into Windows paths. The scripts set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MSYS_NO_PATHCONV=1</w:t>
      </w:r>
      <w:r>
        <w:t xml:space="preserve"> where it matters — but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render.py</w:t>
      </w:r>
      <w:r>
        <w:t xml:space="preserve"> runs under native Python, which cannot take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/c/</w:t>
      </w:r>
      <w:r>
        <w:t xml:space="preserve"> paths, so render is invoked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MSYS_NO_PATHCONV</w:t>
      </w:r>
      <w:r>
        <w:t xml:space="preserve"> unset in a subshell.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Carriage returns: </w:t>
      </w:r>
      <w:r>
        <w:t xml:space="preserve">the CLI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--output text</w:t>
      </w:r>
      <w:r>
        <w:t xml:space="preserve"> picks up a trailing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\r</w:t>
      </w:r>
      <w:r>
        <w:t xml:space="preserve">; the scripts pipe through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tr -d '\r'</w:t>
      </w:r>
      <w:r>
        <w:t xml:space="preserve"> where it matters.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Self-locating helpers: </w:t>
      </w:r>
      <w:r>
        <w:t xml:space="preserve">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lib/runtime/</w:t>
      </w:r>
      <w:r>
        <w:t xml:space="preserve"> helpers resolve the agent directory before changing directory and detect the venv layout per OS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 vs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bin/</w:t>
      </w:r>
      <w:r>
        <w:t xml:space="preserve">), so they run from a fresh clone on any OS.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AgentCore toolkit: </w:t>
      </w:r>
      <w:r>
        <w:t xml:space="preserve">export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PYTHONIOENCODING=utf-8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AGENTCORE_SUPPRESS_RECOMMENDATION=1</w:t>
      </w:r>
      <w:r>
        <w:t xml:space="preserve"> (already set in the helper scripts) so the rich console output does not crash under the Windows codepage.</w:t>
      </w:r>
    </w:p>
    <w:p>
      <w:pPr>
        <w:spacing w:after="80"/>
      </w:pPr>
    </w:p>
    <w:p>
      <w:r>
        <w:rPr>
          <w:i/>
          <w:iCs/>
          <w:color w:val="6B7A8A"/>
        </w:rPr>
        <w:t xml:space="preserve">End of runbook. See the Regulatory-Adherence Guide for the control-to-requirement mapping and the Maintenance Guide for day-two operations.</w:t>
      </w:r>
    </w:p>
    <w:sectPr>
      <w:footerReference w:type="default" r:id="rId7"/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F" w:sz="4" w:space="6"/>
      </w:pBdr>
      <w:tabs>
        <w:tab w:val="right" w:pos="10040"/>
      </w:tabs>
    </w:pPr>
    <w:r>
      <w:rPr>
        <w:color w:val="6B7A8A"/>
        <w:sz w:val="15"/>
        <w:szCs w:val="15"/>
      </w:rPr>
      <w:t xml:space="preserve">Pharmacovigilance AgentCore · SA Deployment Runbook</w:t>
    </w:r>
    <w:r>
      <w:rPr>
        <w:sz w:val="15"/>
        <w:szCs w:val="15"/>
      </w:rPr>
      <w:t xml:space="preserve">	</w:t>
    </w:r>
    <w:r>
      <w:rPr>
        <w:color w:val="6B7A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0E2A47"/>
      <w:sz w:val="52"/>
      <w:szCs w:val="52"/>
    </w:rPr>
  </w:style>
  <w:style w:type="paragraph" w:styleId="Subtitle">
    <w:name w:val="Subtitle"/>
    <w:basedOn w:val="Normal"/>
    <w:pPr>
      <w:spacing w:after="80"/>
    </w:pPr>
    <w:rPr>
      <w:rFonts w:ascii="Calibri" w:cs="Calibri" w:eastAsia="Calibri" w:hAnsi="Calibri"/>
      <w:color w:val="1C7293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40"/>
      <w:outlineLvl w:val="1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0E2A47"/>
      <w:sz w:val="22"/>
      <w:szCs w:val="22"/>
    </w:rPr>
  </w:style>
  <w:style w:type="paragraph" w:styleId="Normal">
    <w:name w:val="Normal"/>
    <w:pPr>
      <w:spacing w:after="130" w:line="264"/>
    </w:pPr>
    <w:rPr>
      <w:rFonts w:ascii="Calibri" w:cs="Calibri" w:eastAsia="Calibri" w:hAnsi="Calibri"/>
      <w:color w:val="1A2733"/>
      <w:sz w:val="21"/>
      <w:szCs w:val="21"/>
    </w:rPr>
  </w:style>
  <w:style w:type="paragraph" w:styleId="Code">
    <w:name w:val="Code"/>
    <w:basedOn w:val="Normal"/>
    <w:pPr>
      <w:shd w:fill="F0F4F1" w:val="clear"/>
      <w:spacing w:after="20" w:line="240"/>
    </w:pPr>
    <w:rPr>
      <w:rFonts w:ascii="Consolas" w:cs="Consolas" w:eastAsia="Consolas" w:hAnsi="Consolas"/>
      <w:color w:val="1B3A2B"/>
      <w:sz w:val="17"/>
      <w:szCs w:val="17"/>
    </w:rPr>
  </w:style>
  <w:style w:type="paragraph" w:styleId="Caption">
    <w:name w:val="Caption"/>
    <w:basedOn w:val="Normal"/>
    <w:rPr>
      <w:rFonts w:ascii="Calibri" w:cs="Calibri" w:eastAsia="Calibri" w:hAnsi="Calibri"/>
      <w:i/>
      <w:iCs/>
      <w:color w:val="6B7A8A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2026-09-09T14:26:51.272Z</dcterms:created>
  <dcterms:modified xsi:type="dcterms:W3CDTF">2026-09-09T14:26:51.273Z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