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Pharmacovigilance ICSR Intake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pharmacovigilance (drug-safety) accelerator — routine changes, the Runtime lifecycle, monitoring, audit-evidence handling, teardown/rebuild, and the known toolchain gotchas. Accelerator reference.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safety-reviewer tokens.</w:t>
            </w:r>
          </w:p>
        </w:tc>
      </w:tr>
    </w:tbl>
    <w:p>
      <w:pPr>
        <w:pStyle w:val="Heading1"/>
      </w:pPr>
      <w:r>
        <w:t xml:space="preserve">2. Routine operations</w:t>
      </w:r>
    </w:p>
    <w:p>
      <w:pPr>
        <w:pStyle w:val="Heading2"/>
      </w:pPr>
      <w:r>
        <w:t xml:space="preserve">2.1 Refresh the spine</w:t>
      </w:r>
    </w:p>
    <w:p>
      <w:r>
        <w:t xml:space="preserve">The safest way to apply most spine changes is a clean rebuild.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agents/pharmacovigilance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agents/pharmacovigilance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lib/engine/demo.sh    agents/pharmacovigilance   # legacy-engine smoke test: expect all checks to pass</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lib/engine/redteam.sh agents/pharmacovigilance   # adversarial: expect 7/7</w:t>
      </w:r>
    </w:p>
    <w:p>
      <w:r>
        <w:rPr>
          <w:b/>
          <w:bCs/>
        </w:rPr>
        <w:t xml:space="preserve">Note: </w:t>
      </w:r>
      <w:r>
        <w:t xml:space="preserve">run cycles serialized — never two concurrent spine deploys. Deploy from a path without spaces (§7).</w:t>
      </w:r>
    </w:p>
    <w:p>
      <w:pPr>
        <w:pStyle w:val="Heading2"/>
      </w:pPr>
      <w:r>
        <w:t xml:space="preserve">2.2 Change the seriousness rules or a tool</w:t>
      </w:r>
    </w:p>
    <w:p>
      <w:r>
        <w:t xml:space="preserve">The seriousness criteria and reporting clock live in </w:t>
      </w:r>
      <w:r>
        <w:rPr>
          <w:rFonts w:ascii="Consolas" w:cs="Consolas" w:eastAsia="Consolas" w:hAnsi="Consolas"/>
          <w:color w:val="1B3A2B"/>
          <w:sz w:val="18"/>
          <w:szCs w:val="18"/>
        </w:rPr>
        <w:t xml:space="preserve">agents/pharmacovigilance/tools/assess_seriousness.py</w:t>
      </w:r>
      <w:r>
        <w:t xml:space="preserve"> (the six ICH E2B(R3) criteria and the expedited/periodic/routine clock logic).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agents/pharmacovigilance/tools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assess_seriousness.py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pv-assess-seriousness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authoritative rules</w:t>
            </w:r>
          </w:p>
          <w:p>
            <w:pPr>
              <w:spacing w:after="20" w:line="258"/>
            </w:pPr>
            <w:r>
              <w:t xml:space="preserve">The shipped seriousness criteria and reporting clocks are illustrative regulatory defaults for demonstration. Replace them with the authoritative, market-specific reporting rules (e.g. IND 7-day, EU GVP timelines), under regulatory review, before any real determination. The rules engine is deliberately deterministic and model-free so a qualified person can defend each determination. MedDRA/WHODrug coding and safety-system connectors ship as labeled stubs — replace them with the licensed dictionaries and validated connectors.</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"*pv_reviewer*"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 Policy names are prefixed per agent (</w:t>
      </w:r>
      <w:r>
        <w:rPr>
          <w:rFonts w:ascii="Consolas" w:cs="Consolas" w:eastAsia="Consolas" w:hAnsi="Consolas"/>
          <w:color w:val="1B3A2B"/>
          <w:sz w:val="18"/>
          <w:szCs w:val="18"/>
        </w:rPr>
        <w:t xml:space="preserve">pv_mask_before_assess</w:t>
      </w:r>
      <w:r>
        <w:t xml:space="preserve">) so multiple agents coexist in one account/region.</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pv-pharmacovigilance-guardrail</w:t>
      </w:r>
      <w:r>
        <w:t xml:space="preserve"> (PHI anonymize + prompt-attack) is created on first deploy and reused by name thereafter. To change its policy, either update it in place or delete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change PHI entities / filters, then:</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draft_narrative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or inference profile via the manifest and redeploy, or update the Lambda config directly:</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lambda update-function-configuration --function-name pv-core-tools \</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--environment 'Variables={GUARDRAIL_ID=&lt;id&gt;,GUARDRAIL_VERSION=DRAFT,\</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DRAFT_MODEL_ID=us.anthropic.claude-haiku-4-5-20251001-v1:0}' --region us-east-1</w:t>
      </w:r>
    </w:p>
    <w:p>
      <w:r>
        <w:rPr>
          <w:b/>
          <w:bCs/>
        </w:rPr>
        <w:t xml:space="preserve">Gotcha: </w:t>
      </w:r>
      <w:r>
        <w:t xml:space="preserve">some newer models reject </w:t>
      </w:r>
      <w:r>
        <w:rPr>
          <w:rFonts w:ascii="Consolas" w:cs="Consolas" w:eastAsia="Consolas" w:hAnsi="Consolas"/>
          <w:color w:val="1B3A2B"/>
          <w:sz w:val="18"/>
          <w:szCs w:val="18"/>
        </w:rPr>
        <w:t xml:space="preserve">temperature</w:t>
      </w:r>
      <w:r>
        <w:t xml:space="preserve"> and </w:t>
      </w:r>
      <w:r>
        <w:rPr>
          <w:rFonts w:ascii="Consolas" w:cs="Consolas" w:eastAsia="Consolas" w:hAnsi="Consolas"/>
          <w:color w:val="1B3A2B"/>
          <w:sz w:val="18"/>
          <w:szCs w:val="18"/>
        </w:rPr>
        <w:t xml:space="preserve">topP</w:t>
      </w:r>
      <w:r>
        <w:t xml:space="preserve"> together via Converse — the tool sends temperature only. Keep that in mind if you customize inference parameters.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re-run </w:t>
      </w:r>
      <w:r>
        <w:rPr>
          <w:rFonts w:ascii="Consolas" w:cs="Consolas" w:eastAsia="Consolas" w:hAnsi="Consolas"/>
          <w:color w:val="1B3A2B"/>
          <w:sz w:val="18"/>
          <w:szCs w:val="18"/>
        </w:rPr>
        <w:t xml:space="preserve">bash lib/engine/deploy_identity.sh agents/pharmacovigilance</w:t>
      </w:r>
      <w:r>
        <w:t xml:space="preserve"> (idempotent),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sponsor's real identity provider and map workforce roles (safety reviewer / qualified person / senior safety physician) to the </w:t>
      </w:r>
      <w:r>
        <w:rPr>
          <w:rFonts w:ascii="Consolas" w:cs="Consolas" w:eastAsia="Consolas" w:hAnsi="Consolas"/>
          <w:color w:val="1B3A2B"/>
          <w:sz w:val="18"/>
          <w:szCs w:val="18"/>
        </w:rPr>
        <w:t xml:space="preserve">pv_reviewer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agents/pharmacovigilance</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/pv-pharmacovigilance/gateway-url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agents/pharmacovigilance</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agents/pharmacovigilance pv_reviewer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/aws/bedrock-agentcore/runtimes/pv_runtime_agent-&lt;id&gt;-DEFAULT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Spine smoke test: </w:t>
      </w:r>
      <w:r>
        <w:rPr>
          <w:rFonts w:ascii="Consolas" w:cs="Consolas" w:eastAsia="Consolas" w:hAnsi="Consolas"/>
          <w:color w:val="1B3A2B"/>
          <w:sz w:val="18"/>
          <w:szCs w:val="18"/>
        </w:rPr>
        <w:t xml:space="preserve">bash lib/engine/demo.sh agents/pharmacovigilance</w:t>
      </w:r>
      <w:r>
        <w:t xml:space="preserve"> is the fastest health check — a clean run means the whole governed path is intact; </w:t>
      </w:r>
      <w:r>
        <w:rPr>
          <w:rFonts w:ascii="Consolas" w:cs="Consolas" w:eastAsia="Consolas" w:hAnsi="Consolas"/>
          <w:color w:val="1B3A2B"/>
          <w:sz w:val="18"/>
          <w:szCs w:val="18"/>
        </w:rPr>
        <w:t xml:space="preserve">redteam.sh</w:t>
      </w:r>
      <w:r>
        <w:t xml:space="preserve"> (7/7) confirms it holds under attack.</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narrative, openFDA egress falling back to the deterministic aggregate (network/rate-limit), and any </w:t>
      </w:r>
      <w:r>
        <w:rPr>
          <w:rFonts w:ascii="Consolas" w:cs="Consolas" w:eastAsia="Consolas" w:hAnsi="Consolas"/>
          <w:color w:val="1B3A2B"/>
          <w:sz w:val="18"/>
          <w:szCs w:val="18"/>
        </w:rPr>
        <w:t xml:space="preserve">assess</w:t>
      </w:r>
      <w:r>
        <w:t xml:space="preserve"> or </w:t>
      </w:r>
      <w:r>
        <w:rPr>
          <w:rFonts w:ascii="Consolas" w:cs="Consolas" w:eastAsia="Consolas" w:hAnsi="Consolas"/>
          <w:color w:val="1B3A2B"/>
          <w:sz w:val="18"/>
          <w:szCs w:val="18"/>
        </w:rPr>
        <w:t xml:space="preserve">record_causality</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pv-audit</w:t>
      </w:r>
      <w:r>
        <w:t xml:space="preserve"> (point-in-time recovery enabled) and the S3 Object Lock bucket </w:t>
      </w:r>
      <w:r>
        <w:rPr>
          <w:rFonts w:ascii="Consolas" w:cs="Consolas" w:eastAsia="Consolas" w:hAnsi="Consolas"/>
          <w:color w:val="1B3A2B"/>
          <w:sz w:val="18"/>
          <w:szCs w:val="18"/>
        </w:rPr>
        <w:t xml:space="preserve">pv-audit-worm-&lt;acct&gt;-&lt;region&gt;</w:t>
      </w:r>
      <w:r>
        <w:t xml:space="preserve">. Together they are the 21 CFR Part 11 / GxP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records-management and regulatory-retention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 — scan the DynamoDB table and sync the bucket to a retained location:</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pv-audit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s3://pv-audit-worm-&lt;acct&gt;-us-east-1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agents/pharmacovigilance</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delete the Cognito pool, then </w:t>
      </w:r>
      <w:r>
        <w:rPr>
          <w:rFonts w:ascii="Consolas" w:cs="Consolas" w:eastAsia="Consolas" w:hAnsi="Consolas"/>
          <w:color w:val="1B3A2B"/>
          <w:sz w:val="18"/>
          <w:szCs w:val="18"/>
        </w:rPr>
        <w:t xml:space="preserve">agentcore destroy</w:t>
      </w:r>
      <w:r>
        <w:t xml:space="preserve"> from </w:t>
      </w:r>
      <w:r>
        <w:rPr>
          <w:rFonts w:ascii="Consolas" w:cs="Consolas" w:eastAsia="Consolas" w:hAnsi="Consolas"/>
          <w:color w:val="1B3A2B"/>
          <w:sz w:val="18"/>
          <w:szCs w:val="18"/>
        </w:rPr>
        <w:t xml:space="preserve">lib/runtime/</w:t>
      </w:r>
      <w:r>
        <w:t xml:space="preserve"> (also prune the ECR repo and CodeBuild project).</w:t>
      </w:r>
    </w:p>
    <w:p>
      <w:pPr>
        <w:pStyle w:val="ListParagraph"/>
        <w:numPr>
          <w:ilvl w:val="0"/>
          <w:numId w:val="1"/>
        </w:numPr>
        <w:spacing w:after="70" w:line="260"/>
      </w:pPr>
      <w:r>
        <w:rPr>
          <w:b/>
          <w:bCs/>
        </w:rPr>
        <w:t xml:space="preserve">Stop pending sign-off executions first. </w:t>
      </w:r>
      <w:r>
        <w:t xml:space="preserve">If you invoked the agent and left a submission PENDING (never approved), stop that RUNNING Step Functions execution before teardown — otherwise it keeps </w:t>
      </w:r>
      <w:r>
        <w:rPr>
          <w:rFonts w:ascii="Consolas" w:cs="Consolas" w:eastAsia="Consolas" w:hAnsi="Consolas"/>
          <w:color w:val="1B3A2B"/>
          <w:sz w:val="18"/>
          <w:szCs w:val="18"/>
        </w:rPr>
        <w:t xml:space="preserve">pv-signoff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Deploy fails: StateMachineDeleting on pv-signoff</w:t>
            </w:r>
          </w:p>
        </w:tc>
        <w:tc>
          <w:tcPr>
            <w:tcW w:type="dxa" w:w="7340"/>
            <w:shd w:fill="FFFFFF"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submission that was never approved). It keeps the pv-signoff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Policy with the same name already exists</w:t>
            </w:r>
          </w:p>
        </w:tc>
        <w:tc>
          <w:tcPr>
            <w:tcW w:type="dxa" w:w="7340"/>
            <w:shd w:fill="F4F8FA" w:val="clear"/>
            <w:tcMar>
              <w:top w:type="dxa" w:w="60"/>
              <w:left w:type="dxa" w:w="110"/>
              <w:bottom w:type="dxa" w:w="60"/>
              <w:right w:type="dxa" w:w="110"/>
            </w:tcMar>
          </w:tcPr>
          <w:p>
            <w:pPr>
              <w:spacing w:after="0" w:line="250"/>
            </w:pPr>
            <w:r>
              <w:rPr>
                <w:sz w:val="19"/>
                <w:szCs w:val="19"/>
              </w:rPr>
              <w:t xml:space="preserve">A second template agent was deployed without prefixing while another was live (policy names are unique per account/region). The template prefixes policies per agent (pv_mask_before_assess); deploy prefixed, or run one agent at a time (destroy the live agent first).</w:t>
            </w:r>
          </w:p>
        </w:tc>
      </w:tr>
      <w:tr>
        <w:tc>
          <w:tcPr>
            <w:tcW w:type="dxa" w:w="3100"/>
            <w:shd w:fill="FFFFFF" w:val="clear"/>
            <w:tcMar>
              <w:top w:type="dxa" w:w="60"/>
              <w:left w:type="dxa" w:w="110"/>
              <w:bottom w:type="dxa" w:w="60"/>
              <w:right w:type="dxa" w:w="110"/>
            </w:tcMar>
          </w:tcPr>
          <w:p>
            <w:pPr>
              <w:spacing w:after="0" w:line="250"/>
            </w:pPr>
            <w:r>
              <w:rPr>
                <w:sz w:val="19"/>
                <w:szCs w:val="19"/>
              </w:rPr>
              <w:t xml:space="preserve">Git-Bash 'cd: …/pharmacovigilance: No such file or directory' (Windows)</w:t>
            </w:r>
          </w:p>
        </w:tc>
        <w:tc>
          <w:tcPr>
            <w:tcW w:type="dxa" w:w="7340"/>
            <w:shd w:fill="FFFFFF" w:val="clear"/>
            <w:tcMar>
              <w:top w:type="dxa" w:w="60"/>
              <w:left w:type="dxa" w:w="110"/>
              <w:bottom w:type="dxa" w:w="60"/>
              <w:right w:type="dxa" w:w="110"/>
            </w:tcMar>
          </w:tcPr>
          <w:p>
            <w:pPr>
              <w:spacing w:after="0" w:line="250"/>
            </w:pPr>
            <w:r>
              <w:rPr>
                <w:sz w:val="19"/>
                <w:szCs w:val="19"/>
              </w:rPr>
              <w:t xml:space="preserve">The project path contains a space and PowerShell mangled the quoting. Deploy from a no-space path (e.g. pv_icsr_agent).</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Detached deploy/launch does nothing / empty log (Windows)</w:t>
            </w:r>
          </w:p>
        </w:tc>
        <w:tc>
          <w:tcPr>
            <w:tcW w:type="dxa" w:w="7340"/>
            <w:shd w:fill="F4F8FA" w:val="clear"/>
            <w:tcMar>
              <w:top w:type="dxa" w:w="60"/>
              <w:left w:type="dxa" w:w="110"/>
              <w:bottom w:type="dxa" w:w="60"/>
              <w:right w:type="dxa" w:w="110"/>
            </w:tcMar>
          </w:tcPr>
          <w:p>
            <w:pPr>
              <w:spacing w:after="0" w:line="250"/>
            </w:pPr>
            <w:r>
              <w:rPr>
                <w:sz w:val="19"/>
                <w:szCs w:val="19"/>
              </w:rPr>
              <w:t xml:space="preserve">Start-Process -ArgumentList was passed a multi-token array, which PowerShell joins unquoted and drops the command at the first space. Pass the runner as ONE space-free argument: Start-Process -FilePath '…\bash.exe' -ArgumentList '/c/…/runner.sh' -WindowStyle Hidden. The runner log is block-buffered — verify progress by polling AWS state, not by tailing the log.</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 on audit)</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render.py FileNotFoundError on manifest.yaml (Windows)</w:t>
            </w:r>
          </w:p>
        </w:tc>
        <w:tc>
          <w:tcPr>
            <w:tcW w:type="dxa" w:w="7340"/>
            <w:shd w:fill="F4F8FA" w:val="clear"/>
            <w:tcMar>
              <w:top w:type="dxa" w:w="60"/>
              <w:left w:type="dxa" w:w="110"/>
              <w:bottom w:type="dxa" w:w="60"/>
              <w:right w:type="dxa" w:w="110"/>
            </w:tcMar>
          </w:tcPr>
          <w:p>
            <w:pPr>
              <w:spacing w:after="0" w:line="250"/>
            </w:pPr>
            <w:r>
              <w:rPr>
                <w:sz w:val="19"/>
                <w:szCs w:val="19"/>
              </w:rPr>
              <w:t xml:space="preserve">A helper changed directory before resolving the relative agent path. The helpers resolve the agent dir to an absolute path before cd; run them from the project root.</w:t>
            </w:r>
          </w:p>
        </w:tc>
      </w:tr>
      <w:tr>
        <w:tc>
          <w:tcPr>
            <w:tcW w:type="dxa" w:w="3100"/>
            <w:shd w:fill="FFFFFF"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FFFFF" w:val="clear"/>
            <w:tcMar>
              <w:top w:type="dxa" w:w="60"/>
              <w:left w:type="dxa" w:w="110"/>
              <w:bottom w:type="dxa" w:w="60"/>
              <w:right w:type="dxa" w:w="110"/>
            </w:tcMar>
          </w:tcPr>
          <w:p>
            <w:pPr>
              <w:spacing w:after="0" w:line="250"/>
            </w:pPr>
            <w:r>
              <w:rPr>
                <w:sz w:val="19"/>
                <w:szCs w:val="19"/>
              </w:rPr>
              <w:t xml:space="preserve">SSM parameter missing or stale. Confirm /pv-pharmacovigilance/gateway-url exists and matches the live gateway; the deploy sets MSYS_NO_PATHCONV=1 so the name isn't mangled on Windows.</w:t>
            </w:r>
          </w:p>
        </w:tc>
      </w:tr>
      <w:tr>
        <w:tc>
          <w:tcPr>
            <w:tcW w:type="dxa" w:w="3100"/>
            <w:shd w:fill="F4F8FA" w:val="clear"/>
            <w:tcMar>
              <w:top w:type="dxa" w:w="60"/>
              <w:left w:type="dxa" w:w="110"/>
              <w:bottom w:type="dxa" w:w="60"/>
              <w:right w:type="dxa" w:w="110"/>
            </w:tcMar>
          </w:tcPr>
          <w:p>
            <w:pPr>
              <w:spacing w:after="0" w:line="250"/>
            </w:pPr>
            <w:r>
              <w:rPr>
                <w:sz w:val="19"/>
                <w:szCs w:val="19"/>
              </w:rPr>
              <w:t xml:space="preserve">openfda_lookup returns found:false / authoritative:false</w:t>
            </w:r>
          </w:p>
        </w:tc>
        <w:tc>
          <w:tcPr>
            <w:tcW w:type="dxa" w:w="7340"/>
            <w:shd w:fill="F4F8FA" w:val="clear"/>
            <w:tcMar>
              <w:top w:type="dxa" w:w="60"/>
              <w:left w:type="dxa" w:w="110"/>
              <w:bottom w:type="dxa" w:w="60"/>
              <w:right w:type="dxa" w:w="110"/>
            </w:tcMar>
          </w:tcPr>
          <w:p>
            <w:pPr>
              <w:spacing w:after="0" w:line="250"/>
            </w:pPr>
            <w:r>
              <w:rPr>
                <w:sz w:val="19"/>
                <w:szCs w:val="19"/>
              </w:rPr>
              <w:t xml:space="preserve">openFDA egress failed or was rate-limited, or the drug had no FAERS results. This is CORRECT, intended behaviour: the tool returns an explicit not-found result with no substituted aggregate — it must never fabricate background data (P0-4). The governed workflow proceeds with the absence recorded and stamped in provenance. If live background is required, confirm outbound HTTPS egress to api.fda.gov is permitted by the egress allowlist.</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agentcore configure/launch crashes with a Unicode or console error</w:t>
            </w:r>
          </w:p>
        </w:tc>
        <w:tc>
          <w:tcPr>
            <w:tcW w:type="dxa" w:w="7340"/>
            <w:shd w:fill="F4F8FA" w:val="clear"/>
            <w:tcMar>
              <w:top w:type="dxa" w:w="60"/>
              <w:left w:type="dxa" w:w="110"/>
              <w:bottom w:type="dxa" w:w="60"/>
              <w:right w:type="dxa" w:w="110"/>
            </w:tcMar>
          </w:tcPr>
          <w:p>
            <w:pPr>
              <w:spacing w:after="0" w:line="250"/>
            </w:pPr>
            <w:r>
              <w:rPr>
                <w:sz w:val="19"/>
                <w:szCs w:val="19"/>
              </w:rPr>
              <w:t xml:space="preserve">Windows codepage. Export PYTHONIOENCODING=utf-8, PYTHONUTF8=1, AGENTCORE_SUPPRESS_RECOMMENDATION=1 (set in the helper scripts).</w:t>
            </w:r>
          </w:p>
        </w:tc>
      </w:tr>
      <w:tr>
        <w:tc>
          <w:tcPr>
            <w:tcW w:type="dxa" w:w="3100"/>
            <w:shd w:fill="FFFFFF" w:val="clear"/>
            <w:tcMar>
              <w:top w:type="dxa" w:w="60"/>
              <w:left w:type="dxa" w:w="110"/>
              <w:bottom w:type="dxa" w:w="60"/>
              <w:right w:type="dxa" w:w="110"/>
            </w:tcMar>
          </w:tcPr>
          <w:p>
            <w:pPr>
              <w:spacing w:after="0" w:line="250"/>
            </w:pPr>
            <w:r>
              <w:rPr>
                <w:sz w:val="19"/>
                <w:szCs w:val="19"/>
              </w:rPr>
              <w:t xml:space="preserve">'Invalid version id' during bucket teardown</w:t>
            </w:r>
          </w:p>
        </w:tc>
        <w:tc>
          <w:tcPr>
            <w:tcW w:type="dxa" w:w="7340"/>
            <w:shd w:fill="FFFFFF" w:val="clear"/>
            <w:tcMar>
              <w:top w:type="dxa" w:w="60"/>
              <w:left w:type="dxa" w:w="110"/>
              <w:bottom w:type="dxa" w:w="60"/>
              <w:right w:type="dxa" w:w="110"/>
            </w:tcMar>
          </w:tcPr>
          <w:p>
            <w:pPr>
              <w:spacing w:after="0" w:line="250"/>
            </w:pPr>
            <w:r>
              <w:rPr>
                <w:sz w:val="19"/>
                <w:szCs w:val="19"/>
              </w:rPr>
              <w:t xml:space="preserve">Git-Bash trailing \r on the version id. Pipe list output through tr -d '\r' (handled in destroy.sh).</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(the tools already do),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 The openFDA lookup is free (public API).</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 For a GovCloud target, confirm per-service availability first.</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Pharmacovigilance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2026-08-03T18:09:57.784Z</dcterms:created>
  <dcterms:modified xsi:type="dcterms:W3CDTF">2026-08-03T18:09:57.784Z</dcterms:modified>
</cp:coreProperties>
</file>

<file path=docProps/custom.xml><?xml version="1.0" encoding="utf-8"?>
<Properties xmlns="http://schemas.openxmlformats.org/officeDocument/2006/custom-properties" xmlns:vt="http://schemas.openxmlformats.org/officeDocument/2006/docPropsVTypes"/>
</file>