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pPr>
      <w:r>
        <w:rPr>
          <w:b/>
          <w:bCs/>
          <w:color w:val="1C7293"/>
          <w:spacing w:val="40"/>
          <w:sz w:val="19"/>
          <w:szCs w:val="19"/>
        </w:rPr>
        <w:t xml:space="preserve">GOVERNED AGENTIC AI · AMAZON BEDROCK AGENTCORE</w:t>
      </w:r>
    </w:p>
    <w:p>
      <w:pPr>
        <w:pStyle w:val="Title"/>
      </w:pPr>
      <w:r>
        <w:t xml:space="preserve">Maintenance &amp; Operations Guide</w:t>
      </w:r>
    </w:p>
    <w:p>
      <w:pPr>
        <w:pStyle w:val="Subtitle"/>
        <w:spacing w:after="500" w:before="120"/>
      </w:pPr>
      <w:r>
        <w:t xml:space="preserve">Pharmacovigilance Agent on Amazon Bedrock AgentCore</w:t>
      </w:r>
    </w:p>
    <w:p>
      <w:pPr>
        <w:pBdr>
          <w:top w:val="single" w:color="0B8F72" w:sz="6"/>
          <w:bottom w:val="single" w:color="0B8F72" w:sz="6"/>
        </w:pBdr>
        <w:shd w:fill="EEF3F7" w:val="clear"/>
        <w:spacing w:after="60" w:before="60" w:line="260"/>
      </w:pPr>
      <w:r>
        <w:rPr>
          <w:i/>
          <w:iCs/>
          <w:color w:val="1A2733"/>
          <w:sz w:val="19"/>
          <w:szCs w:val="19"/>
        </w:rPr>
        <w:t xml:space="preserve">Day-two operations for the governed PV accelerator — routine changes, the Runtime lifecycle, monitoring, audit-evidence handling, teardown/rebuild, and the known toolchain gotchas. Accelerator reference. Version 1.0 · 2026.</w:t>
      </w:r>
    </w:p>
    <w:p>
      <w:r>
        <w:br w:type="page"/>
      </w:r>
    </w:p>
    <w:p>
      <w:pPr>
        <w:pStyle w:val="Heading1"/>
      </w:pPr>
      <w:r>
        <w:t xml:space="preserve">Contents</w:t>
      </w:r>
    </w:p>
    <w:p>
      <w:pPr>
        <w:tabs>
          <w:tab w:val="left" w:pos="520"/>
        </w:tabs>
        <w:spacing w:after="90" w:line="260"/>
      </w:pPr>
      <w:r>
        <w:rPr>
          <w:b/>
          <w:bCs/>
          <w:color w:val="1A2733"/>
          <w:sz w:val="21"/>
          <w:szCs w:val="21"/>
        </w:rPr>
        <w:t xml:space="preserve">1.	Operating model</w:t>
      </w:r>
    </w:p>
    <w:p>
      <w:pPr>
        <w:tabs>
          <w:tab w:val="left" w:pos="520"/>
        </w:tabs>
        <w:spacing w:after="90" w:line="260"/>
      </w:pPr>
      <w:r>
        <w:rPr>
          <w:b/>
          <w:bCs/>
          <w:color w:val="1A2733"/>
          <w:sz w:val="21"/>
          <w:szCs w:val="21"/>
        </w:rPr>
        <w:t xml:space="preserve">2.	Routine operations</w:t>
      </w:r>
    </w:p>
    <w:p>
      <w:pPr>
        <w:tabs>
          <w:tab w:val="left" w:pos="520"/>
        </w:tabs>
        <w:spacing w:after="90" w:line="260"/>
      </w:pPr>
      <w:r>
        <w:rPr>
          <w:b/>
          <w:bCs/>
          <w:color w:val="1A2733"/>
          <w:sz w:val="21"/>
          <w:szCs w:val="21"/>
        </w:rPr>
        <w:t xml:space="preserve">3.	The Runtime agent lifecycle</w:t>
      </w:r>
    </w:p>
    <w:p>
      <w:pPr>
        <w:tabs>
          <w:tab w:val="left" w:pos="520"/>
        </w:tabs>
        <w:spacing w:after="90" w:line="260"/>
      </w:pPr>
      <w:r>
        <w:rPr>
          <w:b/>
          <w:bCs/>
          <w:color w:val="1A2733"/>
          <w:sz w:val="21"/>
          <w:szCs w:val="21"/>
        </w:rPr>
        <w:t xml:space="preserve">4.	Monitoring &amp; observability</w:t>
      </w:r>
    </w:p>
    <w:p>
      <w:pPr>
        <w:tabs>
          <w:tab w:val="left" w:pos="520"/>
        </w:tabs>
        <w:spacing w:after="90" w:line="260"/>
      </w:pPr>
      <w:r>
        <w:rPr>
          <w:b/>
          <w:bCs/>
          <w:color w:val="1A2733"/>
          <w:sz w:val="21"/>
          <w:szCs w:val="21"/>
        </w:rPr>
        <w:t xml:space="preserve">5.	Audit-evidence management</w:t>
      </w:r>
    </w:p>
    <w:p>
      <w:pPr>
        <w:tabs>
          <w:tab w:val="left" w:pos="520"/>
        </w:tabs>
        <w:spacing w:after="90" w:line="260"/>
      </w:pPr>
      <w:r>
        <w:rPr>
          <w:b/>
          <w:bCs/>
          <w:color w:val="1A2733"/>
          <w:sz w:val="21"/>
          <w:szCs w:val="21"/>
        </w:rPr>
        <w:t xml:space="preserve">6.	Teardown &amp; rebuild</w:t>
      </w:r>
    </w:p>
    <w:p>
      <w:pPr>
        <w:tabs>
          <w:tab w:val="left" w:pos="520"/>
        </w:tabs>
        <w:spacing w:after="90" w:line="260"/>
      </w:pPr>
      <w:r>
        <w:rPr>
          <w:b/>
          <w:bCs/>
          <w:color w:val="1A2733"/>
          <w:sz w:val="21"/>
          <w:szCs w:val="21"/>
        </w:rPr>
        <w:t xml:space="preserve">7.	Troubleshooting &amp; known gotchas</w:t>
      </w:r>
    </w:p>
    <w:p>
      <w:pPr>
        <w:tabs>
          <w:tab w:val="left" w:pos="520"/>
        </w:tabs>
        <w:spacing w:after="90" w:line="260"/>
      </w:pPr>
      <w:r>
        <w:rPr>
          <w:b/>
          <w:bCs/>
          <w:color w:val="1A2733"/>
          <w:sz w:val="21"/>
          <w:szCs w:val="21"/>
        </w:rPr>
        <w:t xml:space="preserve">8.	Cost &amp; housekeeping</w:t>
      </w:r>
    </w:p>
    <w:p>
      <w:r>
        <w:br w:type="page"/>
      </w:r>
    </w:p>
    <w:p>
      <w:pPr>
        <w:pStyle w:val="Heading1"/>
      </w:pPr>
      <w:r>
        <w:t xml:space="preserve">1. Operating model</w:t>
      </w:r>
    </w:p>
    <w:p>
      <w:r>
        <w:t xml:space="preserve">The deployment has three lifecycles, and keeping them straight is the key to safe operations:</w:t>
      </w:r>
    </w:p>
    <w:tbl>
      <w:tblPr>
        <w:tblW w:type="dxa" w:w="10440"/>
        <w:tblBorders>
          <w:top w:val="single" w:color="C9D6DF" w:sz="2"/>
          <w:left w:val="none"/>
          <w:bottom w:val="single" w:color="C9D6DF" w:sz="2"/>
          <w:right w:val="none"/>
          <w:insideH w:val="single" w:color="C9D6DF" w:sz="2"/>
          <w:insideV w:val="single" w:color="E6EDF1" w:sz="2"/>
        </w:tblBorders>
      </w:tblPr>
      <w:tblGrid>
        <w:gridCol w:w="1900"/>
        <w:gridCol w:w="5540"/>
        <w:gridCol w:w="3000"/>
      </w:tblGrid>
      <w:tr>
        <w:trPr>
          <w:tblHeader/>
        </w:trPr>
        <w:tc>
          <w:tcPr>
            <w:tcW w:type="dxa" w:w="1900"/>
            <w:shd w:fill="0E2A47" w:val="clear"/>
            <w:tcMar>
              <w:top w:type="dxa" w:w="70"/>
              <w:left w:type="dxa" w:w="110"/>
              <w:bottom w:type="dxa" w:w="70"/>
              <w:right w:type="dxa" w:w="110"/>
            </w:tcMar>
          </w:tcPr>
          <w:p>
            <w:pPr>
              <w:spacing w:after="0"/>
            </w:pPr>
            <w:r>
              <w:rPr>
                <w:b/>
                <w:bCs/>
                <w:color w:val="FFFFFF"/>
                <w:sz w:val="19"/>
                <w:szCs w:val="19"/>
              </w:rPr>
              <w:t xml:space="preserve">Lifecycle</w:t>
            </w:r>
          </w:p>
        </w:tc>
        <w:tc>
          <w:tcPr>
            <w:tcW w:type="dxa" w:w="5540"/>
            <w:shd w:fill="0E2A47" w:val="clear"/>
            <w:tcMar>
              <w:top w:type="dxa" w:w="70"/>
              <w:left w:type="dxa" w:w="110"/>
              <w:bottom w:type="dxa" w:w="70"/>
              <w:right w:type="dxa" w:w="110"/>
            </w:tcMar>
          </w:tcPr>
          <w:p>
            <w:pPr>
              <w:spacing w:after="0"/>
            </w:pPr>
            <w:r>
              <w:rPr>
                <w:b/>
                <w:bCs/>
                <w:color w:val="FFFFFF"/>
                <w:sz w:val="19"/>
                <w:szCs w:val="19"/>
              </w:rPr>
              <w:t xml:space="preserve">What it contains</w:t>
            </w:r>
          </w:p>
        </w:tc>
        <w:tc>
          <w:tcPr>
            <w:tcW w:type="dxa" w:w="3000"/>
            <w:shd w:fill="0E2A47" w:val="clear"/>
            <w:tcMar>
              <w:top w:type="dxa" w:w="70"/>
              <w:left w:type="dxa" w:w="110"/>
              <w:bottom w:type="dxa" w:w="70"/>
              <w:right w:type="dxa" w:w="110"/>
            </w:tcMar>
          </w:tcPr>
          <w:p>
            <w:pPr>
              <w:spacing w:after="0"/>
            </w:pPr>
            <w:r>
              <w:rPr>
                <w:b/>
                <w:bCs/>
                <w:color w:val="FFFFFF"/>
                <w:sz w:val="19"/>
                <w:szCs w:val="19"/>
              </w:rPr>
              <w:t xml:space="preserve">Cadence</w:t>
            </w:r>
          </w:p>
        </w:tc>
      </w:tr>
      <w:tr>
        <w:tc>
          <w:tcPr>
            <w:tcW w:type="dxa" w:w="1900"/>
            <w:shd w:fill="FFFFFF" w:val="clear"/>
            <w:tcMar>
              <w:top w:type="dxa" w:w="60"/>
              <w:left w:type="dxa" w:w="110"/>
              <w:bottom w:type="dxa" w:w="60"/>
              <w:right w:type="dxa" w:w="110"/>
            </w:tcMar>
          </w:tcPr>
          <w:p>
            <w:pPr>
              <w:spacing w:after="0" w:line="250"/>
            </w:pPr>
            <w:r>
              <w:rPr>
                <w:b/>
                <w:bCs/>
                <w:sz w:val="19"/>
                <w:szCs w:val="19"/>
              </w:rPr>
              <w:t xml:space="preserve">Identity</w:t>
            </w:r>
          </w:p>
        </w:tc>
        <w:tc>
          <w:tcPr>
            <w:tcW w:type="dxa" w:w="5540"/>
            <w:shd w:fill="FFFFFF" w:val="clear"/>
            <w:tcMar>
              <w:top w:type="dxa" w:w="60"/>
              <w:left w:type="dxa" w:w="110"/>
              <w:bottom w:type="dxa" w:w="60"/>
              <w:right w:type="dxa" w:w="110"/>
            </w:tcMar>
          </w:tcPr>
          <w:p>
            <w:pPr>
              <w:spacing w:after="0" w:line="250"/>
            </w:pPr>
            <w:r>
              <w:rPr>
                <w:sz w:val="19"/>
                <w:szCs w:val="19"/>
              </w:rPr>
              <w:t xml:space="preserve">Cognito pool, app client, users/groups</w:t>
            </w:r>
          </w:p>
        </w:tc>
        <w:tc>
          <w:tcPr>
            <w:tcW w:type="dxa" w:w="3000"/>
            <w:shd w:fill="FFFFFF" w:val="clear"/>
            <w:tcMar>
              <w:top w:type="dxa" w:w="60"/>
              <w:left w:type="dxa" w:w="110"/>
              <w:bottom w:type="dxa" w:w="60"/>
              <w:right w:type="dxa" w:w="110"/>
            </w:tcMar>
          </w:tcPr>
          <w:p>
            <w:pPr>
              <w:spacing w:after="0" w:line="250"/>
            </w:pPr>
            <w:r>
              <w:rPr>
                <w:sz w:val="19"/>
                <w:szCs w:val="19"/>
              </w:rPr>
              <w:t xml:space="preserve">Stable — changed rarely; survives spine redeploys</w:t>
            </w:r>
          </w:p>
        </w:tc>
      </w:tr>
      <w:tr>
        <w:tc>
          <w:tcPr>
            <w:tcW w:type="dxa" w:w="1900"/>
            <w:shd w:fill="F4F8FA" w:val="clear"/>
            <w:tcMar>
              <w:top w:type="dxa" w:w="60"/>
              <w:left w:type="dxa" w:w="110"/>
              <w:bottom w:type="dxa" w:w="60"/>
              <w:right w:type="dxa" w:w="110"/>
            </w:tcMar>
          </w:tcPr>
          <w:p>
            <w:pPr>
              <w:spacing w:after="0" w:line="250"/>
            </w:pPr>
            <w:r>
              <w:rPr>
                <w:b/>
                <w:bCs/>
                <w:sz w:val="19"/>
                <w:szCs w:val="19"/>
              </w:rPr>
              <w:t xml:space="preserve">Governance spine</w:t>
            </w:r>
          </w:p>
        </w:tc>
        <w:tc>
          <w:tcPr>
            <w:tcW w:type="dxa" w:w="5540"/>
            <w:shd w:fill="F4F8FA" w:val="clear"/>
            <w:tcMar>
              <w:top w:type="dxa" w:w="60"/>
              <w:left w:type="dxa" w:w="110"/>
              <w:bottom w:type="dxa" w:w="60"/>
              <w:right w:type="dxa" w:w="110"/>
            </w:tcMar>
          </w:tcPr>
          <w:p>
            <w:pPr>
              <w:spacing w:after="0" w:line="250"/>
            </w:pPr>
            <w:r>
              <w:rPr>
                <w:sz w:val="19"/>
                <w:szCs w:val="19"/>
              </w:rPr>
              <w:t xml:space="preserve">Cedar engine, Gateway, tools, Guardrail, WORM audit, human gate</w:t>
            </w:r>
          </w:p>
        </w:tc>
        <w:tc>
          <w:tcPr>
            <w:tcW w:type="dxa" w:w="3000"/>
            <w:shd w:fill="F4F8FA" w:val="clear"/>
            <w:tcMar>
              <w:top w:type="dxa" w:w="60"/>
              <w:left w:type="dxa" w:w="110"/>
              <w:bottom w:type="dxa" w:w="60"/>
              <w:right w:type="dxa" w:w="110"/>
            </w:tcMar>
          </w:tcPr>
          <w:p>
            <w:pPr>
              <w:spacing w:after="0" w:line="250"/>
            </w:pPr>
            <w:r>
              <w:rPr>
                <w:sz w:val="19"/>
                <w:szCs w:val="19"/>
              </w:rPr>
              <w:t xml:space="preserve">Reproducible — redeploy freely; zero-residual teardown</w:t>
            </w:r>
          </w:p>
        </w:tc>
      </w:tr>
      <w:tr>
        <w:tc>
          <w:tcPr>
            <w:tcW w:type="dxa" w:w="1900"/>
            <w:shd w:fill="FFFFFF" w:val="clear"/>
            <w:tcMar>
              <w:top w:type="dxa" w:w="60"/>
              <w:left w:type="dxa" w:w="110"/>
              <w:bottom w:type="dxa" w:w="60"/>
              <w:right w:type="dxa" w:w="110"/>
            </w:tcMar>
          </w:tcPr>
          <w:p>
            <w:pPr>
              <w:spacing w:after="0" w:line="250"/>
            </w:pPr>
            <w:r>
              <w:rPr>
                <w:b/>
                <w:bCs/>
                <w:sz w:val="19"/>
                <w:szCs w:val="19"/>
              </w:rPr>
              <w:t xml:space="preserve">Runtime agent</w:t>
            </w:r>
          </w:p>
        </w:tc>
        <w:tc>
          <w:tcPr>
            <w:tcW w:type="dxa" w:w="5540"/>
            <w:shd w:fill="FFFFFF" w:val="clear"/>
            <w:tcMar>
              <w:top w:type="dxa" w:w="60"/>
              <w:left w:type="dxa" w:w="110"/>
              <w:bottom w:type="dxa" w:w="60"/>
              <w:right w:type="dxa" w:w="110"/>
            </w:tcMar>
          </w:tcPr>
          <w:p>
            <w:pPr>
              <w:spacing w:after="0" w:line="250"/>
            </w:pPr>
            <w:r>
              <w:rPr>
                <w:sz w:val="19"/>
                <w:szCs w:val="19"/>
              </w:rPr>
              <w:t xml:space="preserve">Strands agent container on AgentCore Runtime</w:t>
            </w:r>
          </w:p>
        </w:tc>
        <w:tc>
          <w:tcPr>
            <w:tcW w:type="dxa" w:w="3000"/>
            <w:shd w:fill="FFFFFF" w:val="clear"/>
            <w:tcMar>
              <w:top w:type="dxa" w:w="60"/>
              <w:left w:type="dxa" w:w="110"/>
              <w:bottom w:type="dxa" w:w="60"/>
              <w:right w:type="dxa" w:w="110"/>
            </w:tcMar>
          </w:tcPr>
          <w:p>
            <w:pPr>
              <w:spacing w:after="0" w:line="250"/>
            </w:pPr>
            <w:r>
              <w:rPr>
                <w:sz w:val="19"/>
                <w:szCs w:val="19"/>
              </w:rPr>
              <w:t xml:space="preserve">Decoupled — survives spine redeploys untouched</w:t>
            </w:r>
          </w:p>
        </w:tc>
      </w:tr>
    </w:tbl>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Why this matters</w:t>
            </w:r>
          </w:p>
          <w:p>
            <w:pPr>
              <w:spacing w:after="20" w:line="258"/>
            </w:pPr>
            <w:r>
              <w:t xml:space="preserve">Because identity is stable and the Runtime discovers the gateway from SSM, you can rebuild the entire spine as often as you like without ever redeploying the Runtime or invalidating user tokens.</w:t>
            </w:r>
          </w:p>
        </w:tc>
      </w:tr>
    </w:tbl>
    <w:p>
      <w:pPr>
        <w:pStyle w:val="Heading1"/>
      </w:pPr>
      <w:r>
        <w:t xml:space="preserve">2. Routine operations</w:t>
      </w:r>
    </w:p>
    <w:p>
      <w:pPr>
        <w:pStyle w:val="Heading2"/>
      </w:pPr>
      <w:r>
        <w:t xml:space="preserve">2.1 Refresh the spine</w:t>
      </w:r>
    </w:p>
    <w:p>
      <w:r>
        <w:t xml:space="preserve">The safest way to apply most spine changes is a clean rebuild. Destroy leaves identity intact; deploy reuses it.</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bash scripts/destroy_spine.sh</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bash scripts/deploy_spine.sh</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bash scripts/demo.sh          # smoke test: expect 17/17</w:t>
      </w:r>
    </w:p>
    <w:p>
      <w:r>
        <w:rPr>
          <w:b/>
          <w:bCs/>
        </w:rPr>
        <w:t xml:space="preserve">Note: </w:t>
      </w:r>
      <w:r>
        <w:t xml:space="preserve">run cycles serialized — never two concurrent spine deploys.</w:t>
      </w:r>
    </w:p>
    <w:p>
      <w:pPr>
        <w:pStyle w:val="Heading2"/>
      </w:pPr>
      <w:r>
        <w:t xml:space="preserve">2.2 Update a tool (Lambda)</w:t>
      </w:r>
    </w:p>
    <w:p>
      <w:r>
        <w:t xml:space="preserve">Edit the source in </w:t>
      </w:r>
      <w:r>
        <w:rPr>
          <w:rFonts w:ascii="Consolas" w:cs="Consolas" w:eastAsia="Consolas" w:hAnsi="Consolas"/>
          <w:color w:val="1B3A2B"/>
          <w:sz w:val="18"/>
          <w:szCs w:val="18"/>
        </w:rPr>
        <w:t xml:space="preserve">tools/</w:t>
      </w:r>
      <w:r>
        <w:t xml:space="preserve"> (for example </w:t>
      </w:r>
      <w:r>
        <w:rPr>
          <w:rFonts w:ascii="Consolas" w:cs="Consolas" w:eastAsia="Consolas" w:hAnsi="Consolas"/>
          <w:color w:val="1B3A2B"/>
          <w:sz w:val="18"/>
          <w:szCs w:val="18"/>
        </w:rPr>
        <w:t xml:space="preserve">mask_phi.py</w:t>
      </w:r>
      <w:r>
        <w:t xml:space="preserve"> or </w:t>
      </w:r>
      <w:r>
        <w:rPr>
          <w:rFonts w:ascii="Consolas" w:cs="Consolas" w:eastAsia="Consolas" w:hAnsi="Consolas"/>
          <w:color w:val="1B3A2B"/>
          <w:sz w:val="18"/>
          <w:szCs w:val="18"/>
        </w:rPr>
        <w:t xml:space="preserve">core_tools.py</w:t>
      </w:r>
      <w:r>
        <w:t xml:space="preserve">), then redeploy the spine, which repackages and updates every tool Lambda. For a fast single-tool iteration you can update just one function's code without a full rebuild:</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 fast path — update one Lambda's code in place: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cd 'pharmacovigilance agent/tools'</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cp core_tools.py lambda_function.py</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python -c "import zipfile;z=zipfile.ZipFile('f.zip','w');z.write('lambda_function.py');z.close()"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aws lambda update-function-code --function-name pv-core-tools \</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    --zip-file fileb://f.zip --region us-east-1</w:t>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Environment variables survive a code update</w:t>
            </w:r>
          </w:p>
          <w:p>
            <w:pPr>
              <w:spacing w:after="20" w:line="258"/>
            </w:pPr>
            <w:r>
              <w:t xml:space="preserve">update-function-code changes only the code, so env settings such as DRAFT_MODEL_ID and GUARDRAIL_ID persist. A full deploy re-applies them from scratch.</w:t>
            </w:r>
          </w:p>
        </w:tc>
      </w:tr>
    </w:tbl>
    <w:p>
      <w:pPr>
        <w:pStyle w:val="Heading2"/>
      </w:pPr>
      <w:r>
        <w:t xml:space="preserve">2.3 Change Cedar policies</w:t>
      </w:r>
    </w:p>
    <w:p>
      <w:r>
        <w:t xml:space="preserve">Policies are authored in </w:t>
      </w:r>
      <w:r>
        <w:rPr>
          <w:rFonts w:ascii="Consolas" w:cs="Consolas" w:eastAsia="Consolas" w:hAnsi="Consolas"/>
          <w:color w:val="1B3A2B"/>
          <w:sz w:val="18"/>
          <w:szCs w:val="18"/>
        </w:rPr>
        <w:t xml:space="preserve">deploy_spine.sh</w:t>
      </w:r>
      <w:r>
        <w:t xml:space="preserve"> (section 7) and mirrored in </w:t>
      </w:r>
      <w:r>
        <w:rPr>
          <w:rFonts w:ascii="Consolas" w:cs="Consolas" w:eastAsia="Consolas" w:hAnsi="Consolas"/>
          <w:color w:val="1B3A2B"/>
          <w:sz w:val="18"/>
          <w:szCs w:val="18"/>
        </w:rPr>
        <w:t xml:space="preserve">policies/*.cedar</w:t>
      </w:r>
      <w:r>
        <w:t xml:space="preserve">. To add or change a permit/forbid, edit the statement and redeploy. Two rules to remember:</w:t>
      </w:r>
    </w:p>
    <w:p>
      <w:pPr>
        <w:pStyle w:val="ListParagraph"/>
        <w:numPr>
          <w:ilvl w:val="0"/>
          <w:numId w:val="1"/>
        </w:numPr>
        <w:spacing w:after="70" w:line="260"/>
      </w:pPr>
      <w:r>
        <w:rPr>
          <w:b/>
          <w:bCs/>
        </w:rPr>
        <w:t xml:space="preserve">Policies validate against the tool schemas. </w:t>
      </w:r>
      <w:r>
        <w:t xml:space="preserve">A policy that references a tool input must match the Gateway's tool definition — deploy the tools before the policies (the script already orders this).</w:t>
      </w:r>
    </w:p>
    <w:p>
      <w:pPr>
        <w:pStyle w:val="ListParagraph"/>
        <w:numPr>
          <w:ilvl w:val="0"/>
          <w:numId w:val="1"/>
        </w:numPr>
        <w:spacing w:after="70" w:line="260"/>
      </w:pPr>
      <w:r>
        <w:rPr>
          <w:b/>
          <w:bCs/>
        </w:rPr>
        <w:t xml:space="preserve">Use the LOG_ONLY → ENFORCE path. </w:t>
      </w:r>
      <w:r>
        <w:t xml:space="preserve">The spine attaches the engine in LOG_ONLY, validates, then flips to ENFORCE. For risky policy changes, test in LOG_ONLY first.</w:t>
      </w:r>
    </w:p>
    <w:p>
      <w:r>
        <w:rPr>
          <w:b/>
          <w:bCs/>
        </w:rPr>
        <w:t xml:space="preserve">Cedar reminders: </w:t>
      </w:r>
      <w:r>
        <w:rPr>
          <w:rFonts w:ascii="Consolas" w:cs="Consolas" w:eastAsia="Consolas" w:hAnsi="Consolas"/>
          <w:color w:val="1B3A2B"/>
          <w:sz w:val="18"/>
          <w:szCs w:val="18"/>
        </w:rPr>
        <w:t xml:space="preserve">cognito:groups</w:t>
      </w:r>
      <w:r>
        <w:t xml:space="preserve"> is a string tag — match with </w:t>
      </w:r>
      <w:r>
        <w:rPr>
          <w:rFonts w:ascii="Consolas" w:cs="Consolas" w:eastAsia="Consolas" w:hAnsi="Consolas"/>
          <w:color w:val="1B3A2B"/>
          <w:sz w:val="18"/>
          <w:szCs w:val="18"/>
        </w:rPr>
        <w:t xml:space="preserve">like "*pv_reviewer*"</w:t>
      </w:r>
      <w:r>
        <w:t xml:space="preserve">; scope resources to </w:t>
      </w:r>
      <w:r>
        <w:rPr>
          <w:rFonts w:ascii="Consolas" w:cs="Consolas" w:eastAsia="Consolas" w:hAnsi="Consolas"/>
          <w:color w:val="1B3A2B"/>
          <w:sz w:val="18"/>
          <w:szCs w:val="18"/>
        </w:rPr>
        <w:t xml:space="preserve">AgentCore::Gateway</w:t>
      </w:r>
      <w:r>
        <w:t xml:space="preserve">; a blanket forbid needs </w:t>
      </w:r>
      <w:r>
        <w:rPr>
          <w:rFonts w:ascii="Consolas" w:cs="Consolas" w:eastAsia="Consolas" w:hAnsi="Consolas"/>
          <w:color w:val="1B3A2B"/>
          <w:sz w:val="18"/>
          <w:szCs w:val="18"/>
        </w:rPr>
        <w:t xml:space="preserve">--validation-mode IGNORE_ALL_FINDINGS</w:t>
      </w:r>
      <w:r>
        <w:t xml:space="preserve">; </w:t>
      </w:r>
      <w:r>
        <w:rPr>
          <w:rFonts w:ascii="Consolas" w:cs="Consolas" w:eastAsia="Consolas" w:hAnsi="Consolas"/>
          <w:color w:val="1B3A2B"/>
          <w:sz w:val="18"/>
          <w:szCs w:val="18"/>
        </w:rPr>
        <w:t xml:space="preserve">create-policy</w:t>
      </w:r>
      <w:r>
        <w:t xml:space="preserve"> is asynchronous — poll </w:t>
      </w:r>
      <w:r>
        <w:rPr>
          <w:rFonts w:ascii="Consolas" w:cs="Consolas" w:eastAsia="Consolas" w:hAnsi="Consolas"/>
          <w:color w:val="1B3A2B"/>
          <w:sz w:val="18"/>
          <w:szCs w:val="18"/>
        </w:rPr>
        <w:t xml:space="preserve">get-policy</w:t>
      </w:r>
      <w:r>
        <w:t xml:space="preserve">.</w:t>
      </w:r>
    </w:p>
    <w:p>
      <w:pPr>
        <w:pStyle w:val="Heading2"/>
      </w:pPr>
      <w:r>
        <w:t xml:space="preserve">2.4 Adjust the Bedrock Guardrail</w:t>
      </w:r>
    </w:p>
    <w:p>
      <w:r>
        <w:t xml:space="preserve">The output guardrail </w:t>
      </w:r>
      <w:r>
        <w:rPr>
          <w:rFonts w:ascii="Consolas" w:cs="Consolas" w:eastAsia="Consolas" w:hAnsi="Consolas"/>
          <w:color w:val="1B3A2B"/>
          <w:sz w:val="18"/>
          <w:szCs w:val="18"/>
        </w:rPr>
        <w:t xml:space="preserve">pv-icsr-guardrail</w:t>
      </w:r>
      <w:r>
        <w:t xml:space="preserve"> (PII anonymize + prompt-attack) is created on first deploy and reused by name thereafter. To change its policy, either update it in place or delete and let the next deploy recreate it:</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 change PII entities / filters, then:</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aws bedrock update-guardrail --guardrail-identifier &lt;id&gt; ... --region us-east-1</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 or force recreation on next deploy:</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aws bedrock delete-guardrail --guardrail-identifier &lt;id&gt; --region us-east-1</w:t>
      </w:r>
    </w:p>
    <w:p>
      <w:pPr>
        <w:pStyle w:val="Heading2"/>
      </w:pPr>
      <w:r>
        <w:t xml:space="preserve">2.5 Swap the drafting model</w:t>
      </w:r>
    </w:p>
    <w:p>
      <w:r>
        <w:rPr>
          <w:rFonts w:ascii="Consolas" w:cs="Consolas" w:eastAsia="Consolas" w:hAnsi="Consolas"/>
          <w:color w:val="1B3A2B"/>
          <w:sz w:val="18"/>
          <w:szCs w:val="18"/>
        </w:rPr>
        <w:t xml:space="preserve">draft_narrative</w:t>
      </w:r>
      <w:r>
        <w:t xml:space="preserve"> uses the model in </w:t>
      </w:r>
      <w:r>
        <w:rPr>
          <w:rFonts w:ascii="Consolas" w:cs="Consolas" w:eastAsia="Consolas" w:hAnsi="Consolas"/>
          <w:color w:val="1B3A2B"/>
          <w:sz w:val="18"/>
          <w:szCs w:val="18"/>
        </w:rPr>
        <w:t xml:space="preserve">DRAFT_MODEL_ID</w:t>
      </w:r>
      <w:r>
        <w:t xml:space="preserve"> (default </w:t>
      </w:r>
      <w:r>
        <w:rPr>
          <w:rFonts w:ascii="Consolas" w:cs="Consolas" w:eastAsia="Consolas" w:hAnsi="Consolas"/>
          <w:color w:val="1B3A2B"/>
          <w:sz w:val="18"/>
          <w:szCs w:val="18"/>
        </w:rPr>
        <w:t xml:space="preserve">us.anthropic.claude-sonnet-4-5-20250929-v1:0</w:t>
      </w:r>
      <w:r>
        <w:t xml:space="preserve">). Point it at another enabled model or inference profile:</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aws lambda update-function-configuration --function-name pv-core-tools \</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    --environment 'Variables={GUARDRAIL_ID=&lt;id&gt;,GUARDRAIL_VERSION=DRAFT,\</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        DRAFT_MODEL_ID=us.anthropic.claude-haiku-4-5-20251001-v1:0}' --region us-east-1</w:t>
      </w:r>
    </w:p>
    <w:p>
      <w:r>
        <w:rPr>
          <w:b/>
          <w:bCs/>
        </w:rPr>
        <w:t xml:space="preserve">Gotcha: </w:t>
      </w:r>
      <w:r>
        <w:t xml:space="preserve">some newer models reject </w:t>
      </w:r>
      <w:r>
        <w:rPr>
          <w:rFonts w:ascii="Consolas" w:cs="Consolas" w:eastAsia="Consolas" w:hAnsi="Consolas"/>
          <w:color w:val="1B3A2B"/>
          <w:sz w:val="18"/>
          <w:szCs w:val="18"/>
        </w:rPr>
        <w:t xml:space="preserve">temperature</w:t>
      </w:r>
      <w:r>
        <w:t xml:space="preserve"> and </w:t>
      </w:r>
      <w:r>
        <w:rPr>
          <w:rFonts w:ascii="Consolas" w:cs="Consolas" w:eastAsia="Consolas" w:hAnsi="Consolas"/>
          <w:color w:val="1B3A2B"/>
          <w:sz w:val="18"/>
          <w:szCs w:val="18"/>
        </w:rPr>
        <w:t xml:space="preserve">topP</w:t>
      </w:r>
      <w:r>
        <w:t xml:space="preserve"> together via Converse — the tool sends temperature only. Keep that in mind if you customize inference parameters.</w:t>
      </w:r>
    </w:p>
    <w:p>
      <w:pPr>
        <w:pStyle w:val="Heading2"/>
      </w:pPr>
      <w:r>
        <w:t xml:space="preserve">2.6 Manage identity</w:t>
      </w:r>
    </w:p>
    <w:p>
      <w:pPr>
        <w:pStyle w:val="ListParagraph"/>
        <w:numPr>
          <w:ilvl w:val="0"/>
          <w:numId w:val="1"/>
        </w:numPr>
        <w:spacing w:after="70" w:line="260"/>
      </w:pPr>
      <w:r>
        <w:rPr>
          <w:b/>
          <w:bCs/>
        </w:rPr>
        <w:t xml:space="preserve">Add or reset users: </w:t>
      </w:r>
      <w:r>
        <w:t xml:space="preserve">re-run </w:t>
      </w:r>
      <w:r>
        <w:rPr>
          <w:rFonts w:ascii="Consolas" w:cs="Consolas" w:eastAsia="Consolas" w:hAnsi="Consolas"/>
          <w:color w:val="1B3A2B"/>
          <w:sz w:val="18"/>
          <w:szCs w:val="18"/>
        </w:rPr>
        <w:t xml:space="preserve">bash scripts/deploy_identity.sh</w:t>
      </w:r>
      <w:r>
        <w:t xml:space="preserve"> (idempotent), or use </w:t>
      </w:r>
      <w:r>
        <w:rPr>
          <w:rFonts w:ascii="Consolas" w:cs="Consolas" w:eastAsia="Consolas" w:hAnsi="Consolas"/>
          <w:color w:val="1B3A2B"/>
          <w:sz w:val="18"/>
          <w:szCs w:val="18"/>
        </w:rPr>
        <w:t xml:space="preserve">aws cognito-idp admin-set-user-password</w:t>
      </w:r>
      <w:r>
        <w:t xml:space="preserve"> to rotate a password.</w:t>
      </w:r>
    </w:p>
    <w:p>
      <w:pPr>
        <w:pStyle w:val="ListParagraph"/>
        <w:numPr>
          <w:ilvl w:val="0"/>
          <w:numId w:val="1"/>
        </w:numPr>
        <w:spacing w:after="70" w:line="260"/>
      </w:pPr>
      <w:r>
        <w:rPr>
          <w:b/>
          <w:bCs/>
        </w:rPr>
        <w:t xml:space="preserve">Rotate the default passwords </w:t>
      </w:r>
      <w:r>
        <w:t xml:space="preserve">before any shared use of the environment.</w:t>
      </w:r>
    </w:p>
    <w:p>
      <w:pPr>
        <w:pStyle w:val="ListParagraph"/>
        <w:numPr>
          <w:ilvl w:val="0"/>
          <w:numId w:val="1"/>
        </w:numPr>
        <w:spacing w:after="70" w:line="260"/>
      </w:pPr>
      <w:r>
        <w:rPr>
          <w:b/>
          <w:bCs/>
        </w:rPr>
        <w:t xml:space="preserve">Production: </w:t>
      </w:r>
      <w:r>
        <w:t xml:space="preserve">federate the customer's real identity provider and map workforce roles to the </w:t>
      </w:r>
      <w:r>
        <w:rPr>
          <w:rFonts w:ascii="Consolas" w:cs="Consolas" w:eastAsia="Consolas" w:hAnsi="Consolas"/>
          <w:color w:val="1B3A2B"/>
          <w:sz w:val="18"/>
          <w:szCs w:val="18"/>
        </w:rPr>
        <w:t xml:space="preserve">pv_reviewer</w:t>
      </w:r>
      <w:r>
        <w:t xml:space="preserve"> group / claim, rather than using the built-in test users.</w:t>
      </w:r>
    </w:p>
    <w:p>
      <w:pPr>
        <w:pStyle w:val="Heading1"/>
      </w:pPr>
      <w:r>
        <w:t xml:space="preserve">3. The Runtime agent lifecycle</w:t>
      </w:r>
    </w:p>
    <w:p>
      <w:pPr>
        <w:pStyle w:val="ListParagraph"/>
        <w:numPr>
          <w:ilvl w:val="0"/>
          <w:numId w:val="1"/>
        </w:numPr>
        <w:spacing w:after="70" w:line="260"/>
      </w:pPr>
      <w:r>
        <w:rPr>
          <w:b/>
          <w:bCs/>
        </w:rPr>
        <w:t xml:space="preserve">After an agent code change: </w:t>
      </w:r>
      <w:r>
        <w:t xml:space="preserve">from </w:t>
      </w:r>
      <w:r>
        <w:rPr>
          <w:rFonts w:ascii="Consolas" w:cs="Consolas" w:eastAsia="Consolas" w:hAnsi="Consolas"/>
          <w:color w:val="1B3A2B"/>
          <w:sz w:val="18"/>
          <w:szCs w:val="18"/>
        </w:rPr>
        <w:t xml:space="preserve">pv-runtime/</w:t>
      </w:r>
      <w:r>
        <w:t xml:space="preserve"> run </w:t>
      </w:r>
      <w:r>
        <w:rPr>
          <w:rFonts w:ascii="Consolas" w:cs="Consolas" w:eastAsia="Consolas" w:hAnsi="Consolas"/>
          <w:color w:val="1B3A2B"/>
          <w:sz w:val="18"/>
          <w:szCs w:val="18"/>
        </w:rPr>
        <w:t xml:space="preserve">bash _launch.sh</w:t>
      </w:r>
      <w:r>
        <w:t xml:space="preserve"> (uses </w:t>
      </w:r>
      <w:r>
        <w:rPr>
          <w:rFonts w:ascii="Consolas" w:cs="Consolas" w:eastAsia="Consolas" w:hAnsi="Consolas"/>
          <w:color w:val="1B3A2B"/>
          <w:sz w:val="18"/>
          <w:szCs w:val="18"/>
        </w:rPr>
        <w:t xml:space="preserve">--auto-update-on-conflict</w:t>
      </w:r>
      <w:r>
        <w:t xml:space="preserve">) — the container rebuilds in CodeBuild and the same Runtime ARN is updated.</w:t>
      </w:r>
    </w:p>
    <w:p>
      <w:pPr>
        <w:pStyle w:val="ListParagraph"/>
        <w:numPr>
          <w:ilvl w:val="0"/>
          <w:numId w:val="1"/>
        </w:numPr>
        <w:spacing w:after="70" w:line="260"/>
      </w:pPr>
      <w:r>
        <w:rPr>
          <w:b/>
          <w:bCs/>
        </w:rPr>
        <w:t xml:space="preserve">After a spine redeploy: </w:t>
      </w:r>
      <w:r>
        <w:t xml:space="preserve">do nothing. The gateway URL rotates, but the agent reads it from SSM </w:t>
      </w:r>
      <w:r>
        <w:rPr>
          <w:rFonts w:ascii="Consolas" w:cs="Consolas" w:eastAsia="Consolas" w:hAnsi="Consolas"/>
          <w:color w:val="1B3A2B"/>
          <w:sz w:val="18"/>
          <w:szCs w:val="18"/>
        </w:rPr>
        <w:t xml:space="preserve">/pv-icsr/gateway-url</w:t>
      </w:r>
      <w:r>
        <w:t xml:space="preserve"> at invoke time, and identity is stable — the Runtime keeps working.</w:t>
      </w:r>
    </w:p>
    <w:p>
      <w:pPr>
        <w:pStyle w:val="ListParagraph"/>
        <w:numPr>
          <w:ilvl w:val="0"/>
          <w:numId w:val="1"/>
        </w:numPr>
        <w:spacing w:after="70" w:line="260"/>
      </w:pPr>
      <w:r>
        <w:rPr>
          <w:b/>
          <w:bCs/>
        </w:rPr>
        <w:t xml:space="preserve">Only if identity changes </w:t>
      </w:r>
      <w:r>
        <w:t xml:space="preserve">(you rebuild the Cognito pool) re-point the Runtime: </w:t>
      </w:r>
      <w:r>
        <w:rPr>
          <w:rFonts w:ascii="Consolas" w:cs="Consolas" w:eastAsia="Consolas" w:hAnsi="Consolas"/>
          <w:color w:val="1B3A2B"/>
          <w:sz w:val="18"/>
          <w:szCs w:val="18"/>
        </w:rPr>
        <w:t xml:space="preserve">bash _repoint.sh</w:t>
      </w:r>
      <w:r>
        <w:t xml:space="preserve"> then </w:t>
      </w:r>
      <w:r>
        <w:rPr>
          <w:rFonts w:ascii="Consolas" w:cs="Consolas" w:eastAsia="Consolas" w:hAnsi="Consolas"/>
          <w:color w:val="1B3A2B"/>
          <w:sz w:val="18"/>
          <w:szCs w:val="18"/>
        </w:rPr>
        <w:t xml:space="preserve">bash _verify_rt.sh</w:t>
      </w:r>
      <w:r>
        <w:t xml:space="preserve">.</w:t>
      </w:r>
    </w:p>
    <w:p>
      <w:pPr>
        <w:pStyle w:val="ListParagraph"/>
        <w:numPr>
          <w:ilvl w:val="0"/>
          <w:numId w:val="1"/>
        </w:numPr>
        <w:spacing w:after="70" w:line="260"/>
      </w:pPr>
      <w:r>
        <w:rPr>
          <w:b/>
          <w:bCs/>
        </w:rPr>
        <w:t xml:space="preserve">Verify anytime: </w:t>
      </w:r>
      <w:r>
        <w:rPr>
          <w:rFonts w:ascii="Consolas" w:cs="Consolas" w:eastAsia="Consolas" w:hAnsi="Consolas"/>
          <w:color w:val="1B3A2B"/>
          <w:sz w:val="18"/>
          <w:szCs w:val="18"/>
        </w:rPr>
        <w:t xml:space="preserve">bash _invoke.sh reviewer</w:t>
      </w:r>
      <w:r>
        <w:t xml:space="preserve"> and </w:t>
      </w:r>
      <w:r>
        <w:rPr>
          <w:rFonts w:ascii="Consolas" w:cs="Consolas" w:eastAsia="Consolas" w:hAnsi="Consolas"/>
          <w:color w:val="1B3A2B"/>
          <w:sz w:val="18"/>
          <w:szCs w:val="18"/>
        </w:rPr>
        <w:t xml:space="preserve">bash _invoke.sh outsider $PV_OUTSIDER_PW</w:t>
      </w:r>
      <w:r>
        <w:t xml:space="preserve">.</w:t>
      </w:r>
    </w:p>
    <w:p>
      <w:pPr>
        <w:pStyle w:val="Heading1"/>
      </w:pPr>
      <w:r>
        <w:t xml:space="preserve">4. Monitoring &amp; observability</w:t>
      </w:r>
    </w:p>
    <w:p>
      <w:r>
        <w:t xml:space="preserve">Observability is enabled on the Runtime (OpenTelemetry) and every governed step is logged with the acting identity.</w:t>
      </w:r>
    </w:p>
    <w:p>
      <w:pPr>
        <w:pStyle w:val="ListParagraph"/>
        <w:numPr>
          <w:ilvl w:val="0"/>
          <w:numId w:val="1"/>
        </w:numPr>
        <w:spacing w:after="70" w:line="260"/>
      </w:pPr>
      <w:r>
        <w:rPr>
          <w:b/>
          <w:bCs/>
        </w:rPr>
        <w:t xml:space="preserve">Runtime logs: </w:t>
      </w:r>
      <w:r>
        <w:rPr>
          <w:rFonts w:ascii="Consolas" w:cs="Consolas" w:eastAsia="Consolas" w:hAnsi="Consolas"/>
          <w:color w:val="1B3A2B"/>
          <w:sz w:val="18"/>
          <w:szCs w:val="18"/>
        </w:rPr>
        <w:t xml:space="preserve">aws logs tail /aws/bedrock-agentcore/runtimes/pv_runtime_agent-&lt;id&gt;-DEFAULT --since 1h</w:t>
      </w:r>
      <w:r>
        <w:t xml:space="preserve"> — per-step, identity-tagged, OTel-correlated (trace/span IDs).</w:t>
      </w:r>
    </w:p>
    <w:p>
      <w:pPr>
        <w:pStyle w:val="ListParagraph"/>
        <w:numPr>
          <w:ilvl w:val="0"/>
          <w:numId w:val="1"/>
        </w:numPr>
        <w:spacing w:after="70" w:line="260"/>
      </w:pPr>
      <w:r>
        <w:rPr>
          <w:b/>
          <w:bCs/>
        </w:rPr>
        <w:t xml:space="preserve">GenAI dashboard: </w:t>
      </w:r>
      <w:r>
        <w:t xml:space="preserve">the CloudWatch GenAI Observability console surfaces agent/tool spans (requires CloudWatch Transaction Search enabled in the account).</w:t>
      </w:r>
    </w:p>
    <w:p>
      <w:pPr>
        <w:pStyle w:val="ListParagraph"/>
        <w:numPr>
          <w:ilvl w:val="0"/>
          <w:numId w:val="1"/>
        </w:numPr>
        <w:spacing w:after="70" w:line="260"/>
      </w:pPr>
      <w:r>
        <w:rPr>
          <w:b/>
          <w:bCs/>
        </w:rPr>
        <w:t xml:space="preserve">Spine smoke test: </w:t>
      </w:r>
      <w:r>
        <w:rPr>
          <w:rFonts w:ascii="Consolas" w:cs="Consolas" w:eastAsia="Consolas" w:hAnsi="Consolas"/>
          <w:color w:val="1B3A2B"/>
          <w:sz w:val="18"/>
          <w:szCs w:val="18"/>
        </w:rPr>
        <w:t xml:space="preserve">bash scripts/demo.sh</w:t>
      </w:r>
      <w:r>
        <w:t xml:space="preserve"> is the fastest health check — 17/17 means the whole governed path is intact.</w:t>
      </w:r>
    </w:p>
    <w:p>
      <w:pPr>
        <w:pStyle w:val="ListParagraph"/>
        <w:numPr>
          <w:ilvl w:val="0"/>
          <w:numId w:val="1"/>
        </w:numPr>
        <w:spacing w:after="70" w:line="260"/>
      </w:pPr>
      <w:r>
        <w:rPr>
          <w:b/>
          <w:bCs/>
        </w:rPr>
        <w:t xml:space="preserve">Watch for: </w:t>
      </w:r>
      <w:r>
        <w:t xml:space="preserve">repeated </w:t>
      </w:r>
      <w:r>
        <w:rPr>
          <w:rFonts w:ascii="Consolas" w:cs="Consolas" w:eastAsia="Consolas" w:hAnsi="Consolas"/>
          <w:color w:val="1B3A2B"/>
          <w:sz w:val="18"/>
          <w:szCs w:val="18"/>
        </w:rPr>
        <w:t xml:space="preserve">ACCESS DENIED</w:t>
      </w:r>
      <w:r>
        <w:t xml:space="preserve"> (identity/authorization drift), </w:t>
      </w:r>
      <w:r>
        <w:rPr>
          <w:rFonts w:ascii="Consolas" w:cs="Consolas" w:eastAsia="Consolas" w:hAnsi="Consolas"/>
          <w:color w:val="1B3A2B"/>
          <w:sz w:val="18"/>
          <w:szCs w:val="18"/>
        </w:rPr>
        <w:t xml:space="preserve">draft failed</w:t>
      </w:r>
      <w:r>
        <w:t xml:space="preserve"> (model access or inference-parameter issues), and guardrail blocks on drafting.</w:t>
      </w:r>
    </w:p>
    <w:p>
      <w:pPr>
        <w:pStyle w:val="Heading1"/>
      </w:pPr>
      <w:r>
        <w:t xml:space="preserve">5. Audit-evidence management</w:t>
      </w:r>
    </w:p>
    <w:p>
      <w:r>
        <w:t xml:space="preserve">The audit lives in two places: the append-only DynamoDB ledger </w:t>
      </w:r>
      <w:r>
        <w:rPr>
          <w:rFonts w:ascii="Consolas" w:cs="Consolas" w:eastAsia="Consolas" w:hAnsi="Consolas"/>
          <w:color w:val="1B3A2B"/>
          <w:sz w:val="18"/>
          <w:szCs w:val="18"/>
        </w:rPr>
        <w:t xml:space="preserve">pv-audit</w:t>
      </w:r>
      <w:r>
        <w:t xml:space="preserve"> (point-in-time recovery enabled) and the S3 Object Lock bucket </w:t>
      </w:r>
      <w:r>
        <w:rPr>
          <w:rFonts w:ascii="Consolas" w:cs="Consolas" w:eastAsia="Consolas" w:hAnsi="Consolas"/>
          <w:color w:val="1B3A2B"/>
          <w:sz w:val="18"/>
          <w:szCs w:val="18"/>
        </w:rPr>
        <w:t xml:space="preserve">pv-audit-worm-&lt;acct&gt;-&lt;region&gt;</w:t>
      </w:r>
      <w:r>
        <w:t xml:space="preserve">.</w:t>
      </w:r>
    </w:p>
    <w:p>
      <w:pPr>
        <w:pStyle w:val="ListParagraph"/>
        <w:numPr>
          <w:ilvl w:val="0"/>
          <w:numId w:val="1"/>
        </w:numPr>
        <w:spacing w:after="70" w:line="260"/>
      </w:pPr>
      <w:r>
        <w:rPr>
          <w:b/>
          <w:bCs/>
        </w:rPr>
        <w:t xml:space="preserve">Retention: </w:t>
      </w:r>
      <w:r>
        <w:t xml:space="preserve">the reference bucket uses Object Lock in GOVERNANCE mode with a 1-day default retention for easy evaluation. For production, raise the retention period (and consider COMPLIANCE mode) to your record-retention policy.</w:t>
      </w:r>
    </w:p>
    <w:p>
      <w:pPr>
        <w:pStyle w:val="ListParagraph"/>
        <w:numPr>
          <w:ilvl w:val="0"/>
          <w:numId w:val="1"/>
        </w:numPr>
        <w:spacing w:after="70" w:line="260"/>
      </w:pPr>
      <w:r>
        <w:rPr>
          <w:b/>
          <w:bCs/>
        </w:rPr>
        <w:t xml:space="preserve">Export before teardown: </w:t>
      </w:r>
      <w:r>
        <w:rPr>
          <w:rFonts w:ascii="Consolas" w:cs="Consolas" w:eastAsia="Consolas" w:hAnsi="Consolas"/>
          <w:color w:val="1B3A2B"/>
          <w:sz w:val="18"/>
          <w:szCs w:val="18"/>
        </w:rPr>
        <w:t xml:space="preserve">destroy_spine.sh</w:t>
      </w:r>
      <w:r>
        <w:t xml:space="preserve"> deletes the ledger and bucket. Export first — scan the DynamoDB table and sync the bucket to a retained location:</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aws dynamodb scan --table-name pv-audit --region us-east-1 &gt; audit-ledger.json</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aws s3 sync s3://pv-audit-worm-&lt;acct&gt;-us-east-1 ./audit-evidence/</w:t>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Tamper-evidence is by construction</w:t>
            </w:r>
          </w:p>
          <w:p>
            <w:pPr>
              <w:spacing w:after="20" w:line="258"/>
            </w:pPr>
            <w:r>
              <w:t xml:space="preserve">The tool role can write audit records but is denied delete, update, and Object-Lock bypass. Only an administrator with an explicit governance-bypass can remove locked objects — which is exactly what the teardown script does.</w:t>
            </w:r>
          </w:p>
        </w:tc>
      </w:tr>
    </w:tbl>
    <w:p>
      <w:pPr>
        <w:pStyle w:val="Heading1"/>
      </w:pPr>
      <w:r>
        <w:t xml:space="preserve">6. Teardown &amp; rebuild</w:t>
      </w:r>
    </w:p>
    <w:p>
      <w:pPr>
        <w:pStyle w:val="ListParagraph"/>
        <w:numPr>
          <w:ilvl w:val="0"/>
          <w:numId w:val="1"/>
        </w:numPr>
        <w:spacing w:after="70" w:line="260"/>
      </w:pPr>
      <w:r>
        <w:rPr>
          <w:b/>
          <w:bCs/>
        </w:rPr>
        <w:t xml:space="preserve">Spine only (keep identity + Runtime): </w:t>
      </w:r>
      <w:r>
        <w:rPr>
          <w:rFonts w:ascii="Consolas" w:cs="Consolas" w:eastAsia="Consolas" w:hAnsi="Consolas"/>
          <w:color w:val="1B3A2B"/>
          <w:sz w:val="18"/>
          <w:szCs w:val="18"/>
        </w:rPr>
        <w:t xml:space="preserve">bash scripts/destroy_spine.sh</w:t>
      </w:r>
      <w:r>
        <w:t xml:space="preserve"> — zero residual, including the Object-Lock bucket.</w:t>
      </w:r>
    </w:p>
    <w:p>
      <w:pPr>
        <w:pStyle w:val="ListParagraph"/>
        <w:numPr>
          <w:ilvl w:val="0"/>
          <w:numId w:val="1"/>
        </w:numPr>
        <w:spacing w:after="70" w:line="260"/>
      </w:pPr>
      <w:r>
        <w:rPr>
          <w:b/>
          <w:bCs/>
        </w:rPr>
        <w:t xml:space="preserve">Clean refresh: </w:t>
      </w:r>
      <w:r>
        <w:t xml:space="preserve">destroy then deploy (or the </w:t>
      </w:r>
      <w:r>
        <w:rPr>
          <w:rFonts w:ascii="Consolas" w:cs="Consolas" w:eastAsia="Consolas" w:hAnsi="Consolas"/>
          <w:color w:val="1B3A2B"/>
          <w:sz w:val="18"/>
          <w:szCs w:val="18"/>
        </w:rPr>
        <w:t xml:space="preserve">_cycle</w:t>
      </w:r>
      <w:r>
        <w:t xml:space="preserve"> launcher). Identity and the Runtime are unaffected.</w:t>
      </w:r>
    </w:p>
    <w:p>
      <w:pPr>
        <w:pStyle w:val="ListParagraph"/>
        <w:numPr>
          <w:ilvl w:val="0"/>
          <w:numId w:val="1"/>
        </w:numPr>
        <w:spacing w:after="70" w:line="260"/>
      </w:pPr>
      <w:r>
        <w:rPr>
          <w:b/>
          <w:bCs/>
        </w:rPr>
        <w:t xml:space="preserve">Full removal: </w:t>
      </w:r>
      <w:r>
        <w:rPr>
          <w:rFonts w:ascii="Consolas" w:cs="Consolas" w:eastAsia="Consolas" w:hAnsi="Consolas"/>
          <w:color w:val="1B3A2B"/>
          <w:sz w:val="18"/>
          <w:szCs w:val="18"/>
        </w:rPr>
        <w:t xml:space="preserve">destroy_spine.sh</w:t>
      </w:r>
      <w:r>
        <w:t xml:space="preserve">, then </w:t>
      </w:r>
      <w:r>
        <w:rPr>
          <w:rFonts w:ascii="Consolas" w:cs="Consolas" w:eastAsia="Consolas" w:hAnsi="Consolas"/>
          <w:color w:val="1B3A2B"/>
          <w:sz w:val="18"/>
          <w:szCs w:val="18"/>
        </w:rPr>
        <w:t xml:space="preserve">destroy_identity.sh</w:t>
      </w:r>
      <w:r>
        <w:t xml:space="preserve">, then </w:t>
      </w:r>
      <w:r>
        <w:rPr>
          <w:rFonts w:ascii="Consolas" w:cs="Consolas" w:eastAsia="Consolas" w:hAnsi="Consolas"/>
          <w:color w:val="1B3A2B"/>
          <w:sz w:val="18"/>
          <w:szCs w:val="18"/>
        </w:rPr>
        <w:t xml:space="preserve">agentcore destroy</w:t>
      </w:r>
      <w:r>
        <w:t xml:space="preserve"> from </w:t>
      </w:r>
      <w:r>
        <w:rPr>
          <w:rFonts w:ascii="Consolas" w:cs="Consolas" w:eastAsia="Consolas" w:hAnsi="Consolas"/>
          <w:color w:val="1B3A2B"/>
          <w:sz w:val="18"/>
          <w:szCs w:val="18"/>
        </w:rPr>
        <w:t xml:space="preserve">pv-runtime/</w:t>
      </w:r>
      <w:r>
        <w:t xml:space="preserve">.</w:t>
      </w:r>
    </w:p>
    <w:p>
      <w:pPr>
        <w:pStyle w:val="Heading1"/>
      </w:pPr>
      <w:r>
        <w:t xml:space="preserve">7. Troubleshooting &amp; known gotchas</w:t>
      </w:r>
    </w:p>
    <w:tbl>
      <w:tblPr>
        <w:tblW w:type="dxa" w:w="10440"/>
        <w:tblBorders>
          <w:top w:val="single" w:color="C9D6DF" w:sz="2"/>
          <w:left w:val="none"/>
          <w:bottom w:val="single" w:color="C9D6DF" w:sz="2"/>
          <w:right w:val="none"/>
          <w:insideH w:val="single" w:color="C9D6DF" w:sz="2"/>
          <w:insideV w:val="single" w:color="E6EDF1" w:sz="2"/>
        </w:tblBorders>
      </w:tblPr>
      <w:tblGrid>
        <w:gridCol w:w="3100"/>
        <w:gridCol w:w="7340"/>
      </w:tblGrid>
      <w:tr>
        <w:trPr>
          <w:tblHeader/>
        </w:trPr>
        <w:tc>
          <w:tcPr>
            <w:tcW w:type="dxa" w:w="3100"/>
            <w:shd w:fill="0E2A47" w:val="clear"/>
            <w:tcMar>
              <w:top w:type="dxa" w:w="70"/>
              <w:left w:type="dxa" w:w="110"/>
              <w:bottom w:type="dxa" w:w="70"/>
              <w:right w:type="dxa" w:w="110"/>
            </w:tcMar>
          </w:tcPr>
          <w:p>
            <w:pPr>
              <w:spacing w:after="0"/>
            </w:pPr>
            <w:r>
              <w:rPr>
                <w:b/>
                <w:bCs/>
                <w:color w:val="FFFFFF"/>
                <w:sz w:val="19"/>
                <w:szCs w:val="19"/>
              </w:rPr>
              <w:t xml:space="preserve">Symptom</w:t>
            </w:r>
          </w:p>
        </w:tc>
        <w:tc>
          <w:tcPr>
            <w:tcW w:type="dxa" w:w="7340"/>
            <w:shd w:fill="0E2A47" w:val="clear"/>
            <w:tcMar>
              <w:top w:type="dxa" w:w="70"/>
              <w:left w:type="dxa" w:w="110"/>
              <w:bottom w:type="dxa" w:w="70"/>
              <w:right w:type="dxa" w:w="110"/>
            </w:tcMar>
          </w:tcPr>
          <w:p>
            <w:pPr>
              <w:spacing w:after="0"/>
            </w:pPr>
            <w:r>
              <w:rPr>
                <w:b/>
                <w:bCs/>
                <w:color w:val="FFFFFF"/>
                <w:sz w:val="19"/>
                <w:szCs w:val="19"/>
              </w:rPr>
              <w:t xml:space="preserve">Cause &amp; fix</w:t>
            </w:r>
          </w:p>
        </w:tc>
      </w:tr>
      <w:tr>
        <w:tc>
          <w:tcPr>
            <w:tcW w:type="dxa" w:w="3100"/>
            <w:shd w:fill="FFFFFF" w:val="clear"/>
            <w:tcMar>
              <w:top w:type="dxa" w:w="60"/>
              <w:left w:type="dxa" w:w="110"/>
              <w:bottom w:type="dxa" w:w="60"/>
              <w:right w:type="dxa" w:w="110"/>
            </w:tcMar>
          </w:tcPr>
          <w:p>
            <w:pPr>
              <w:spacing w:after="0" w:line="250"/>
            </w:pPr>
            <w:r>
              <w:rPr>
                <w:sz w:val="19"/>
                <w:szCs w:val="19"/>
              </w:rPr>
              <w:t xml:space="preserve">ConflictException on the policy engine at deploy</w:t>
            </w:r>
          </w:p>
        </w:tc>
        <w:tc>
          <w:tcPr>
            <w:tcW w:type="dxa" w:w="7340"/>
            <w:shd w:fill="FFFFFF" w:val="clear"/>
            <w:tcMar>
              <w:top w:type="dxa" w:w="60"/>
              <w:left w:type="dxa" w:w="110"/>
              <w:bottom w:type="dxa" w:w="60"/>
              <w:right w:type="dxa" w:w="110"/>
            </w:tcMar>
          </w:tcPr>
          <w:p>
            <w:pPr>
              <w:spacing w:after="0" w:line="250"/>
            </w:pPr>
            <w:r>
              <w:rPr>
                <w:sz w:val="19"/>
                <w:szCs w:val="19"/>
              </w:rPr>
              <w:t xml:space="preserve">Two spine deploys overlapped. Run serialized; a fresh destroy → deploy clears it.</w:t>
            </w:r>
          </w:p>
        </w:tc>
      </w:tr>
      <w:tr>
        <w:tc>
          <w:tcPr>
            <w:tcW w:type="dxa" w:w="3100"/>
            <w:shd w:fill="F4F8FA" w:val="clear"/>
            <w:tcMar>
              <w:top w:type="dxa" w:w="60"/>
              <w:left w:type="dxa" w:w="110"/>
              <w:bottom w:type="dxa" w:w="60"/>
              <w:right w:type="dxa" w:w="110"/>
            </w:tcMar>
          </w:tcPr>
          <w:p>
            <w:pPr>
              <w:spacing w:after="0" w:line="250"/>
            </w:pPr>
            <w:r>
              <w:rPr>
                <w:sz w:val="19"/>
                <w:szCs w:val="19"/>
              </w:rPr>
              <w:t xml:space="preserve">Runtime invoke returns 424 / gateway not found</w:t>
            </w:r>
          </w:p>
        </w:tc>
        <w:tc>
          <w:tcPr>
            <w:tcW w:type="dxa" w:w="7340"/>
            <w:shd w:fill="F4F8FA" w:val="clear"/>
            <w:tcMar>
              <w:top w:type="dxa" w:w="60"/>
              <w:left w:type="dxa" w:w="110"/>
              <w:bottom w:type="dxa" w:w="60"/>
              <w:right w:type="dxa" w:w="110"/>
            </w:tcMar>
          </w:tcPr>
          <w:p>
            <w:pPr>
              <w:spacing w:after="0" w:line="250"/>
            </w:pPr>
            <w:r>
              <w:rPr>
                <w:sz w:val="19"/>
                <w:szCs w:val="19"/>
              </w:rPr>
              <w:t xml:space="preserve">SSM parameter missing or stale. Confirm /pv-icsr/gateway-url exists and matches the live gateway; the deploy sets MSYS_NO_PATHCONV=1 so the name isn't mangled on Windows.</w:t>
            </w:r>
          </w:p>
        </w:tc>
      </w:tr>
      <w:tr>
        <w:tc>
          <w:tcPr>
            <w:tcW w:type="dxa" w:w="3100"/>
            <w:shd w:fill="FFFFFF" w:val="clear"/>
            <w:tcMar>
              <w:top w:type="dxa" w:w="60"/>
              <w:left w:type="dxa" w:w="110"/>
              <w:bottom w:type="dxa" w:w="60"/>
              <w:right w:type="dxa" w:w="110"/>
            </w:tcMar>
          </w:tcPr>
          <w:p>
            <w:pPr>
              <w:spacing w:after="0" w:line="250"/>
            </w:pPr>
            <w:r>
              <w:rPr>
                <w:sz w:val="19"/>
                <w:szCs w:val="19"/>
              </w:rPr>
              <w:t xml:space="preserve">SSM ParameterNotFound in the agent logs</w:t>
            </w:r>
          </w:p>
        </w:tc>
        <w:tc>
          <w:tcPr>
            <w:tcW w:type="dxa" w:w="7340"/>
            <w:shd w:fill="FFFFFF" w:val="clear"/>
            <w:tcMar>
              <w:top w:type="dxa" w:w="60"/>
              <w:left w:type="dxa" w:w="110"/>
              <w:bottom w:type="dxa" w:w="60"/>
              <w:right w:type="dxa" w:w="110"/>
            </w:tcMar>
          </w:tcPr>
          <w:p>
            <w:pPr>
              <w:spacing w:after="0" w:line="250"/>
            </w:pPr>
            <w:r>
              <w:rPr>
                <w:sz w:val="19"/>
                <w:szCs w:val="19"/>
              </w:rPr>
              <w:t xml:space="preserve">The put-parameter name was path-mangled by Git-Bash. Ensure MSYS_NO_PATHCONV=1 is exported (it is, at the top of deploy_spine.sh).</w:t>
            </w:r>
          </w:p>
        </w:tc>
      </w:tr>
      <w:tr>
        <w:tc>
          <w:tcPr>
            <w:tcW w:type="dxa" w:w="3100"/>
            <w:shd w:fill="F4F8FA" w:val="clear"/>
            <w:tcMar>
              <w:top w:type="dxa" w:w="60"/>
              <w:left w:type="dxa" w:w="110"/>
              <w:bottom w:type="dxa" w:w="60"/>
              <w:right w:type="dxa" w:w="110"/>
            </w:tcMar>
          </w:tcPr>
          <w:p>
            <w:pPr>
              <w:spacing w:after="0" w:line="250"/>
            </w:pPr>
            <w:r>
              <w:rPr>
                <w:sz w:val="19"/>
                <w:szCs w:val="19"/>
              </w:rPr>
              <w:t xml:space="preserve">'draft failed: ValidationException ... temperature and top_p'</w:t>
            </w:r>
          </w:p>
        </w:tc>
        <w:tc>
          <w:tcPr>
            <w:tcW w:type="dxa" w:w="7340"/>
            <w:shd w:fill="F4F8FA" w:val="clear"/>
            <w:tcMar>
              <w:top w:type="dxa" w:w="60"/>
              <w:left w:type="dxa" w:w="110"/>
              <w:bottom w:type="dxa" w:w="60"/>
              <w:right w:type="dxa" w:w="110"/>
            </w:tcMar>
          </w:tcPr>
          <w:p>
            <w:pPr>
              <w:spacing w:after="0" w:line="250"/>
            </w:pPr>
            <w:r>
              <w:rPr>
                <w:sz w:val="19"/>
                <w:szCs w:val="19"/>
              </w:rPr>
              <w:t xml:space="preserve">The model rejects both parameters together via Converse. Send temperature only.</w:t>
            </w:r>
          </w:p>
        </w:tc>
      </w:tr>
      <w:tr>
        <w:tc>
          <w:tcPr>
            <w:tcW w:type="dxa" w:w="3100"/>
            <w:shd w:fill="FFFFFF" w:val="clear"/>
            <w:tcMar>
              <w:top w:type="dxa" w:w="60"/>
              <w:left w:type="dxa" w:w="110"/>
              <w:bottom w:type="dxa" w:w="60"/>
              <w:right w:type="dxa" w:w="110"/>
            </w:tcMar>
          </w:tcPr>
          <w:p>
            <w:pPr>
              <w:spacing w:after="0" w:line="250"/>
            </w:pPr>
            <w:r>
              <w:rPr>
                <w:sz w:val="19"/>
                <w:szCs w:val="19"/>
              </w:rPr>
              <w:t xml:space="preserve">agentcore configure/launch crashes with a Unicode or console error</w:t>
            </w:r>
          </w:p>
        </w:tc>
        <w:tc>
          <w:tcPr>
            <w:tcW w:type="dxa" w:w="7340"/>
            <w:shd w:fill="FFFFFF" w:val="clear"/>
            <w:tcMar>
              <w:top w:type="dxa" w:w="60"/>
              <w:left w:type="dxa" w:w="110"/>
              <w:bottom w:type="dxa" w:w="60"/>
              <w:right w:type="dxa" w:w="110"/>
            </w:tcMar>
          </w:tcPr>
          <w:p>
            <w:pPr>
              <w:spacing w:after="0" w:line="250"/>
            </w:pPr>
            <w:r>
              <w:rPr>
                <w:sz w:val="19"/>
                <w:szCs w:val="19"/>
              </w:rPr>
              <w:t xml:space="preserve">Windows codepage. Export PYTHONIOENCODING=utf-8, PYTHONUTF8=1, AGENTCORE_SUPPRESS_RECOMMENDATION=1 (set in the helper scripts).</w:t>
            </w:r>
          </w:p>
        </w:tc>
      </w:tr>
      <w:tr>
        <w:tc>
          <w:tcPr>
            <w:tcW w:type="dxa" w:w="3100"/>
            <w:shd w:fill="F4F8FA" w:val="clear"/>
            <w:tcMar>
              <w:top w:type="dxa" w:w="60"/>
              <w:left w:type="dxa" w:w="110"/>
              <w:bottom w:type="dxa" w:w="60"/>
              <w:right w:type="dxa" w:w="110"/>
            </w:tcMar>
          </w:tcPr>
          <w:p>
            <w:pPr>
              <w:spacing w:after="0" w:line="250"/>
            </w:pPr>
            <w:r>
              <w:rPr>
                <w:sz w:val="19"/>
                <w:szCs w:val="19"/>
              </w:rPr>
              <w:t xml:space="preserve">configure hangs or errors on a prompt</w:t>
            </w:r>
          </w:p>
        </w:tc>
        <w:tc>
          <w:tcPr>
            <w:tcW w:type="dxa" w:w="7340"/>
            <w:shd w:fill="F4F8FA" w:val="clear"/>
            <w:tcMar>
              <w:top w:type="dxa" w:w="60"/>
              <w:left w:type="dxa" w:w="110"/>
              <w:bottom w:type="dxa" w:w="60"/>
              <w:right w:type="dxa" w:w="110"/>
            </w:tcMar>
          </w:tcPr>
          <w:p>
            <w:pPr>
              <w:spacing w:after="0" w:line="250"/>
            </w:pPr>
            <w:r>
              <w:rPr>
                <w:sz w:val="19"/>
                <w:szCs w:val="19"/>
              </w:rPr>
              <w:t xml:space="preserve">prompt_toolkit needs a real console. Use create mode (-c) and pass the authorizer config (-ac) so no interactive prompt fires.</w:t>
            </w:r>
          </w:p>
        </w:tc>
      </w:tr>
      <w:tr>
        <w:tc>
          <w:tcPr>
            <w:tcW w:type="dxa" w:w="3100"/>
            <w:shd w:fill="FFFFFF" w:val="clear"/>
            <w:tcMar>
              <w:top w:type="dxa" w:w="60"/>
              <w:left w:type="dxa" w:w="110"/>
              <w:bottom w:type="dxa" w:w="60"/>
              <w:right w:type="dxa" w:w="110"/>
            </w:tcMar>
          </w:tcPr>
          <w:p>
            <w:pPr>
              <w:spacing w:after="0" w:line="250"/>
            </w:pPr>
            <w:r>
              <w:rPr>
                <w:sz w:val="19"/>
                <w:szCs w:val="19"/>
              </w:rPr>
              <w:t xml:space="preserve">'Invalid version id' during bucket teardown</w:t>
            </w:r>
          </w:p>
        </w:tc>
        <w:tc>
          <w:tcPr>
            <w:tcW w:type="dxa" w:w="7340"/>
            <w:shd w:fill="FFFFFF" w:val="clear"/>
            <w:tcMar>
              <w:top w:type="dxa" w:w="60"/>
              <w:left w:type="dxa" w:w="110"/>
              <w:bottom w:type="dxa" w:w="60"/>
              <w:right w:type="dxa" w:w="110"/>
            </w:tcMar>
          </w:tcPr>
          <w:p>
            <w:pPr>
              <w:spacing w:after="0" w:line="250"/>
            </w:pPr>
            <w:r>
              <w:rPr>
                <w:sz w:val="19"/>
                <w:szCs w:val="19"/>
              </w:rPr>
              <w:t xml:space="preserve">Git-Bash trailing \r on the version id. Pipe list output through tr -d '\r' (handled in destroy_spine.sh).</w:t>
            </w:r>
          </w:p>
        </w:tc>
      </w:tr>
      <w:tr>
        <w:tc>
          <w:tcPr>
            <w:tcW w:type="dxa" w:w="3100"/>
            <w:shd w:fill="F4F8FA" w:val="clear"/>
            <w:tcMar>
              <w:top w:type="dxa" w:w="60"/>
              <w:left w:type="dxa" w:w="110"/>
              <w:bottom w:type="dxa" w:w="60"/>
              <w:right w:type="dxa" w:w="110"/>
            </w:tcMar>
          </w:tcPr>
          <w:p>
            <w:pPr>
              <w:spacing w:after="0" w:line="250"/>
            </w:pPr>
            <w:r>
              <w:rPr>
                <w:sz w:val="19"/>
                <w:szCs w:val="19"/>
              </w:rPr>
              <w:t xml:space="preserve">demo shows a tool ALLOW but no result field</w:t>
            </w:r>
          </w:p>
        </w:tc>
        <w:tc>
          <w:tcPr>
            <w:tcW w:type="dxa" w:w="7340"/>
            <w:shd w:fill="F4F8FA" w:val="clear"/>
            <w:tcMar>
              <w:top w:type="dxa" w:w="60"/>
              <w:left w:type="dxa" w:w="110"/>
              <w:bottom w:type="dxa" w:w="60"/>
              <w:right w:type="dxa" w:w="110"/>
            </w:tcMar>
          </w:tcPr>
          <w:p>
            <w:pPr>
              <w:spacing w:after="0" w:line="250"/>
            </w:pPr>
            <w:r>
              <w:rPr>
                <w:sz w:val="19"/>
                <w:szCs w:val="19"/>
              </w:rPr>
              <w:t xml:space="preserve">The MCP client truncates long output (~200 chars). Put short proof fields first in the tool response, or grep an early field.</w:t>
            </w:r>
          </w:p>
        </w:tc>
      </w:tr>
    </w:tbl>
    <w:p>
      <w:pPr>
        <w:pStyle w:val="Heading1"/>
      </w:pPr>
      <w:r>
        <w:t xml:space="preserve">8. Cost &amp; housekeeping</w:t>
      </w:r>
    </w:p>
    <w:p>
      <w:pPr>
        <w:pStyle w:val="ListParagraph"/>
        <w:numPr>
          <w:ilvl w:val="0"/>
          <w:numId w:val="1"/>
        </w:numPr>
        <w:spacing w:after="70" w:line="260"/>
      </w:pPr>
      <w:r>
        <w:rPr>
          <w:b/>
          <w:bCs/>
        </w:rPr>
        <w:t xml:space="preserve">Idle cost is low: </w:t>
      </w:r>
      <w:r>
        <w:t xml:space="preserve">Lambdas, DynamoDB (on-demand), and the Gateway are pay-per-use; the largest steady item is the Runtime container and any provisioned observability.</w:t>
      </w:r>
    </w:p>
    <w:p>
      <w:pPr>
        <w:pStyle w:val="ListParagraph"/>
        <w:numPr>
          <w:ilvl w:val="0"/>
          <w:numId w:val="1"/>
        </w:numPr>
        <w:spacing w:after="70" w:line="260"/>
      </w:pPr>
      <w:r>
        <w:rPr>
          <w:b/>
          <w:bCs/>
        </w:rPr>
        <w:t xml:space="preserve">Tear down between evaluations </w:t>
      </w:r>
      <w:r>
        <w:t xml:space="preserve">to keep costs near zero — </w:t>
      </w:r>
      <w:r>
        <w:rPr>
          <w:rFonts w:ascii="Consolas" w:cs="Consolas" w:eastAsia="Consolas" w:hAnsi="Consolas"/>
          <w:color w:val="1B3A2B"/>
          <w:sz w:val="18"/>
          <w:szCs w:val="18"/>
        </w:rPr>
        <w:t xml:space="preserve">destroy_spine.sh</w:t>
      </w:r>
      <w:r>
        <w:t xml:space="preserve"> leaves only the stable identity and the (idle) Runtime.</w:t>
      </w:r>
    </w:p>
    <w:p>
      <w:pPr>
        <w:pStyle w:val="ListParagraph"/>
        <w:numPr>
          <w:ilvl w:val="0"/>
          <w:numId w:val="1"/>
        </w:numPr>
        <w:spacing w:after="70" w:line="260"/>
      </w:pPr>
      <w:r>
        <w:rPr>
          <w:b/>
          <w:bCs/>
        </w:rPr>
        <w:t xml:space="preserve">CodeBuild &amp; ECR: </w:t>
      </w:r>
      <w:r>
        <w:t xml:space="preserve">each Runtime deploy pushes an image tag to ECR; prune old tags periodically.</w:t>
      </w:r>
    </w:p>
    <w:p>
      <w:pPr>
        <w:pStyle w:val="ListParagraph"/>
        <w:numPr>
          <w:ilvl w:val="0"/>
          <w:numId w:val="1"/>
        </w:numPr>
        <w:spacing w:after="70" w:line="260"/>
      </w:pPr>
      <w:r>
        <w:rPr>
          <w:b/>
          <w:bCs/>
        </w:rPr>
        <w:t xml:space="preserve">Region: </w:t>
      </w:r>
      <w:r>
        <w:t xml:space="preserve">keep all components in us-east-1 for the reference deployment — Comprehend Medical, the Bedrock models, and AgentCore are co-located there.</w:t>
      </w:r>
    </w:p>
    <w:p>
      <w:pPr>
        <w:spacing w:after="80"/>
      </w:pPr>
    </w:p>
    <w:p>
      <w:r>
        <w:rPr>
          <w:i/>
          <w:iCs/>
          <w:color w:val="6B7A8A"/>
        </w:rPr>
        <w:t xml:space="preserve">End of maintenance guide. See the SA Deployment Runbook for first-time setup and the Regulatory-Adherence Guide for the control mapping.</w:t>
      </w:r>
    </w:p>
    <w:sectPr>
      <w:footerReference w:type="default" r:id="rId7"/>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space="6"/>
      </w:pBdr>
      <w:tabs>
        <w:tab w:val="right" w:pos="10040"/>
      </w:tabs>
    </w:pPr>
    <w:r>
      <w:rPr>
        <w:color w:val="6B7A8A"/>
        <w:sz w:val="15"/>
        <w:szCs w:val="15"/>
      </w:rPr>
      <w:t xml:space="preserve">PV AgentCore · Maintenance &amp; Operations Guide</w:t>
    </w:r>
    <w:r>
      <w:rPr>
        <w:sz w:val="15"/>
        <w:szCs w:val="15"/>
      </w:rPr>
      <w:t xml:space="preserve">	</w:t>
    </w:r>
    <w:r>
      <w:rPr>
        <w:color w:val="6B7A8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0E2A47"/>
      <w:sz w:val="52"/>
      <w:szCs w:val="52"/>
    </w:rPr>
  </w:style>
  <w:style w:type="paragraph" w:styleId="Subtitle">
    <w:name w:val="Subtitle"/>
    <w:basedOn w:val="Normal"/>
    <w:pPr>
      <w:spacing w:after="80"/>
    </w:pPr>
    <w:rPr>
      <w:rFonts w:ascii="Calibri" w:cs="Calibri" w:eastAsia="Calibri" w:hAnsi="Calibri"/>
      <w:color w:val="1C7293"/>
      <w:sz w:val="24"/>
      <w:szCs w:val="24"/>
    </w:rPr>
  </w:style>
  <w:style w:type="paragraph" w:styleId="Heading1">
    <w:name w:val="Heading 1"/>
    <w:basedOn w:val="Normal"/>
    <w:next w:val="Normal"/>
    <w:qFormat/>
    <w:pPr>
      <w:keepNext/>
      <w:spacing w:after="140" w:before="320"/>
      <w:outlineLvl w:val="0"/>
    </w:pPr>
    <w:rPr>
      <w:rFonts w:ascii="Cambria" w:cs="Cambria" w:eastAsia="Cambria" w:hAnsi="Cambria"/>
      <w:b/>
      <w:bCs/>
      <w:color w:val="0E2A47"/>
      <w:sz w:val="30"/>
      <w:szCs w:val="30"/>
    </w:rPr>
  </w:style>
  <w:style w:type="paragraph" w:styleId="Heading2">
    <w:name w:val="Heading 2"/>
    <w:basedOn w:val="Normal"/>
    <w:next w:val="Normal"/>
    <w:qFormat/>
    <w:pPr>
      <w:keepNext/>
      <w:spacing w:after="90" w:before="240"/>
      <w:outlineLvl w:val="1"/>
    </w:pPr>
    <w:rPr>
      <w:rFonts w:ascii="Cambria" w:cs="Cambria" w:eastAsia="Cambria" w:hAnsi="Cambria"/>
      <w:b/>
      <w:bCs/>
      <w:color w:val="1C7293"/>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0E2A47"/>
      <w:sz w:val="22"/>
      <w:szCs w:val="22"/>
    </w:rPr>
  </w:style>
  <w:style w:type="paragraph" w:styleId="Normal">
    <w:name w:val="Normal"/>
    <w:pPr>
      <w:spacing w:after="130" w:line="264"/>
    </w:pPr>
    <w:rPr>
      <w:rFonts w:ascii="Calibri" w:cs="Calibri" w:eastAsia="Calibri" w:hAnsi="Calibri"/>
      <w:color w:val="1A2733"/>
      <w:sz w:val="21"/>
      <w:szCs w:val="21"/>
    </w:rPr>
  </w:style>
  <w:style w:type="paragraph" w:styleId="Code">
    <w:name w:val="Code"/>
    <w:basedOn w:val="Normal"/>
    <w:pPr>
      <w:shd w:fill="F0F4F1" w:val="clear"/>
      <w:spacing w:after="20" w:line="240"/>
    </w:pPr>
    <w:rPr>
      <w:rFonts w:ascii="Consolas" w:cs="Consolas" w:eastAsia="Consolas" w:hAnsi="Consolas"/>
      <w:color w:val="1B3A2B"/>
      <w:sz w:val="17"/>
      <w:szCs w:val="17"/>
    </w:rPr>
  </w:style>
  <w:style w:type="paragraph" w:styleId="Caption">
    <w:name w:val="Caption"/>
    <w:basedOn w:val="Normal"/>
    <w:rPr>
      <w:rFonts w:ascii="Calibri" w:cs="Calibri" w:eastAsia="Calibri" w:hAnsi="Calibri"/>
      <w:i/>
      <w:iCs/>
      <w:color w:val="6B7A8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2026-07-16T21:24:15.060Z</dcterms:created>
  <dcterms:modified xsi:type="dcterms:W3CDTF">2026-07-16T21:24:15.060Z</dcterms:modified>
</cp:coreProperties>
</file>

<file path=docProps/custom.xml><?xml version="1.0" encoding="utf-8"?>
<Properties xmlns="http://schemas.openxmlformats.org/officeDocument/2006/custom-properties" xmlns:vt="http://schemas.openxmlformats.org/officeDocument/2006/docPropsVTypes"/>
</file>