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200"/>
      </w:pPr>
      <w:r>
        <w:rPr>
          <w:b/>
          <w:bCs/>
          <w:color w:val="1C7293"/>
          <w:spacing w:val="40"/>
          <w:sz w:val="19"/>
          <w:szCs w:val="19"/>
        </w:rPr>
        <w:t xml:space="preserve">GOVERNED AGENTIC AI · AMAZON BEDROCK AGENTCORE</w:t>
      </w:r>
    </w:p>
    <w:p>
      <w:pPr>
        <w:pStyle w:val="Title"/>
      </w:pPr>
      <w:r>
        <w:t xml:space="preserve">Pharmacovigilance Agent</w:t>
      </w:r>
    </w:p>
    <w:p>
      <w:pPr>
        <w:pStyle w:val="Title"/>
      </w:pPr>
      <w:r>
        <w:t xml:space="preserve">on Amazon Bedrock AgentCore</w:t>
      </w:r>
    </w:p>
    <w:p>
      <w:pPr>
        <w:pStyle w:val="Subtitle"/>
        <w:spacing w:after="500" w:before="120"/>
      </w:pPr>
      <w:r>
        <w:t xml:space="preserve">Solution Architect Deployment Runbook</w:t>
      </w:r>
    </w:p>
    <w:p>
      <w:pPr>
        <w:pBdr>
          <w:top w:val="single" w:color="0B8F72" w:sz="6"/>
          <w:bottom w:val="single" w:color="0B8F72" w:sz="6"/>
        </w:pBdr>
        <w:shd w:fill="EEF3F7" w:val="clear"/>
        <w:spacing w:after="60" w:before="60" w:line="260"/>
      </w:pPr>
      <w:r>
        <w:rPr>
          <w:i/>
          <w:iCs/>
          <w:color w:val="1A2733"/>
          <w:sz w:val="19"/>
          <w:szCs w:val="19"/>
        </w:rPr>
        <w:t xml:space="preserve">Step-by-step deployment of the governed pharmacovigilance (ICSR intake) accelerator into an AWS account — identity, governance spine, tools, and the Runtime agent. Region: us-east-1. Accelerator reference; not production-certified. Version 1.0 · 2026.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1.	Overview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2.	Prerequisites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3.	What gets deployed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4.	Deployment procedure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5.	Configuration reference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6.	Validation checklist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7.	Teardown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8.	Windows / Git-Bash operational notes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r>
        <w:t xml:space="preserve">This runbook stands up the governed pharmacovigilance (PV) agent in an AWS account. The deployment is split into three lifecycles that are deployed and torn down independently: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Identity stack </w:t>
      </w:r>
      <w:r>
        <w:t xml:space="preserve">— a stable Amazon Cognito user pool, app client, and test users. Long-lived; not touched by spine redeploys.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Governance spine </w:t>
      </w:r>
      <w:r>
        <w:t xml:space="preserve">— the Cedar policy engine, AgentCore Gateway, tool Lambdas, Bedrock Guardrail, WORM audit stores, and the Step Functions human sign-off gate. Reproducible; stood up and torn down as a unit.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Runtime agent </w:t>
      </w:r>
      <w:r>
        <w:t xml:space="preserve">— the Strands PV agent, containerized and deployed to AgentCore Runtime with a Cognito JWT inbound authorizer.</w:t>
      </w:r>
    </w:p>
    <w:p>
      <w:r>
        <w:t xml:space="preserve">The whole spine deploys with one command, proves itself with a 17-check governance demo, and tears down with zero residual. The Runtime agent is decoupled: it discovers the gateway at runtime and validates against the stable pool, so spine redeploys never require touching it.</w:t>
      </w:r>
    </w:p>
    <w:tbl>
      <w:tblPr>
        <w:tblW w:type="pct" w:w="100%"/>
        <w:tblBorders>
          <w:top w:val="single" w:color="B9791F" w:sz="2"/>
          <w:left w:val="single" w:color="B9791F" w:sz="18"/>
          <w:bottom w:val="single" w:color="B9791F" w:sz="2"/>
          <w:right w:val="single" w:color="B9791F" w:sz="2"/>
          <w:insideH w:val="none"/>
          <w:insideV w:val="none"/>
        </w:tblBorders>
      </w:tblPr>
      <w:tblGrid>
        <w:gridCol w:w="10440"/>
      </w:tblGrid>
      <w:tr>
        <w:tc>
          <w:tcPr>
            <w:tcW w:type="dxa" w:w="10440"/>
            <w:shd w:fill="FBF3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B9791F"/>
                <w:sz w:val="20"/>
                <w:szCs w:val="20"/>
              </w:rPr>
              <w:t xml:space="preserve">Honesty boundary</w:t>
            </w:r>
          </w:p>
          <w:p>
            <w:pPr>
              <w:spacing w:after="20" w:line="258"/>
            </w:pPr>
            <w:r>
              <w:t xml:space="preserve">This is an accelerator, not a production-certified system. Computer-system validation (CSV/CSA), IdP federation, connectors to live safety systems, licensed MedDRA/WHODrug dictionaries, and production authorization to operate (ATO) are customer responsibilities. See the Regulatory-Adherence Guide.</w:t>
            </w:r>
          </w:p>
        </w:tc>
      </w:tr>
    </w:tbl>
    <w:p>
      <w:pPr>
        <w:pStyle w:val="Heading1"/>
      </w:pPr>
      <w:r>
        <w:t xml:space="preserve">2. Prerequisites</w:t>
      </w:r>
    </w:p>
    <w:p>
      <w:pPr>
        <w:pStyle w:val="Heading2"/>
      </w:pPr>
      <w:r>
        <w:t xml:space="preserve">2.1 AWS account &amp; access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An AWS account </w:t>
      </w:r>
      <w:r>
        <w:t xml:space="preserve">with administrative credentials configured for the AWS CLI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aws sts get-caller-identity</w:t>
      </w:r>
      <w:r>
        <w:t xml:space="preserve"> must succeed).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Region </w:t>
      </w:r>
      <w:r>
        <w:t xml:space="preserve">— us-east-1 (the reference deployment; Comprehend Medical, Bedrock models, and AgentCore are all available there).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Model access </w:t>
      </w:r>
      <w:r>
        <w:t xml:space="preserve">— enable the Anthropic Claude models in Amazon Bedrock (the drafting tool defaults to the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us.anthropic.claude-sonnet-4-5</w:t>
      </w:r>
      <w:r>
        <w:t xml:space="preserve"> cross-region inference profile).</w:t>
      </w:r>
    </w:p>
    <w:p>
      <w:pPr>
        <w:pStyle w:val="Heading2"/>
      </w:pPr>
      <w:r>
        <w:t xml:space="preserve">2.2 Tooling</w:t>
      </w:r>
    </w:p>
    <w:tbl>
      <w:tblPr>
        <w:tblW w:type="dxa" w:w="10440"/>
        <w:tblBorders>
          <w:top w:val="single" w:color="C9D6DF" w:sz="2"/>
          <w:left w:val="none"/>
          <w:bottom w:val="single" w:color="C9D6DF" w:sz="2"/>
          <w:right w:val="none"/>
          <w:insideH w:val="single" w:color="C9D6DF" w:sz="2"/>
          <w:insideV w:val="single" w:color="E6EDF1" w:sz="2"/>
        </w:tblBorders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784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 / 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aws</w:t>
            </w:r>
          </w:p>
        </w:tc>
        <w:tc>
          <w:tcPr>
            <w:tcW w:type="dxa" w:w="78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AWS CLI v2.30+ (validated on 2.33)</w:t>
            </w:r>
          </w:p>
        </w:tc>
      </w:tr>
      <w:tr>
        <w:tc>
          <w:tcPr>
            <w:tcW w:type="dxa" w:w="26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python3</w:t>
            </w:r>
          </w:p>
        </w:tc>
        <w:tc>
          <w:tcPr>
            <w:tcW w:type="dxa" w:w="78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3.12 (Lambda runtime is python3.12; the Runtime toolkit needs a 3.12 venv)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node</w:t>
            </w:r>
          </w:p>
        </w:tc>
        <w:tc>
          <w:tcPr>
            <w:tcW w:type="dxa" w:w="78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Node.js 18+ (only for local tooling)</w:t>
            </w:r>
          </w:p>
        </w:tc>
      </w:tr>
      <w:tr>
        <w:tc>
          <w:tcPr>
            <w:tcW w:type="dxa" w:w="26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bash</w:t>
            </w:r>
          </w:p>
        </w:tc>
        <w:tc>
          <w:tcPr>
            <w:tcW w:type="dxa" w:w="78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Any POSIX shell. On Windows, use Git-Bash (see §8)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agentcore</w:t>
            </w:r>
          </w:p>
        </w:tc>
        <w:tc>
          <w:tcPr>
            <w:tcW w:type="dxa" w:w="78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bedrock-agentcore-starter-toolkit (installed into the Runtime venv in Step 4)</w:t>
            </w:r>
          </w:p>
        </w:tc>
      </w:tr>
    </w:tbl>
    <w:p>
      <w:pPr>
        <w:pStyle w:val="Heading2"/>
      </w:pPr>
      <w:r>
        <w:t xml:space="preserve">2.3 Project layout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pharmacovigilance agent/ </w:t>
      </w:r>
      <w:r>
        <w:t xml:space="preserve">— the governance spine + tools. Key folders: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scripts/</w:t>
      </w:r>
      <w:r>
        <w:t xml:space="preserve"> (IaC),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tools/</w:t>
      </w:r>
      <w:r>
        <w:t xml:space="preserve"> (Lambda sources + MCP client),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policies/</w:t>
      </w:r>
      <w:r>
        <w:t xml:space="preserve"> (Cedar).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runtime/ </w:t>
      </w:r>
      <w:r>
        <w:t xml:space="preserve">— the Runtime agent (self-locating helper scripts; runs from a fresh clone):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agent.py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Dockerfile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requirements.txt</w:t>
      </w:r>
      <w:r>
        <w:t xml:space="preserve">, and the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_configure/_launch/_invoke/_obs_setup</w:t>
      </w:r>
      <w:r>
        <w:t xml:space="preserve"> helper scripts.</w:t>
      </w:r>
    </w:p>
    <w:p>
      <w:pPr>
        <w:pStyle w:val="Heading1"/>
      </w:pPr>
      <w:r>
        <w:t xml:space="preserve">3. What gets deployed</w:t>
      </w:r>
    </w:p>
    <w:tbl>
      <w:tblPr>
        <w:tblW w:type="dxa" w:w="9440"/>
        <w:tblBorders>
          <w:top w:val="single" w:color="C9D6DF" w:sz="2"/>
          <w:left w:val="none"/>
          <w:bottom w:val="single" w:color="C9D6DF" w:sz="2"/>
          <w:right w:val="none"/>
          <w:insideH w:val="single" w:color="C9D6DF" w:sz="2"/>
          <w:insideV w:val="single" w:color="E6EDF1" w:sz="2"/>
        </w:tblBorders>
      </w:tblPr>
      <w:tblGrid>
        <w:gridCol w:w="1700"/>
        <w:gridCol w:w="6300"/>
        <w:gridCol w:w="1440"/>
      </w:tblGrid>
      <w:tr>
        <w:trPr>
          <w:tblHeader/>
        </w:trPr>
        <w:tc>
          <w:tcPr>
            <w:tcW w:type="dxa" w:w="17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AWS resource(s)</w:t>
            </w:r>
          </w:p>
        </w:tc>
        <w:tc>
          <w:tcPr>
            <w:tcW w:type="dxa" w:w="144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Lifecycle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Identity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Cognito user pool pv-icsr, app client pv-gw, users reviewer / approver / outsider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Stable</w:t>
            </w:r>
          </w:p>
        </w:tc>
      </w:tr>
      <w:tr>
        <w:tc>
          <w:tcPr>
            <w:tcW w:type="dxa" w:w="17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Policy engine</w:t>
            </w:r>
          </w:p>
        </w:tc>
        <w:tc>
          <w:tcPr>
            <w:tcW w:type="dxa" w:w="63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AgentCore Policy engine pv_icsr_authz (Cedar, deny-by-default)</w:t>
            </w:r>
          </w:p>
        </w:tc>
        <w:tc>
          <w:tcPr>
            <w:tcW w:type="dxa" w:w="14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Gateway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AgentCore Gateway pv-icsr-gw (MCP, CUSTOM_JWT, ENFORCE)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Tools</w:t>
            </w:r>
          </w:p>
        </w:tc>
        <w:tc>
          <w:tcPr>
            <w:tcW w:type="dxa" w:w="63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Lambdas: pv-openfda-lookup, pv-mask-phi, pv-core-tools, pv-write-audit, pv-request-signoff (+ 3 sign-off Lambdas)</w:t>
            </w:r>
          </w:p>
        </w:tc>
        <w:tc>
          <w:tcPr>
            <w:tcW w:type="dxa" w:w="14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Guardrail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Bedrock Guardrail pv-icsr-guardrail (PII anonymize + prompt-attack)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WORM audit</w:t>
            </w:r>
          </w:p>
        </w:tc>
        <w:tc>
          <w:tcPr>
            <w:tcW w:type="dxa" w:w="63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DynamoDB pv-audit (append-only) + S3 Object Lock bucket pv-audit-worm-&lt;acct&gt;-&lt;region&gt;</w:t>
            </w:r>
          </w:p>
        </w:tc>
        <w:tc>
          <w:tcPr>
            <w:tcW w:type="dxa" w:w="14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Human gate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Step Functions pv-signoff + DynamoDB pv-pending-approvals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Discovery</w:t>
            </w:r>
          </w:p>
        </w:tc>
        <w:tc>
          <w:tcPr>
            <w:tcW w:type="dxa" w:w="63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SSM parameter /pv-icsr/gateway-url</w:t>
            </w:r>
          </w:p>
        </w:tc>
        <w:tc>
          <w:tcPr>
            <w:tcW w:type="dxa" w:w="14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Runtime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AgentCore Runtime pv_runtime_agent (ARM64 container via CodeBuild + ECR)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Runtime</w:t>
            </w:r>
          </w:p>
        </w:tc>
      </w:tr>
    </w:tbl>
    <w:p>
      <w:pPr>
        <w:pStyle w:val="Heading1"/>
      </w:pPr>
      <w:r>
        <w:t xml:space="preserve">4. Deployment procedure</w:t>
      </w:r>
    </w:p>
    <w:p>
      <w:r>
        <w:rPr>
          <w:b/>
          <w:bCs/>
        </w:rPr>
        <w:t xml:space="preserve">Run the steps in order. </w:t>
      </w:r>
      <w:r>
        <w:t xml:space="preserve">All commands assume you are in the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pharmacovigilance agent/</w:t>
      </w:r>
      <w:r>
        <w:t xml:space="preserve"> directory unless noted, with the AWS CLI configured for us-east-1.</w:t>
      </w:r>
    </w:p>
    <w:p>
      <w:pPr>
        <w:pStyle w:val="Heading2"/>
      </w:pPr>
      <w:r>
        <w:t xml:space="preserve">Step 0 — Confirm the environment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aws sts get-caller-identity          # confirms credentials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aws configure get region             # should print us-east-1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python3.12 --version                 # 3.12.x (the Runtime venv in Step 4 needs 3.12)</w:t>
      </w:r>
    </w:p>
    <w:p>
      <w:pPr>
        <w:pStyle w:val="Heading2"/>
      </w:pPr>
      <w:r>
        <w:t xml:space="preserve">Step 1 — Deploy the stable identity stack</w:t>
      </w:r>
    </w:p>
    <w:p>
      <w:r>
        <w:t xml:space="preserve">Creates (or reuses) the Cognito pool, app client, groups, and the three test users; writes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identity-state.env</w:t>
      </w:r>
      <w:r>
        <w:t xml:space="preserve">. Idempotent and safe to re-run.</w:t>
      </w:r>
    </w:p>
    <w:p>
      <w:pPr>
        <w:pStyle w:val="Code"/>
        <w:pBdr>
          <w:top w:val="single" w:color="DDE6DE" w:sz="4" w:space="3"/>
          <w:bottom w:val="single" w:color="DDE6DE" w:sz="4" w:space="3"/>
          <w:left w:val="single" w:color="0B8F72" w:sz="18" w:space="6"/>
        </w:pBdr>
        <w:shd w:fill="F0F4F1" w:val="clear"/>
        <w:spacing w:after="14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scripts/deploy_identity.sh</w:t>
      </w:r>
    </w:p>
    <w:p>
      <w:r>
        <w:rPr>
          <w:b/>
          <w:bCs/>
        </w:rPr>
        <w:t xml:space="preserve">Result: </w:t>
      </w:r>
      <w:r>
        <w:t xml:space="preserve">pool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pv-icsr</w:t>
      </w:r>
      <w:r>
        <w:t xml:space="preserve">, client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pv-gw</w:t>
      </w:r>
      <w:r>
        <w:t xml:space="preserve">, users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reviewer</w:t>
      </w:r>
      <w:r>
        <w:t xml:space="preserve"> /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approver</w:t>
      </w:r>
      <w:r>
        <w:t xml:space="preserve"> (group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pv_reviewer</w:t>
      </w:r>
      <w:r>
        <w:t xml:space="preserve">)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outsider</w:t>
      </w:r>
      <w:r>
        <w:t xml:space="preserve">. Discovery URL and IDs land in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identity-state.env</w:t>
      </w:r>
      <w:r>
        <w:t xml:space="preserve">.</w:t>
      </w:r>
    </w:p>
    <w:p>
      <w:pPr>
        <w:pStyle w:val="Heading2"/>
      </w:pPr>
      <w:r>
        <w:t xml:space="preserve">Step 2 — Deploy the governance spine</w:t>
      </w:r>
    </w:p>
    <w:p>
      <w:r>
        <w:t xml:space="preserve">One idempotent command builds the entire spine in the proven order: IAM roles → WORM stores → Guardrail → tool Lambdas → policy engine → Gateway (LOG_ONLY) → targets → Cedar policies → flip to ENFORCE → human-gate Step Functions → publish the gateway URL to SSM. It sources the stable identity and writes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spine-state.env</w:t>
      </w:r>
      <w:r>
        <w:t xml:space="preserve">.</w:t>
      </w:r>
    </w:p>
    <w:p>
      <w:pPr>
        <w:pStyle w:val="Code"/>
        <w:pBdr>
          <w:top w:val="single" w:color="DDE6DE" w:sz="4" w:space="3"/>
          <w:bottom w:val="single" w:color="DDE6DE" w:sz="4" w:space="3"/>
          <w:left w:val="single" w:color="0B8F72" w:sz="18" w:space="6"/>
        </w:pBdr>
        <w:shd w:fill="F0F4F1" w:val="clear"/>
        <w:spacing w:after="14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scripts/deploy_spine.sh</w:t>
      </w:r>
    </w:p>
    <w:tbl>
      <w:tblPr>
        <w:tblW w:type="pct" w:w="100%"/>
        <w:tblBorders>
          <w:top w:val="single" w:color="1C7293" w:sz="2"/>
          <w:left w:val="single" w:color="1C7293" w:sz="18"/>
          <w:bottom w:val="single" w:color="1C7293" w:sz="2"/>
          <w:right w:val="single" w:color="1C7293" w:sz="2"/>
          <w:insideH w:val="none"/>
          <w:insideV w:val="none"/>
        </w:tblBorders>
      </w:tblPr>
      <w:tblGrid>
        <w:gridCol w:w="10440"/>
      </w:tblGrid>
      <w:tr>
        <w:tc>
          <w:tcPr>
            <w:tcW w:type="dxa" w:w="10440"/>
            <w:shd w:fill="EEF3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C7293"/>
                <w:sz w:val="20"/>
                <w:szCs w:val="20"/>
              </w:rPr>
              <w:t xml:space="preserve">Run cycles serialized</w:t>
            </w:r>
          </w:p>
          <w:p>
            <w:pPr>
              <w:spacing w:after="20" w:line="258"/>
            </w:pPr>
            <w:r>
              <w:t xml:space="preserve">Do not run two spine deploys concurrently — overlapping runs collide on the policy-engine name. Deploy takes roughly three to four minutes end to end.</w:t>
            </w:r>
          </w:p>
        </w:tc>
      </w:tr>
    </w:tbl>
    <w:p>
      <w:pPr>
        <w:pStyle w:val="Heading2"/>
      </w:pPr>
      <w:r>
        <w:t xml:space="preserve">Step 3 — Prove the governance (17 checks)</w:t>
      </w:r>
    </w:p>
    <w:p>
      <w:r>
        <w:t xml:space="preserve">Mints reviewer and outsider tokens and exercises the full governed workflow live, in ENFORCE mode. Expect 17 passed / 0 failed.</w:t>
      </w:r>
    </w:p>
    <w:p>
      <w:pPr>
        <w:pStyle w:val="Code"/>
        <w:pBdr>
          <w:top w:val="single" w:color="DDE6DE" w:sz="4" w:space="3"/>
          <w:bottom w:val="single" w:color="DDE6DE" w:sz="4" w:space="3"/>
          <w:left w:val="single" w:color="0B8F72" w:sz="18" w:space="6"/>
        </w:pBdr>
        <w:shd w:fill="F0F4F1" w:val="clear"/>
        <w:spacing w:after="14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scripts/demo.sh</w:t>
      </w:r>
    </w:p>
    <w:p>
      <w:r>
        <w:t xml:space="preserve">The demo proves deny-by-default (reviewer ALLOW / outsider DENY), the mask-before-model and no-self-submit forbids (each denial names the exact Cedar policy), real PHI masking, a real Bedrock narrative through the Guardrail, the immutable WORM audit (write-once + duplicate rejection), and the human sign-off gate (separation of duties + single-use token).</w:t>
      </w:r>
    </w:p>
    <w:p>
      <w:pPr>
        <w:pStyle w:val="Heading2"/>
      </w:pPr>
      <w:r>
        <w:t xml:space="preserve">Step 4 — Deploy the Runtime agent</w:t>
      </w:r>
    </w:p>
    <w:p>
      <w:r>
        <w:t xml:space="preserve">From the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runtime/</w:t>
      </w:r>
      <w:r>
        <w:t xml:space="preserve"> directory. Create the Python 3.12 virtual environment and install the toolkit once. Use the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setup_venv.sh</w:t>
      </w:r>
      <w:r>
        <w:t xml:space="preserve"> helper — it builds the venv with the correct per-OS layout (on Windows a venv exposes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Scripts/</w:t>
      </w:r>
      <w:r>
        <w:t xml:space="preserve">, not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bin/</w:t>
      </w:r>
      <w:r>
        <w:t xml:space="preserve">) and installs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bedrock-agentcore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bedrock-agentcore-starter-toolkit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strands-agents</w:t>
      </w:r>
      <w:r>
        <w:t xml:space="preserve">,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strands-agents-tools</w:t>
      </w:r>
      <w:r>
        <w:t xml:space="preserve">: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cd runtime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bash setup_venv.sh            # py -3.12 venv + toolkit install (per-OS paths)</w:t>
      </w:r>
    </w:p>
    <w:p>
      <w:r>
        <w:t xml:space="preserve">Grant the Runtime execution role permission to read the gateway-URL parameter, configure the agent with the Cognito JWT inbound authorizer, and launch it (ARM64 build runs in CodeBuild — no local Docker needed):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_obs_setup.sh             # grants ssm:GetParameter to the runtime role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bash _configure.sh            # agentcore configure -- JWT authorizer from identity-state.env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bash _launch.sh               # agentcore launch -- CodeBuild ARM64 -&gt; Runtime</w:t>
      </w:r>
    </w:p>
    <w:p>
      <w:r>
        <w:rPr>
          <w:b/>
          <w:bCs/>
        </w:rPr>
        <w:t xml:space="preserve">Result: </w:t>
      </w:r>
      <w:r>
        <w:t xml:space="preserve">an AgentCore Runtime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pv_runtime_agent-&lt;id&gt;</w:t>
      </w:r>
      <w:r>
        <w:t xml:space="preserve"> with a Cognito JWT inbound authorizer, OpenTelemetry observability enabled, and the gateway URL discovered from SSM.</w:t>
      </w:r>
    </w:p>
    <w:p>
      <w:pPr>
        <w:pStyle w:val="Heading2"/>
      </w:pPr>
      <w:r>
        <w:t xml:space="preserve">Step 5 — Invoke and verify</w:t>
      </w:r>
    </w:p>
    <w:p>
      <w:r>
        <w:t xml:space="preserve">Invoke as a reviewer (full governed workflow) and as an outsider (access denied):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_invoke.sh reviewer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bash _invoke.sh outsider $PV_OUTSIDER_PW   # passwords via env; defaults ChangeMe-*1!</w:t>
      </w:r>
    </w:p>
    <w:p>
      <w:r>
        <w:t xml:space="preserve">Expected: the reviewer returns a workflow summary (FAERS lookup, masked narrative, INTENT audit, PENDING_APPROVAL)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tools_available</w:t>
      </w:r>
      <w:r>
        <w:t xml:space="preserve"> that does not include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finalize_submission</w:t>
      </w:r>
      <w:r>
        <w:t xml:space="preserve"> — Cedar hides the forbidden tool. The outsider returns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ACCESS DENIED</w:t>
      </w:r>
      <w:r>
        <w:t xml:space="preserve"> with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tools_available: []</w:t>
      </w:r>
      <w:r>
        <w:t xml:space="preserve">.</w:t>
      </w:r>
    </w:p>
    <w:p>
      <w:pPr>
        <w:pStyle w:val="Heading1"/>
      </w:pPr>
      <w:r>
        <w:t xml:space="preserve">5. Configuration reference</w:t>
      </w:r>
    </w:p>
    <w:tbl>
      <w:tblPr>
        <w:tblW w:type="dxa" w:w="10440"/>
        <w:tblBorders>
          <w:top w:val="single" w:color="C9D6DF" w:sz="2"/>
          <w:left w:val="none"/>
          <w:bottom w:val="single" w:color="C9D6DF" w:sz="2"/>
          <w:right w:val="none"/>
          <w:insideH w:val="single" w:color="C9D6DF" w:sz="2"/>
          <w:insideV w:val="single" w:color="E6EDF1" w:sz="2"/>
        </w:tblBorders>
      </w:tblPr>
      <w:tblGrid>
        <w:gridCol w:w="2100"/>
        <w:gridCol w:w="3540"/>
        <w:gridCol w:w="4800"/>
      </w:tblGrid>
      <w:tr>
        <w:trPr>
          <w:tblHeader/>
        </w:trPr>
        <w:tc>
          <w:tcPr>
            <w:tcW w:type="dxa" w:w="21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354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48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 / value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Region</w:t>
            </w:r>
          </w:p>
        </w:tc>
        <w:tc>
          <w:tcPr>
            <w:tcW w:type="dxa" w:w="35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AWS_REGION env / CLI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us-east-1</w:t>
            </w:r>
          </w:p>
        </w:tc>
      </w:tr>
      <w:tr>
        <w:tc>
          <w:tcPr>
            <w:tcW w:type="dxa" w:w="21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Drafting model</w:t>
            </w:r>
          </w:p>
        </w:tc>
        <w:tc>
          <w:tcPr>
            <w:tcW w:type="dxa" w:w="35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DRAFT_MODEL_ID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 env on pv-core-tools</w:t>
            </w:r>
          </w:p>
        </w:tc>
        <w:tc>
          <w:tcPr>
            <w:tcW w:type="dxa" w:w="48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us.anthropic.claude-sonnet-4-5-20250929-v1:0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Guardrail</w:t>
            </w:r>
          </w:p>
        </w:tc>
        <w:tc>
          <w:tcPr>
            <w:tcW w:type="dxa" w:w="35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pv-icsr-guardrail (created in deploy)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PII=ANONYMIZE + PROMPT_ATTACK HIGH; version DRAFT</w:t>
            </w:r>
          </w:p>
        </w:tc>
      </w:tr>
      <w:tr>
        <w:tc>
          <w:tcPr>
            <w:tcW w:type="dxa" w:w="21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Cognito users</w:t>
            </w:r>
          </w:p>
        </w:tc>
        <w:tc>
          <w:tcPr>
            <w:tcW w:type="dxa" w:w="35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deploy_identity.sh</w:t>
            </w:r>
          </w:p>
        </w:tc>
        <w:tc>
          <w:tcPr>
            <w:tcW w:type="dxa" w:w="48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reviewer / approver / outsider; passwords via PV_REVIEWER_PW / PV_APPROVER_PW / PV_OUTSIDER_PW (placeholder defaults ChangeMe-*1!)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Gateway URL</w:t>
            </w:r>
          </w:p>
        </w:tc>
        <w:tc>
          <w:tcPr>
            <w:tcW w:type="dxa" w:w="35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SSM /pv-icsr/gateway-url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published each spine deploy; read by the Runtime agent</w:t>
            </w:r>
          </w:p>
        </w:tc>
      </w:tr>
      <w:tr>
        <w:tc>
          <w:tcPr>
            <w:tcW w:type="dxa" w:w="21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Reviewer group</w:t>
            </w:r>
          </w:p>
        </w:tc>
        <w:tc>
          <w:tcPr>
            <w:tcW w:type="dxa" w:w="35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Cedar permit condition</w:t>
            </w:r>
          </w:p>
        </w:tc>
        <w:tc>
          <w:tcPr>
            <w:tcW w:type="dxa" w:w="48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cognito:groups contains pv_reviewer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Audit stores</w:t>
            </w:r>
          </w:p>
        </w:tc>
        <w:tc>
          <w:tcPr>
            <w:tcW w:type="dxa" w:w="35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deploy_spine.sh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DynamoDB pv-audit + S3 pv-audit-worm-&lt;acct&gt;-&lt;region&gt; (Object Lock GOVERNANCE 1d)</w:t>
            </w:r>
          </w:p>
        </w:tc>
      </w:tr>
    </w:tbl>
    <w:tbl>
      <w:tblPr>
        <w:tblW w:type="pct" w:w="100%"/>
        <w:tblBorders>
          <w:top w:val="single" w:color="B9791F" w:sz="2"/>
          <w:left w:val="single" w:color="B9791F" w:sz="18"/>
          <w:bottom w:val="single" w:color="B9791F" w:sz="2"/>
          <w:right w:val="single" w:color="B9791F" w:sz="2"/>
          <w:insideH w:val="none"/>
          <w:insideV w:val="none"/>
        </w:tblBorders>
      </w:tblPr>
      <w:tblGrid>
        <w:gridCol w:w="10440"/>
      </w:tblGrid>
      <w:tr>
        <w:tc>
          <w:tcPr>
            <w:tcW w:type="dxa" w:w="10440"/>
            <w:shd w:fill="FBF3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B9791F"/>
                <w:sz w:val="20"/>
                <w:szCs w:val="20"/>
              </w:rPr>
              <w:t xml:space="preserve">Change the passwords before any shared use</w:t>
            </w:r>
          </w:p>
          <w:p>
            <w:pPr>
              <w:spacing w:after="20" w:line="258"/>
            </w:pPr>
            <w:r>
              <w:t xml:space="preserve">The default test-user passwords above are for a private evaluation account only. Rotate them (or federate a real IdP) before the environment is shared. See the Maintenance Guide.</w:t>
            </w:r>
          </w:p>
        </w:tc>
      </w:tr>
    </w:tbl>
    <w:p>
      <w:pPr>
        <w:pStyle w:val="Heading1"/>
      </w:pPr>
      <w:r>
        <w:t xml:space="preserve">6. Validation checklist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onsolas" w:cs="Consolas" w:eastAsia="Consolas" w:hAnsi="Consolas"/>
          <w:color w:val="1B3A2B"/>
          <w:sz w:val="18"/>
          <w:szCs w:val="18"/>
        </w:rPr>
        <w:t xml:space="preserve">deploy_identity.sh</w:t>
      </w:r>
      <w:r>
        <w:t xml:space="preserve"> → identity-state.env written; pool visible in Cognito.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onsolas" w:cs="Consolas" w:eastAsia="Consolas" w:hAnsi="Consolas"/>
          <w:color w:val="1B3A2B"/>
          <w:sz w:val="18"/>
          <w:szCs w:val="18"/>
        </w:rPr>
        <w:t xml:space="preserve">deploy_spine.sh</w:t>
      </w:r>
      <w:r>
        <w:t xml:space="preserve"> → ends with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[deploy] DONE</w:t>
      </w:r>
      <w:r>
        <w:t xml:space="preserve"> and a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Gateway URL: … (mode ENFORCE)</w:t>
      </w:r>
      <w:r>
        <w:t xml:space="preserve"> line.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onsolas" w:cs="Consolas" w:eastAsia="Consolas" w:hAnsi="Consolas"/>
          <w:color w:val="1B3A2B"/>
          <w:sz w:val="18"/>
          <w:szCs w:val="18"/>
        </w:rPr>
        <w:t xml:space="preserve">demo.sh</w:t>
      </w:r>
      <w:r>
        <w:t xml:space="preserve"> →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17 passed, 0 failed</w:t>
      </w:r>
      <w:r>
        <w:t xml:space="preserve"> /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GOVERNANCE DEMO: PASS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SSM parameter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/pv-icsr/gateway-url</w:t>
      </w:r>
      <w:r>
        <w:t xml:space="preserve"> exists and matches the live gateway.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Runtime invoke: reviewer → workflow summary; outsider → ACCESS DENIED.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CloudWatch log group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/aws/bedrock-agentcore/runtimes/pv_runtime_agent-*-DEFAULT</w:t>
      </w:r>
      <w:r>
        <w:t xml:space="preserve"> shows per-step, identity-tagged logs.</w:t>
      </w:r>
    </w:p>
    <w:p>
      <w:pPr>
        <w:pStyle w:val="Heading1"/>
      </w:pPr>
      <w:r>
        <w:t xml:space="preserve">7. Teardown</w:t>
      </w:r>
    </w:p>
    <w:p>
      <w:r>
        <w:t xml:space="preserve">The spine tears down with zero residual (including the Object-Lock bucket, which requires an admin governance-bypass the tool role does not have). Identity is preserved by design — remove it explicitly only when finished.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scripts/destroy_spine.sh              # spine only; leaves identity + Runtime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optional, full cleanup: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bash scripts/destroy_identity.sh           # removes the Cognito pool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./.venv/Scripts/agentcore.exe destroy      # from runtime/, removes the Runtime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  (on macOS/Linux: ./.venv/bin/agentcore destroy)</w:t>
      </w:r>
    </w:p>
    <w:tbl>
      <w:tblPr>
        <w:tblW w:type="pct" w:w="100%"/>
        <w:tblBorders>
          <w:top w:val="single" w:color="1C7293" w:sz="2"/>
          <w:left w:val="single" w:color="1C7293" w:sz="18"/>
          <w:bottom w:val="single" w:color="1C7293" w:sz="2"/>
          <w:right w:val="single" w:color="1C7293" w:sz="2"/>
          <w:insideH w:val="none"/>
          <w:insideV w:val="none"/>
        </w:tblBorders>
      </w:tblPr>
      <w:tblGrid>
        <w:gridCol w:w="10440"/>
      </w:tblGrid>
      <w:tr>
        <w:tc>
          <w:tcPr>
            <w:tcW w:type="dxa" w:w="10440"/>
            <w:shd w:fill="EEF3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C7293"/>
                <w:sz w:val="20"/>
                <w:szCs w:val="20"/>
              </w:rPr>
              <w:t xml:space="preserve">Export evidence first</w:t>
            </w:r>
          </w:p>
          <w:p>
            <w:pPr>
              <w:spacing w:after="20" w:line="258"/>
            </w:pPr>
            <w:r>
              <w:t xml:space="preserve">The WORM audit ledger and bucket are deleted by 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destroy_spine.sh</w:t>
            </w:r>
            <w:r>
              <w:t xml:space="preserve">. Export any audit evidence you need to retain before tearing down. See the Maintenance Guide, §5.</w:t>
            </w:r>
          </w:p>
        </w:tc>
      </w:tr>
    </w:tbl>
    <w:p>
      <w:pPr>
        <w:pStyle w:val="Heading1"/>
      </w:pPr>
      <w:r>
        <w:t xml:space="preserve">8. Windows / Git-Bash operational notes</w:t>
      </w:r>
    </w:p>
    <w:p>
      <w:r>
        <w:t xml:space="preserve">The reference environment is Windows with Git-Bash driving the native AWS CLI. If you deploy from Windows, these matter (they are already handled inside the scripts, but explain surprising behavior):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Run scripts through Git-Bash: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cmd /c C:\PROGRA~1\Git\bin\bash.exe -l scripts/deploy_spine.sh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Path conversion: </w:t>
      </w:r>
      <w:r>
        <w:t xml:space="preserve">Git-Bash rewrites arguments that start with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/</w:t>
      </w:r>
      <w:r>
        <w:t xml:space="preserve"> (e.g. SSM names, log-group names) into Windows paths. The scripts set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MSYS_NO_PATHCONV=1</w:t>
      </w:r>
      <w:r>
        <w:t xml:space="preserve"> to prevent this.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Carriage returns: </w:t>
      </w:r>
      <w:r>
        <w:t xml:space="preserve">the CLI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--output text</w:t>
      </w:r>
      <w:r>
        <w:t xml:space="preserve"> picks up a trailing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\r</w:t>
      </w:r>
      <w:r>
        <w:t xml:space="preserve">; the scripts pipe through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tr -d '\r'</w:t>
      </w:r>
      <w:r>
        <w:t xml:space="preserve"> where it matters.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file:// paramfiles: </w:t>
      </w:r>
      <w:r>
        <w:t xml:space="preserve">the native CLI cannot resolve Git-Bash absolute paths, so the scripts keep paramfiles relative to the working directory.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AgentCore toolkit: </w:t>
      </w:r>
      <w:r>
        <w:t xml:space="preserve">export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PYTHONIOENCODING=utf-8</w:t>
      </w:r>
      <w:r>
        <w:t xml:space="preserve">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AGENTCORE_SUPPRESS_RECOMMENDATION=1</w:t>
      </w:r>
      <w:r>
        <w:t xml:space="preserve"> (already set in the helper scripts) so the rich console output does not crash under the Windows codepage.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Portable helper scripts: </w:t>
      </w:r>
      <w:r>
        <w:t xml:space="preserve">the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runtime/</w:t>
      </w:r>
      <w:r>
        <w:t xml:space="preserve"> helpers self-locate (no hardcoded paths), read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spine-state.env</w:t>
      </w:r>
      <w:r>
        <w:t xml:space="preserve"> relative to the repo, and detect the venv layout per OS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Scripts/</w:t>
      </w:r>
      <w:r>
        <w:t xml:space="preserve"> vs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bin/</w:t>
      </w:r>
      <w:r>
        <w:t xml:space="preserve">), so they run from a fresh clone on any OS. Override via env: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AWS_REGION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PV_REVIEWER_PW</w:t>
      </w:r>
      <w:r>
        <w:t xml:space="preserve">/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PV_APPROVER_PW</w:t>
      </w:r>
      <w:r>
        <w:t xml:space="preserve">/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PV_OUTSIDER_PW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PV_SPINE_STATE</w:t>
      </w:r>
      <w:r>
        <w:t xml:space="preserve">.</w:t>
      </w:r>
    </w:p>
    <w:p>
      <w:pPr>
        <w:spacing w:after="80"/>
      </w:pPr>
    </w:p>
    <w:p>
      <w:r>
        <w:rPr>
          <w:i/>
          <w:iCs/>
          <w:color w:val="6B7A8A"/>
        </w:rPr>
        <w:t xml:space="preserve">End of runbook. See the Regulatory-Adherence Guide for the control-to-requirement mapping and the Maintenance Guide for day-two operations.</w:t>
      </w:r>
    </w:p>
    <w:sectPr>
      <w:footerReference w:type="default" r:id="rId7"/>
      <w:pgSz w:w="12240" w:h="15840" w:orient="portrait"/>
      <w:pgMar w:top="1080" w:right="1100" w:bottom="108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F" w:sz="4" w:space="6"/>
      </w:pBdr>
      <w:tabs>
        <w:tab w:val="right" w:pos="10040"/>
      </w:tabs>
    </w:pPr>
    <w:r>
      <w:rPr>
        <w:color w:val="6B7A8A"/>
        <w:sz w:val="15"/>
        <w:szCs w:val="15"/>
      </w:rPr>
      <w:t xml:space="preserve">PV AgentCore · SA Deployment Runbook</w:t>
    </w:r>
    <w:r>
      <w:rPr>
        <w:sz w:val="15"/>
        <w:szCs w:val="15"/>
      </w:rPr>
      <w:t xml:space="preserve">	</w:t>
    </w:r>
    <w:r>
      <w:rPr>
        <w:color w:val="6B7A8A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mbria" w:cs="Cambria" w:eastAsia="Cambria" w:hAnsi="Cambria"/>
      <w:b/>
      <w:bCs/>
      <w:color w:val="0E2A47"/>
      <w:sz w:val="52"/>
      <w:szCs w:val="52"/>
    </w:rPr>
  </w:style>
  <w:style w:type="paragraph" w:styleId="Subtitle">
    <w:name w:val="Subtitle"/>
    <w:basedOn w:val="Normal"/>
    <w:pPr>
      <w:spacing w:after="80"/>
    </w:pPr>
    <w:rPr>
      <w:rFonts w:ascii="Calibri" w:cs="Calibri" w:eastAsia="Calibri" w:hAnsi="Calibri"/>
      <w:color w:val="1C7293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mbria" w:cs="Cambria" w:eastAsia="Cambria" w:hAnsi="Cambria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90" w:before="240"/>
      <w:outlineLvl w:val="1"/>
    </w:pPr>
    <w:rPr>
      <w:rFonts w:ascii="Cambria" w:cs="Cambria" w:eastAsia="Cambria" w:hAnsi="Cambria"/>
      <w:b/>
      <w:bCs/>
      <w:color w:val="1C7293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Calibri" w:cs="Calibri" w:eastAsia="Calibri" w:hAnsi="Calibri"/>
      <w:b/>
      <w:bCs/>
      <w:color w:val="0E2A47"/>
      <w:sz w:val="22"/>
      <w:szCs w:val="22"/>
    </w:rPr>
  </w:style>
  <w:style w:type="paragraph" w:styleId="Normal">
    <w:name w:val="Normal"/>
    <w:pPr>
      <w:spacing w:after="130" w:line="264"/>
    </w:pPr>
    <w:rPr>
      <w:rFonts w:ascii="Calibri" w:cs="Calibri" w:eastAsia="Calibri" w:hAnsi="Calibri"/>
      <w:color w:val="1A2733"/>
      <w:sz w:val="21"/>
      <w:szCs w:val="21"/>
    </w:rPr>
  </w:style>
  <w:style w:type="paragraph" w:styleId="Code">
    <w:name w:val="Code"/>
    <w:basedOn w:val="Normal"/>
    <w:pPr>
      <w:shd w:fill="F0F4F1" w:val="clear"/>
      <w:spacing w:after="20" w:line="240"/>
    </w:pPr>
    <w:rPr>
      <w:rFonts w:ascii="Consolas" w:cs="Consolas" w:eastAsia="Consolas" w:hAnsi="Consolas"/>
      <w:color w:val="1B3A2B"/>
      <w:sz w:val="17"/>
      <w:szCs w:val="17"/>
    </w:rPr>
  </w:style>
  <w:style w:type="paragraph" w:styleId="Caption">
    <w:name w:val="Caption"/>
    <w:basedOn w:val="Normal"/>
    <w:rPr>
      <w:rFonts w:ascii="Calibri" w:cs="Calibri" w:eastAsia="Calibri" w:hAnsi="Calibri"/>
      <w:i/>
      <w:iCs/>
      <w:color w:val="6B7A8A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2026-07-16T21:24:14.820Z</dcterms:created>
  <dcterms:modified xsi:type="dcterms:W3CDTF">2026-07-16T21:24:14.820Z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