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28C" w:rsidRDefault="00840C10">
      <w:r>
        <w:object w:dxaOrig="3353" w:dyaOrig="48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7.25pt;height:242.25pt" o:ole="">
            <v:imagedata r:id="rId4" o:title=""/>
          </v:shape>
          <o:OLEObject Type="Embed" ProgID="Prism10.Document" ShapeID="_x0000_i1025" DrawAspect="Content" ObjectID="_1844938928" r:id="rId5"/>
        </w:object>
      </w:r>
      <w:r w:rsidR="00C46957">
        <w:object w:dxaOrig="3468" w:dyaOrig="4872">
          <v:shape id="_x0000_i1026" type="#_x0000_t75" style="width:173.25pt;height:243.75pt" o:ole="">
            <v:imagedata r:id="rId6" o:title=""/>
          </v:shape>
          <o:OLEObject Type="Embed" ProgID="Prism10.Document" ShapeID="_x0000_i1026" DrawAspect="Content" ObjectID="_1844938929" r:id="rId7"/>
        </w:object>
      </w:r>
      <w:bookmarkStart w:id="0" w:name="_GoBack"/>
      <w:bookmarkEnd w:id="0"/>
    </w:p>
    <w:p w:rsidR="00BE2384" w:rsidRPr="0083274F" w:rsidRDefault="00BE2384" w:rsidP="00BE238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0DE">
        <w:rPr>
          <w:rFonts w:ascii="Times New Roman" w:hAnsi="Times New Roman" w:cs="Times New Roman"/>
          <w:b/>
          <w:sz w:val="24"/>
          <w:szCs w:val="24"/>
          <w:lang w:val="en-US"/>
        </w:rPr>
        <w:t>Figure 5.</w:t>
      </w:r>
      <w:r w:rsidR="008327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>Comparative MM-GBSA (ΔG</w:t>
      </w:r>
      <w:r w:rsidR="0083274F" w:rsidRPr="00D20A8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GB</w:t>
      </w:r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>) and MM-PBSA (ΔG</w:t>
      </w:r>
      <w:r w:rsidR="0083274F" w:rsidRPr="00D20A8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PB</w:t>
      </w:r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>) binding free energy profiles for protein–</w:t>
      </w:r>
      <w:proofErr w:type="spellStart"/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>heme</w:t>
      </w:r>
      <w:proofErr w:type="spellEnd"/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 xml:space="preserve"> (A) and protein–protein (B) interactions in </w:t>
      </w:r>
      <w:proofErr w:type="spellStart"/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>wtHb</w:t>
      </w:r>
      <w:proofErr w:type="spellEnd"/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>esmHb</w:t>
      </w:r>
      <w:proofErr w:type="spellEnd"/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 xml:space="preserve"> complexes. Data represent mean ± SD from three independent experiments (n = 3 per group). Statistical significance was assessed using unpaired two-tailed Student's t‑tests. Statistically significant differences between </w:t>
      </w:r>
      <w:proofErr w:type="spellStart"/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>wtHb</w:t>
      </w:r>
      <w:proofErr w:type="spellEnd"/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>esmHb</w:t>
      </w:r>
      <w:proofErr w:type="spellEnd"/>
      <w:r w:rsidR="0083274F" w:rsidRPr="0083274F">
        <w:rPr>
          <w:rFonts w:ascii="Times New Roman" w:hAnsi="Times New Roman" w:cs="Times New Roman"/>
          <w:sz w:val="24"/>
          <w:szCs w:val="24"/>
          <w:lang w:val="en-US"/>
        </w:rPr>
        <w:t xml:space="preserve"> are indicated (*p &lt; 0.05); ns = not significant.</w:t>
      </w:r>
    </w:p>
    <w:p w:rsidR="00BE2384" w:rsidRDefault="00BE2384"/>
    <w:sectPr w:rsidR="00BE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A2B"/>
    <w:rsid w:val="000A287B"/>
    <w:rsid w:val="002C1266"/>
    <w:rsid w:val="0052428C"/>
    <w:rsid w:val="00782A33"/>
    <w:rsid w:val="0083274F"/>
    <w:rsid w:val="00840C10"/>
    <w:rsid w:val="00AD27A5"/>
    <w:rsid w:val="00B82A2B"/>
    <w:rsid w:val="00BE2384"/>
    <w:rsid w:val="00C2435A"/>
    <w:rsid w:val="00C310B7"/>
    <w:rsid w:val="00C46957"/>
    <w:rsid w:val="00D20A85"/>
    <w:rsid w:val="00E5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44D8C-47CD-46A1-983C-6EB96AEA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8</cp:revision>
  <dcterms:created xsi:type="dcterms:W3CDTF">2026-07-07T08:38:00Z</dcterms:created>
  <dcterms:modified xsi:type="dcterms:W3CDTF">2026-07-07T11:14:00Z</dcterms:modified>
</cp:coreProperties>
</file>