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AC" w:rsidRPr="005F575A" w:rsidRDefault="00F76EC2" w:rsidP="006126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b/>
          <w:sz w:val="24"/>
          <w:szCs w:val="24"/>
          <w:lang w:val="en-US"/>
        </w:rPr>
        <w:t>Computational M</w:t>
      </w:r>
      <w:r w:rsidR="006126AC" w:rsidRPr="005F575A">
        <w:rPr>
          <w:rFonts w:ascii="Times New Roman" w:hAnsi="Times New Roman" w:cs="Times New Roman"/>
          <w:b/>
          <w:sz w:val="24"/>
          <w:szCs w:val="24"/>
          <w:lang w:val="en-US"/>
        </w:rPr>
        <w:t>ethods</w:t>
      </w:r>
    </w:p>
    <w:p w:rsidR="00821C58" w:rsidRPr="005F575A" w:rsidRDefault="00821C58" w:rsidP="006126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The structure-data files (SDFs) and SMILES representations for compounds with antithrombotic properties, including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quercetin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(CID: 5280343),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gallic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acid (CID: 370),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chlorogenic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acid (CID: 1794427), catechol (CID: 289),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caffeic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acid (CID: 689043),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coumaric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acid (CID: 637542), and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rosmarinic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acid (CID: 5281792), were obtained from the PubChem database. The</w:t>
      </w:r>
      <w:r w:rsidR="008E109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X-ray structure of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F6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8E1095" w:rsidRPr="005F575A">
        <w:rPr>
          <w:rFonts w:ascii="Times New Roman" w:hAnsi="Times New Roman" w:cs="Times New Roman"/>
          <w:sz w:val="24"/>
          <w:szCs w:val="24"/>
          <w:lang w:val="en-US"/>
        </w:rPr>
        <w:t>rfarin-VKOR</w:t>
      </w:r>
      <w:r w:rsidR="00EB41AB" w:rsidRPr="005F575A">
        <w:rPr>
          <w:rFonts w:ascii="Times New Roman" w:hAnsi="Times New Roman" w:cs="Times New Roman"/>
          <w:sz w:val="24"/>
          <w:szCs w:val="24"/>
          <w:lang w:val="en-US"/>
        </w:rPr>
        <w:t>-GFP fusion protein</w:t>
      </w:r>
      <w:r w:rsidR="008E109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complex 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was retrieved from the Protein Data Bank (PDB ID: 6WV3)</w:t>
      </w:r>
      <w:r w:rsidR="008E109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with the resolution 2.2 Å (Liu et al., 2021). </w:t>
      </w:r>
      <w:r w:rsidR="0097085B" w:rsidRPr="0097085B">
        <w:rPr>
          <w:rFonts w:ascii="Times New Roman" w:hAnsi="Times New Roman" w:cs="Times New Roman"/>
          <w:sz w:val="24"/>
          <w:szCs w:val="24"/>
          <w:lang w:val="en-US"/>
        </w:rPr>
        <w:t xml:space="preserve">Protein structure refinement was conducted using the Molecular Operating Environment (MOE) version 2019.0102, utilizing an enhanced refinement protocol designed to improve the </w:t>
      </w:r>
      <w:proofErr w:type="spellStart"/>
      <w:r w:rsidR="0097085B" w:rsidRPr="0097085B">
        <w:rPr>
          <w:rFonts w:ascii="Times New Roman" w:hAnsi="Times New Roman" w:cs="Times New Roman"/>
          <w:sz w:val="24"/>
          <w:szCs w:val="24"/>
          <w:lang w:val="en-US"/>
        </w:rPr>
        <w:t>stereo</w:t>
      </w:r>
      <w:r w:rsidR="0097085B">
        <w:rPr>
          <w:rFonts w:ascii="Times New Roman" w:hAnsi="Times New Roman" w:cs="Times New Roman"/>
          <w:sz w:val="24"/>
          <w:szCs w:val="24"/>
          <w:lang w:val="en-US"/>
        </w:rPr>
        <w:t>chemical</w:t>
      </w:r>
      <w:proofErr w:type="spellEnd"/>
      <w:r w:rsidR="0097085B">
        <w:rPr>
          <w:rFonts w:ascii="Times New Roman" w:hAnsi="Times New Roman" w:cs="Times New Roman"/>
          <w:sz w:val="24"/>
          <w:szCs w:val="24"/>
          <w:lang w:val="en-US"/>
        </w:rPr>
        <w:t xml:space="preserve"> quality of the protein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A049A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597A">
        <w:rPr>
          <w:rFonts w:ascii="Times New Roman" w:hAnsi="Times New Roman" w:cs="Times New Roman"/>
          <w:sz w:val="24"/>
          <w:szCs w:val="24"/>
          <w:lang w:val="en-US"/>
        </w:rPr>
        <w:t>Validated m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olecular docking</w:t>
      </w:r>
      <w:r w:rsidR="009E597A">
        <w:rPr>
          <w:rFonts w:ascii="Times New Roman" w:hAnsi="Times New Roman" w:cs="Times New Roman"/>
          <w:sz w:val="24"/>
          <w:szCs w:val="24"/>
          <w:lang w:val="en-US"/>
        </w:rPr>
        <w:t xml:space="preserve"> (re-docking)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was conducted using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AutoDock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>, adopting a rigid-flexible docking approach with the Lamarckian gen</w:t>
      </w:r>
      <w:r w:rsidR="00E7426B">
        <w:rPr>
          <w:rFonts w:ascii="Times New Roman" w:hAnsi="Times New Roman" w:cs="Times New Roman"/>
          <w:sz w:val="24"/>
          <w:szCs w:val="24"/>
          <w:lang w:val="en-US"/>
        </w:rPr>
        <w:t>etic algorithm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. Receptor and ligand preparation included assigning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Gasteiger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partial charges and identifying rotatable bonds, following establi</w:t>
      </w:r>
      <w:r w:rsidR="00556F75">
        <w:rPr>
          <w:rFonts w:ascii="Times New Roman" w:hAnsi="Times New Roman" w:cs="Times New Roman"/>
          <w:sz w:val="24"/>
          <w:szCs w:val="24"/>
          <w:lang w:val="en-US"/>
        </w:rPr>
        <w:t>shed protocols (Shityakov and Forster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, 2014; Shityakov et al., 2021). The binding site was centered on the co-crystallized ligand</w:t>
      </w:r>
      <w:r w:rsidR="00BD1CCD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with Cartesian coordinates: x</w:t>
      </w:r>
      <w:r w:rsidR="00F4443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CCD" w:rsidRPr="005F575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F4443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CCD" w:rsidRPr="005F575A">
        <w:rPr>
          <w:rFonts w:ascii="Times New Roman" w:hAnsi="Times New Roman" w:cs="Times New Roman"/>
          <w:sz w:val="24"/>
          <w:szCs w:val="24"/>
          <w:lang w:val="en-US"/>
        </w:rPr>
        <w:t>-9.83 Å, y</w:t>
      </w:r>
      <w:r w:rsidR="00F4443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CCD" w:rsidRPr="005F575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F4443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CCD" w:rsidRPr="005F575A">
        <w:rPr>
          <w:rFonts w:ascii="Times New Roman" w:hAnsi="Times New Roman" w:cs="Times New Roman"/>
          <w:sz w:val="24"/>
          <w:szCs w:val="24"/>
          <w:lang w:val="en-US"/>
        </w:rPr>
        <w:t>26.82 Å, z</w:t>
      </w:r>
      <w:r w:rsidR="00F4443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CCD" w:rsidRPr="005F575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F4443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CCD" w:rsidRPr="005F575A">
        <w:rPr>
          <w:rFonts w:ascii="Times New Roman" w:hAnsi="Times New Roman" w:cs="Times New Roman"/>
          <w:sz w:val="24"/>
          <w:szCs w:val="24"/>
          <w:lang w:val="en-US"/>
        </w:rPr>
        <w:t>55.76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Å, and</w:t>
      </w:r>
      <w:r w:rsidR="000A4E66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 grid box size of 60</w:t>
      </w:r>
      <w:r w:rsidR="00F4443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E66" w:rsidRPr="005F575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4443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E66" w:rsidRPr="005F575A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F4443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E66" w:rsidRPr="005F575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4443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E66" w:rsidRPr="005F575A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E7426B">
        <w:rPr>
          <w:rFonts w:ascii="Times New Roman" w:hAnsi="Times New Roman" w:cs="Times New Roman"/>
          <w:sz w:val="24"/>
          <w:szCs w:val="24"/>
          <w:lang w:val="en-US"/>
        </w:rPr>
        <w:t xml:space="preserve"> Å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. Structure-based (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57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) similarity scores were calculated using SMILES strings with the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RDKit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package. Descriptor-based (T</w:t>
      </w:r>
      <w:r w:rsidRPr="005F57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) similarity scores utilized Lipinski's rule descriptors (molecular weight [MW],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logP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, hydrogen bond donors [HBD], </w:t>
      </w:r>
      <w:r w:rsidR="005F14D5" w:rsidRPr="005F575A">
        <w:rPr>
          <w:rFonts w:ascii="Times New Roman" w:hAnsi="Times New Roman" w:cs="Times New Roman"/>
          <w:sz w:val="24"/>
          <w:szCs w:val="24"/>
          <w:lang w:val="en-US"/>
        </w:rPr>
        <w:t>hydrogen bond acceptors [</w:t>
      </w:r>
      <w:r w:rsidR="00711557" w:rsidRPr="005F575A">
        <w:rPr>
          <w:rFonts w:ascii="Times New Roman" w:hAnsi="Times New Roman" w:cs="Times New Roman"/>
          <w:sz w:val="24"/>
          <w:szCs w:val="24"/>
          <w:lang w:val="en-US"/>
        </w:rPr>
        <w:t>HBA</w:t>
      </w:r>
      <w:r w:rsidR="005F14D5" w:rsidRPr="005F575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711557" w:rsidRPr="005F57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F14D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and aromatic rings [AR]) alongside Gibbs free energy (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ΔG</w:t>
      </w:r>
      <w:r w:rsidRPr="005F57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bind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>) values, as defined by:</w:t>
      </w:r>
    </w:p>
    <w:p w:rsidR="00821C58" w:rsidRPr="005F575A" w:rsidRDefault="00821C58" w:rsidP="00821C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eq. 1</m:t>
              </m:r>
            </m:e>
          </m:d>
        </m:oMath>
      </m:oMathPara>
    </w:p>
    <w:p w:rsidR="00821C58" w:rsidRPr="005F575A" w:rsidRDefault="00EE4267" w:rsidP="00821C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5F575A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DB3684" w:rsidRPr="005F575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DB3684" w:rsidRPr="005F575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21C5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represent descriptor values for molecules A and B. To address scale disparities (e.g., MW in hundreds, </w:t>
      </w:r>
      <w:proofErr w:type="spellStart"/>
      <w:r w:rsidR="00821C58" w:rsidRPr="005F575A">
        <w:rPr>
          <w:rFonts w:ascii="Times New Roman" w:hAnsi="Times New Roman" w:cs="Times New Roman"/>
          <w:sz w:val="24"/>
          <w:szCs w:val="24"/>
          <w:lang w:val="en-US"/>
        </w:rPr>
        <w:t>logP</w:t>
      </w:r>
      <w:proofErr w:type="spellEnd"/>
      <w:r w:rsidR="00821C5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in small values, ΔG negative), descriptors were normalized to a [0,</w:t>
      </w:r>
      <w:r w:rsidR="00CF5FBF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1C58" w:rsidRPr="005F575A">
        <w:rPr>
          <w:rFonts w:ascii="Times New Roman" w:hAnsi="Times New Roman" w:cs="Times New Roman"/>
          <w:sz w:val="24"/>
          <w:szCs w:val="24"/>
          <w:lang w:val="en-US"/>
        </w:rPr>
        <w:t>1] range using:</w:t>
      </w:r>
    </w:p>
    <w:p w:rsidR="00887A05" w:rsidRPr="005F575A" w:rsidRDefault="006C6353" w:rsidP="00887A0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norm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(eq.2)</m:t>
          </m:r>
        </m:oMath>
      </m:oMathPara>
    </w:p>
    <w:p w:rsidR="00821C58" w:rsidRPr="005F575A" w:rsidRDefault="00821C58" w:rsidP="00821C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Molecular visualizations were generated using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PyMOL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, and data plots were created with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GraphPad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Prism version 10.0 for e</w:t>
      </w:r>
      <w:r w:rsidR="00DB5C5A">
        <w:rPr>
          <w:rFonts w:ascii="Times New Roman" w:hAnsi="Times New Roman" w:cs="Times New Roman"/>
          <w:sz w:val="24"/>
          <w:szCs w:val="24"/>
          <w:lang w:val="en-US"/>
        </w:rPr>
        <w:t>nhanced clarity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6583" w:rsidRPr="005F575A" w:rsidRDefault="00D36583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26B03" w:rsidRPr="005F575A" w:rsidRDefault="007A049A" w:rsidP="00A26B0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  <w:r w:rsidR="00F76EC2" w:rsidRPr="005F57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D</w:t>
      </w:r>
      <w:r w:rsidRPr="005F575A">
        <w:rPr>
          <w:rFonts w:ascii="Times New Roman" w:hAnsi="Times New Roman" w:cs="Times New Roman"/>
          <w:b/>
          <w:sz w:val="24"/>
          <w:szCs w:val="24"/>
          <w:lang w:val="en-US"/>
        </w:rPr>
        <w:t>iscussion</w:t>
      </w:r>
    </w:p>
    <w:p w:rsidR="009E597A" w:rsidRPr="009E597A" w:rsidRDefault="009E597A" w:rsidP="009E59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 identify</w:t>
      </w:r>
      <w:r w:rsidRPr="009E5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active compounds in Cannabis </w:t>
      </w:r>
      <w:proofErr w:type="spellStart"/>
      <w:r w:rsidRPr="009E597A">
        <w:rPr>
          <w:rFonts w:ascii="Times New Roman" w:eastAsia="Times New Roman" w:hAnsi="Times New Roman" w:cs="Times New Roman"/>
          <w:sz w:val="24"/>
          <w:szCs w:val="24"/>
          <w:lang w:eastAsia="en-GB"/>
        </w:rPr>
        <w:t>sativa</w:t>
      </w:r>
      <w:proofErr w:type="spellEnd"/>
      <w:r w:rsidRPr="009E5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seeds (CSS) contributing to the observed anticoagulant activity (Table 5),</w:t>
      </w:r>
      <w:r w:rsidR="00D338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performed re-docking analysi</w:t>
      </w:r>
      <w:r w:rsidRPr="009E597A">
        <w:rPr>
          <w:rFonts w:ascii="Times New Roman" w:eastAsia="Times New Roman" w:hAnsi="Times New Roman" w:cs="Times New Roman"/>
          <w:sz w:val="24"/>
          <w:szCs w:val="24"/>
          <w:lang w:eastAsia="en-GB"/>
        </w:rPr>
        <w:t>s, achieving an RMSD of less than 2.0 Å bet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ween the co-crystallized ligand and its</w:t>
      </w:r>
      <w:r w:rsidRPr="009E5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theoretical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pose</w:t>
      </w:r>
      <w:r w:rsidRPr="009E5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within the warfarin-VKOR-GFP complex (Figure 8A).</w:t>
      </w:r>
    </w:p>
    <w:p w:rsidR="00192DA7" w:rsidRDefault="00192DA7" w:rsidP="00CA04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0272" w:rsidRPr="005F575A" w:rsidRDefault="006C6353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5F575A">
        <w:rPr>
          <w:rFonts w:ascii="Times New Roman" w:hAnsi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12CA9" wp14:editId="71EB13CD">
                <wp:simplePos x="0" y="0"/>
                <wp:positionH relativeFrom="leftMargin">
                  <wp:posOffset>5167721</wp:posOffset>
                </wp:positionH>
                <wp:positionV relativeFrom="paragraph">
                  <wp:posOffset>146050</wp:posOffset>
                </wp:positionV>
                <wp:extent cx="314325" cy="3714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BF8" w:rsidRPr="00631BF8" w:rsidRDefault="00631BF8" w:rsidP="00631BF8">
                            <w:pP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31BF8"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12CA9" id="Rectangle 2" o:spid="_x0000_s1026" style="position:absolute;left:0;text-align:left;margin-left:406.9pt;margin-top:11.5pt;width:24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" filled="f" stroked="f" strokeweight="1pt">
                <v:path arrowok="t"/>
                <v:textbox>
                  <w:txbxContent>
                    <w:p w:rsidR="00631BF8" w:rsidRPr="00631BF8" w:rsidRDefault="00631BF8" w:rsidP="00631BF8">
                      <w:pP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</w:pPr>
                      <w:r w:rsidRPr="00631BF8"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1.6pt;margin-top:19.75pt;width:248.8pt;height:233.15pt;z-index:251660288;mso-position-horizontal-relative:text;mso-position-vertical-relative:text">
            <v:imagedata r:id="rId5" o:title=""/>
          </v:shape>
          <o:OLEObject Type="Embed" ProgID="Prism10.Document" ShapeID="_x0000_s1027" DrawAspect="Content" ObjectID="_1810816756" r:id="rId6"/>
        </w:object>
      </w:r>
      <w:r w:rsidR="007466BE" w:rsidRPr="005F575A"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8F911" wp14:editId="7D27F576">
                <wp:simplePos x="0" y="0"/>
                <wp:positionH relativeFrom="leftMargin">
                  <wp:posOffset>1066800</wp:posOffset>
                </wp:positionH>
                <wp:positionV relativeFrom="paragraph">
                  <wp:posOffset>143929</wp:posOffset>
                </wp:positionV>
                <wp:extent cx="314325" cy="37147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31BF8" w:rsidRPr="00631BF8" w:rsidRDefault="00631BF8" w:rsidP="00631BF8">
                            <w:pP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8F911" id="Rectangle 16" o:spid="_x0000_s1027" style="position:absolute;left:0;text-align:left;margin-left:84pt;margin-top:11.35pt;width:24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" filled="f" stroked="f" strokeweight="1pt">
                <v:path arrowok="t"/>
                <v:textbox>
                  <w:txbxContent>
                    <w:p w:rsidR="00631BF8" w:rsidRPr="00631BF8" w:rsidRDefault="00631BF8" w:rsidP="00631BF8">
                      <w:pP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0272" w:rsidRPr="005F575A" w:rsidRDefault="00690F9D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6DD321D9" wp14:editId="57C672BF">
            <wp:simplePos x="0" y="0"/>
            <wp:positionH relativeFrom="margin">
              <wp:posOffset>-25923</wp:posOffset>
            </wp:positionH>
            <wp:positionV relativeFrom="paragraph">
              <wp:posOffset>231775</wp:posOffset>
            </wp:positionV>
            <wp:extent cx="3309620" cy="2332990"/>
            <wp:effectExtent l="0" t="0" r="5080" b="0"/>
            <wp:wrapNone/>
            <wp:docPr id="4" name="Picture 4" descr="C:\Users\PC1\AppData\Local\Microsoft\Windows\INetCache\Content.Word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1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0" r="16487"/>
                    <a:stretch/>
                  </pic:blipFill>
                  <pic:spPr bwMode="auto">
                    <a:xfrm>
                      <a:off x="0" y="0"/>
                      <a:ext cx="330962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272" w:rsidRPr="005F575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5F575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5F575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5F575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5F575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5F575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5F575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5F575A" w:rsidRDefault="000F0272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1094" w:rsidRPr="005F575A" w:rsidRDefault="008D1094" w:rsidP="00CA0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507B" w:rsidRPr="005F575A" w:rsidRDefault="005214E7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8</w:t>
      </w:r>
      <w:r w:rsidR="00CA04B3" w:rsidRPr="005F575A">
        <w:rPr>
          <w:rFonts w:ascii="Times New Roman" w:hAnsi="Times New Roman" w:cs="Times New Roman"/>
          <w:sz w:val="24"/>
          <w:szCs w:val="24"/>
          <w:lang w:val="en-US"/>
        </w:rPr>
        <w:t>: Validate</w:t>
      </w:r>
      <w:r w:rsidR="009E597A">
        <w:rPr>
          <w:rFonts w:ascii="Times New Roman" w:hAnsi="Times New Roman" w:cs="Times New Roman"/>
          <w:sz w:val="24"/>
          <w:szCs w:val="24"/>
          <w:lang w:val="en-US"/>
        </w:rPr>
        <w:t>d molecular docking</w:t>
      </w:r>
      <w:r w:rsidR="00CA04B3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of the warfarin-VKOR complex,</w:t>
      </w:r>
      <w:r w:rsidR="00D338D8">
        <w:rPr>
          <w:rFonts w:ascii="Times New Roman" w:hAnsi="Times New Roman" w:cs="Times New Roman"/>
          <w:sz w:val="24"/>
          <w:szCs w:val="24"/>
          <w:lang w:val="en-US"/>
        </w:rPr>
        <w:t xml:space="preserve"> where the </w:t>
      </w:r>
      <w:r w:rsidR="00412671">
        <w:rPr>
          <w:rFonts w:ascii="Times New Roman" w:hAnsi="Times New Roman" w:cs="Times New Roman"/>
          <w:sz w:val="24"/>
          <w:szCs w:val="24"/>
          <w:lang w:val="en-US"/>
        </w:rPr>
        <w:t xml:space="preserve">experimental </w:t>
      </w:r>
      <w:r w:rsidR="00CB1790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and theoretical </w:t>
      </w:r>
      <w:r w:rsidR="00E35DB8">
        <w:rPr>
          <w:rFonts w:ascii="Times New Roman" w:hAnsi="Times New Roman" w:cs="Times New Roman"/>
          <w:sz w:val="24"/>
          <w:szCs w:val="24"/>
          <w:lang w:val="en-US"/>
        </w:rPr>
        <w:t>poses</w:t>
      </w:r>
      <w:r w:rsidR="00D338D8">
        <w:rPr>
          <w:rFonts w:ascii="Times New Roman" w:hAnsi="Times New Roman" w:cs="Times New Roman"/>
          <w:sz w:val="24"/>
          <w:szCs w:val="24"/>
          <w:lang w:val="en-US"/>
        </w:rPr>
        <w:t xml:space="preserve"> of warfarin</w:t>
      </w:r>
      <w:r w:rsidR="00412671">
        <w:rPr>
          <w:rFonts w:ascii="Times New Roman" w:hAnsi="Times New Roman" w:cs="Times New Roman"/>
          <w:sz w:val="24"/>
          <w:szCs w:val="24"/>
          <w:lang w:val="en-US"/>
        </w:rPr>
        <w:t xml:space="preserve"> are colored in blue and red, respectively</w:t>
      </w:r>
      <w:r w:rsidR="00E35DB8">
        <w:rPr>
          <w:rFonts w:ascii="Times New Roman" w:hAnsi="Times New Roman" w:cs="Times New Roman"/>
          <w:sz w:val="24"/>
          <w:szCs w:val="24"/>
          <w:lang w:val="en-US"/>
        </w:rPr>
        <w:t xml:space="preserve">. The protein structure depicted as cartoon model and </w:t>
      </w:r>
      <w:proofErr w:type="spellStart"/>
      <w:r w:rsidR="00E35DB8">
        <w:rPr>
          <w:rFonts w:ascii="Times New Roman" w:hAnsi="Times New Roman" w:cs="Times New Roman"/>
          <w:sz w:val="24"/>
          <w:szCs w:val="24"/>
          <w:lang w:val="en-US"/>
        </w:rPr>
        <w:t>quercetin</w:t>
      </w:r>
      <w:proofErr w:type="spellEnd"/>
      <w:r w:rsidR="00E35DB8">
        <w:rPr>
          <w:rFonts w:ascii="Times New Roman" w:hAnsi="Times New Roman" w:cs="Times New Roman"/>
          <w:sz w:val="24"/>
          <w:szCs w:val="24"/>
          <w:lang w:val="en-US"/>
        </w:rPr>
        <w:t xml:space="preserve"> molecule is colored in yellow (A).</w:t>
      </w:r>
      <w:r w:rsidR="00CA25E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CA04B3" w:rsidRPr="005F575A">
        <w:rPr>
          <w:rFonts w:ascii="Times New Roman" w:hAnsi="Times New Roman" w:cs="Times New Roman"/>
          <w:sz w:val="24"/>
          <w:szCs w:val="24"/>
          <w:lang w:val="en-US"/>
        </w:rPr>
        <w:t>tructure-based (</w:t>
      </w:r>
      <w:proofErr w:type="spellStart"/>
      <w:r w:rsidR="00CA04B3" w:rsidRPr="005F57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A04B3" w:rsidRPr="005F57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proofErr w:type="spellEnd"/>
      <w:r w:rsidR="00CA04B3" w:rsidRPr="005F575A">
        <w:rPr>
          <w:rFonts w:ascii="Times New Roman" w:hAnsi="Times New Roman" w:cs="Times New Roman"/>
          <w:sz w:val="24"/>
          <w:szCs w:val="24"/>
          <w:lang w:val="en-US"/>
        </w:rPr>
        <w:t>) and descriptor-based (T</w:t>
      </w:r>
      <w:r w:rsidR="00CA04B3" w:rsidRPr="005F57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</w:t>
      </w:r>
      <w:r w:rsidR="00CA04B3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CA04B3" w:rsidRPr="005F575A">
        <w:rPr>
          <w:rFonts w:ascii="Times New Roman" w:hAnsi="Times New Roman" w:cs="Times New Roman"/>
          <w:sz w:val="24"/>
          <w:szCs w:val="24"/>
          <w:lang w:val="en-US"/>
        </w:rPr>
        <w:t>Tanimoto</w:t>
      </w:r>
      <w:proofErr w:type="spellEnd"/>
      <w:r w:rsidR="00CA04B3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similarity functions</w:t>
      </w:r>
      <w:r w:rsidR="00CA25E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556F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A25E8" w:rsidRPr="005F575A">
        <w:rPr>
          <w:rFonts w:ascii="Times New Roman" w:hAnsi="Times New Roman" w:cs="Times New Roman"/>
          <w:sz w:val="24"/>
          <w:szCs w:val="24"/>
          <w:lang w:val="en-US"/>
        </w:rPr>
        <w:t>Cannabis sativa compounds</w:t>
      </w:r>
      <w:r w:rsidR="0090709D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  <w:r w:rsidR="00CA04B3" w:rsidRPr="005F57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9227F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The thresholds</w:t>
      </w:r>
      <w:r w:rsidR="00492D8F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(0.3 and 0.7)</w:t>
      </w:r>
      <w:r w:rsidR="00D9227F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are depicted as dotted lines. </w:t>
      </w:r>
    </w:p>
    <w:p w:rsidR="009E4650" w:rsidRPr="005F575A" w:rsidRDefault="009E4650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284F" w:rsidRPr="005F575A" w:rsidRDefault="000B284F" w:rsidP="00364C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As a result,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osmarinic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acid (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ΔG</w:t>
      </w:r>
      <w:r w:rsidR="00383225" w:rsidRPr="005F57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bind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= -10.91 kcal/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chlorogenic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acid (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ΔG</w:t>
      </w:r>
      <w:r w:rsidR="00383225" w:rsidRPr="005F57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bind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= -11.6 kcal/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), and 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quercetin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ΔG</w:t>
      </w:r>
      <w:r w:rsidR="00383225" w:rsidRPr="005F57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bind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= -10.77 kcal/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) exhibited higher binding affinities to VKOR than warfarin (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ΔG</w:t>
      </w:r>
      <w:r w:rsidR="00383225" w:rsidRPr="005F57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bind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= -10.11 kcal/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>), suggesting their possible</w:t>
      </w:r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contribution to the prolonged APTT observed in </w:t>
      </w:r>
      <w:r w:rsidR="00383225" w:rsidRPr="005F575A">
        <w:rPr>
          <w:rFonts w:ascii="Times New Roman" w:hAnsi="Times New Roman" w:cs="Times New Roman"/>
          <w:i/>
          <w:sz w:val="24"/>
          <w:szCs w:val="24"/>
          <w:lang w:val="en-US"/>
        </w:rPr>
        <w:t>ex vivo</w:t>
      </w:r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studies. However, no experimental evidence in the literature confirms direct interactions between 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="004E489D" w:rsidRPr="005F575A">
        <w:rPr>
          <w:rFonts w:ascii="Times New Roman" w:hAnsi="Times New Roman" w:cs="Times New Roman"/>
          <w:sz w:val="24"/>
          <w:szCs w:val="24"/>
          <w:lang w:val="en-US"/>
        </w:rPr>
        <w:t>yphenolic</w:t>
      </w:r>
      <w:proofErr w:type="spellEnd"/>
      <w:r w:rsidR="004E489D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compounds and VKOR that contribute to</w:t>
      </w:r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anticoagulant effects. For instance, 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liquiritigenin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, a polyphenol from 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liquorice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, modulates VKORC1 to inhibit </w:t>
      </w:r>
      <w:proofErr w:type="spellStart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ferroptosis</w:t>
      </w:r>
      <w:proofErr w:type="spellEnd"/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in acute kidney injury, not directly affecting coagulation (</w:t>
      </w:r>
      <w:proofErr w:type="spellStart"/>
      <w:r w:rsidR="00AE6D30" w:rsidRPr="005F575A">
        <w:rPr>
          <w:rFonts w:ascii="Times New Roman" w:hAnsi="Times New Roman" w:cs="Times New Roman"/>
          <w:sz w:val="24"/>
          <w:szCs w:val="24"/>
          <w:lang w:val="en-US"/>
        </w:rPr>
        <w:t>Guo</w:t>
      </w:r>
      <w:proofErr w:type="spellEnd"/>
      <w:r w:rsidR="00AE6D30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et al., 2024</w:t>
      </w:r>
      <w:r w:rsidR="00383225" w:rsidRPr="005F575A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364CD8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1557" w:rsidRPr="005F575A" w:rsidRDefault="00364CD8" w:rsidP="00364C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To enhance the specificity and selectivity of docking results, we employed a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chemomolecular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modeling approach integrating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chemoin</w:t>
      </w:r>
      <w:r w:rsidR="000B284F" w:rsidRPr="005F575A">
        <w:rPr>
          <w:rFonts w:ascii="Times New Roman" w:hAnsi="Times New Roman" w:cs="Times New Roman"/>
          <w:sz w:val="24"/>
          <w:szCs w:val="24"/>
          <w:lang w:val="en-US"/>
        </w:rPr>
        <w:t>formatics</w:t>
      </w:r>
      <w:proofErr w:type="spellEnd"/>
      <w:r w:rsidR="000B284F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and molecular docking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11557" w:rsidRPr="005F575A">
        <w:rPr>
          <w:rFonts w:ascii="Times New Roman" w:hAnsi="Times New Roman" w:cs="Times New Roman"/>
          <w:sz w:val="24"/>
          <w:szCs w:val="24"/>
          <w:lang w:val="en-US"/>
        </w:rPr>
        <w:t>The 4-hydroxycoumarin moiety was used as a reference for structural similarity ca</w:t>
      </w:r>
      <w:r w:rsidR="00CD3233">
        <w:rPr>
          <w:rFonts w:ascii="Times New Roman" w:hAnsi="Times New Roman" w:cs="Times New Roman"/>
          <w:sz w:val="24"/>
          <w:szCs w:val="24"/>
          <w:lang w:val="en-US"/>
        </w:rPr>
        <w:t>lculations because this molecular component</w:t>
      </w:r>
      <w:r w:rsidR="00711557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is a key part of the warfarin molecule responsible for its bioactivity (</w:t>
      </w:r>
      <w:r w:rsidR="001A5261" w:rsidRPr="005F575A">
        <w:rPr>
          <w:rFonts w:ascii="Times New Roman" w:hAnsi="Times New Roman" w:cs="Times New Roman"/>
          <w:sz w:val="24"/>
          <w:szCs w:val="24"/>
          <w:lang w:val="en-US"/>
        </w:rPr>
        <w:t>Liu et al., 2021</w:t>
      </w:r>
      <w:r w:rsidR="00711557" w:rsidRPr="005F575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D0510B" w:rsidRPr="00D0510B" w:rsidRDefault="00364CD8" w:rsidP="00364C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75A">
        <w:rPr>
          <w:rFonts w:ascii="Times New Roman" w:hAnsi="Times New Roman" w:cs="Times New Roman"/>
          <w:sz w:val="24"/>
          <w:szCs w:val="24"/>
          <w:lang w:val="en-US"/>
        </w:rPr>
        <w:t>Structure-based (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57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>) analysis usin</w:t>
      </w:r>
      <w:r w:rsidR="005F575A">
        <w:rPr>
          <w:rFonts w:ascii="Times New Roman" w:hAnsi="Times New Roman" w:cs="Times New Roman"/>
          <w:sz w:val="24"/>
          <w:szCs w:val="24"/>
          <w:lang w:val="en-US"/>
        </w:rPr>
        <w:t>g the 4-hydroxycoumarin substructure</w:t>
      </w:r>
      <w:r w:rsidR="00AA410B">
        <w:rPr>
          <w:rFonts w:ascii="Times New Roman" w:hAnsi="Times New Roman" w:cs="Times New Roman"/>
          <w:sz w:val="24"/>
          <w:szCs w:val="24"/>
          <w:lang w:val="en-US"/>
        </w:rPr>
        <w:t xml:space="preserve"> revealed the same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structural s</w:t>
      </w:r>
      <w:r w:rsidR="00EB41AB" w:rsidRPr="005F575A">
        <w:rPr>
          <w:rFonts w:ascii="Times New Roman" w:hAnsi="Times New Roman" w:cs="Times New Roman"/>
          <w:sz w:val="24"/>
          <w:szCs w:val="24"/>
          <w:lang w:val="en-US"/>
        </w:rPr>
        <w:t>imilarity of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warfarin and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quercetin</w:t>
      </w:r>
      <w:proofErr w:type="spellEnd"/>
      <w:r w:rsidR="00D37D82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to this molecular fragment</w:t>
      </w:r>
      <w:r w:rsidR="005214E7">
        <w:rPr>
          <w:rFonts w:ascii="Times New Roman" w:hAnsi="Times New Roman" w:cs="Times New Roman"/>
          <w:sz w:val="24"/>
          <w:szCs w:val="24"/>
          <w:lang w:val="en-US"/>
        </w:rPr>
        <w:t xml:space="preserve"> (Figure 8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B). Conversely, </w:t>
      </w:r>
      <w:r w:rsidRPr="00D0510B">
        <w:rPr>
          <w:rFonts w:ascii="Times New Roman" w:hAnsi="Times New Roman" w:cs="Times New Roman"/>
          <w:sz w:val="24"/>
          <w:szCs w:val="24"/>
          <w:lang w:val="en-US"/>
        </w:rPr>
        <w:t>descriptor-based (T</w:t>
      </w:r>
      <w:r w:rsidRPr="00D051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</w:t>
      </w:r>
      <w:r w:rsidRPr="00D0510B">
        <w:rPr>
          <w:rFonts w:ascii="Times New Roman" w:hAnsi="Times New Roman" w:cs="Times New Roman"/>
          <w:sz w:val="24"/>
          <w:szCs w:val="24"/>
          <w:lang w:val="en-US"/>
        </w:rPr>
        <w:t>) analysis, incorporating molecul</w:t>
      </w:r>
      <w:r w:rsidR="00942BF7"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ar properties </w:t>
      </w:r>
      <w:r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and binding </w:t>
      </w:r>
      <w:r w:rsidR="0015506E" w:rsidRPr="00D0510B">
        <w:rPr>
          <w:rFonts w:ascii="Times New Roman" w:hAnsi="Times New Roman" w:cs="Times New Roman"/>
          <w:sz w:val="24"/>
          <w:szCs w:val="24"/>
          <w:lang w:val="en-US"/>
        </w:rPr>
        <w:t>affinities</w:t>
      </w:r>
      <w:r w:rsidR="00942BF7"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 (Table</w:t>
      </w:r>
      <w:r w:rsidR="005214E7"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  <w:r w:rsidR="00942BF7" w:rsidRPr="00D051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A149C"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, confirmed that </w:t>
      </w:r>
      <w:proofErr w:type="spellStart"/>
      <w:r w:rsidRPr="00D0510B">
        <w:rPr>
          <w:rFonts w:ascii="Times New Roman" w:hAnsi="Times New Roman" w:cs="Times New Roman"/>
          <w:sz w:val="24"/>
          <w:szCs w:val="24"/>
          <w:lang w:val="en-US"/>
        </w:rPr>
        <w:t>quercetin</w:t>
      </w:r>
      <w:proofErr w:type="spellEnd"/>
      <w:r w:rsidR="007A149C"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 exhibit</w:t>
      </w:r>
      <w:r w:rsidR="009C3CF9" w:rsidRPr="00D0510B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 the highest similarity</w:t>
      </w:r>
      <w:r w:rsidR="006B4B74"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 (T</w:t>
      </w:r>
      <w:r w:rsidR="006B4B74" w:rsidRPr="00D051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</w:t>
      </w:r>
      <w:r w:rsidR="006B4B74"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 = 0.71)</w:t>
      </w:r>
      <w:r w:rsidR="007A149C"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 to warfarin</w:t>
      </w:r>
      <w:r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, slightly exceeding the established similarity (T </w:t>
      </w:r>
      <w:r w:rsidR="0051641B" w:rsidRPr="00D0510B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 0.7) threshold (Mellor et </w:t>
      </w:r>
      <w:r w:rsidR="0031307C" w:rsidRPr="00D051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510B">
        <w:rPr>
          <w:rFonts w:ascii="Times New Roman" w:hAnsi="Times New Roman" w:cs="Times New Roman"/>
          <w:sz w:val="24"/>
          <w:szCs w:val="24"/>
          <w:lang w:val="en-US"/>
        </w:rPr>
        <w:t>l., 2019</w:t>
      </w:r>
      <w:r w:rsidR="0051641B"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51641B" w:rsidRPr="00D0510B">
        <w:rPr>
          <w:rFonts w:ascii="Times New Roman" w:hAnsi="Times New Roman" w:cs="Times New Roman"/>
          <w:sz w:val="24"/>
          <w:szCs w:val="24"/>
          <w:lang w:val="en-US"/>
        </w:rPr>
        <w:t>Kleandrova</w:t>
      </w:r>
      <w:proofErr w:type="spellEnd"/>
      <w:r w:rsidR="0051641B"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 et al., 2021</w:t>
      </w:r>
      <w:r w:rsidRPr="00D0510B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473C5E" w:rsidRPr="00D05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510B" w:rsidRPr="00D0510B">
        <w:rPr>
          <w:rFonts w:ascii="Times New Roman" w:hAnsi="Times New Roman" w:cs="Times New Roman"/>
          <w:sz w:val="24"/>
          <w:szCs w:val="24"/>
        </w:rPr>
        <w:t xml:space="preserve">Overall, these findings suggest that </w:t>
      </w:r>
      <w:proofErr w:type="spellStart"/>
      <w:r w:rsidR="00D0510B" w:rsidRPr="00D0510B">
        <w:rPr>
          <w:rFonts w:ascii="Times New Roman" w:hAnsi="Times New Roman" w:cs="Times New Roman"/>
          <w:sz w:val="24"/>
          <w:szCs w:val="24"/>
        </w:rPr>
        <w:t>quercetin</w:t>
      </w:r>
      <w:proofErr w:type="spellEnd"/>
      <w:r w:rsidR="00D0510B" w:rsidRPr="00D0510B">
        <w:rPr>
          <w:rFonts w:ascii="Times New Roman" w:hAnsi="Times New Roman" w:cs="Times New Roman"/>
          <w:sz w:val="24"/>
          <w:szCs w:val="24"/>
        </w:rPr>
        <w:t xml:space="preserve"> may exhibit predicted structural and </w:t>
      </w:r>
      <w:r w:rsidR="00D0510B" w:rsidRPr="00D0510B">
        <w:rPr>
          <w:rFonts w:ascii="Times New Roman" w:hAnsi="Times New Roman" w:cs="Times New Roman"/>
          <w:sz w:val="24"/>
          <w:szCs w:val="24"/>
        </w:rPr>
        <w:lastRenderedPageBreak/>
        <w:t>functional similarities with warfarin, underscoring the need for further experimental validation to confirm its potential anticoagulant role</w:t>
      </w:r>
      <w:r w:rsidR="0002394F">
        <w:rPr>
          <w:rFonts w:ascii="Times New Roman" w:hAnsi="Times New Roman" w:cs="Times New Roman"/>
          <w:sz w:val="24"/>
          <w:szCs w:val="24"/>
        </w:rPr>
        <w:t>.</w:t>
      </w:r>
    </w:p>
    <w:p w:rsidR="00383225" w:rsidRPr="005F575A" w:rsidRDefault="00383225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0272" w:rsidRPr="005F575A" w:rsidRDefault="005214E7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7</w:t>
      </w:r>
      <w:r w:rsidR="008E1B41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66589" w:rsidRPr="005F575A">
        <w:rPr>
          <w:rFonts w:ascii="Times New Roman" w:hAnsi="Times New Roman" w:cs="Times New Roman"/>
          <w:sz w:val="24"/>
          <w:szCs w:val="24"/>
          <w:lang w:val="en-US"/>
        </w:rPr>
        <w:t>Molecular properties</w:t>
      </w:r>
      <w:r w:rsidR="0092765F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and binding affinities (</w:t>
      </w:r>
      <w:proofErr w:type="spellStart"/>
      <w:r w:rsidR="0092765F" w:rsidRPr="005F575A">
        <w:rPr>
          <w:rFonts w:ascii="Times New Roman" w:hAnsi="Times New Roman" w:cs="Times New Roman"/>
          <w:sz w:val="24"/>
          <w:szCs w:val="24"/>
          <w:lang w:val="en-US"/>
        </w:rPr>
        <w:t>ΔG</w:t>
      </w:r>
      <w:r w:rsidR="0092765F" w:rsidRPr="005F57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bind</w:t>
      </w:r>
      <w:proofErr w:type="spellEnd"/>
      <w:r w:rsidR="00813C19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in kcal/</w:t>
      </w:r>
      <w:proofErr w:type="spellStart"/>
      <w:r w:rsidR="00813C19" w:rsidRPr="005F575A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="0092765F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) of </w:t>
      </w:r>
      <w:r w:rsidR="00466589" w:rsidRPr="005F575A">
        <w:rPr>
          <w:rFonts w:ascii="Times New Roman" w:hAnsi="Times New Roman" w:cs="Times New Roman"/>
          <w:sz w:val="24"/>
          <w:szCs w:val="24"/>
          <w:lang w:val="en-US"/>
        </w:rPr>
        <w:t>analyzed</w:t>
      </w:r>
      <w:r w:rsidR="00FC210B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ligands determined</w:t>
      </w:r>
      <w:r w:rsidR="0092765F"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from C. sativa.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339"/>
        <w:gridCol w:w="911"/>
        <w:gridCol w:w="737"/>
        <w:gridCol w:w="737"/>
        <w:gridCol w:w="720"/>
        <w:gridCol w:w="1080"/>
      </w:tblGrid>
      <w:tr w:rsidR="0025087D" w:rsidRPr="005F575A" w:rsidTr="0051239D">
        <w:tc>
          <w:tcPr>
            <w:tcW w:w="1885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39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MW</w:t>
            </w:r>
          </w:p>
        </w:tc>
        <w:tc>
          <w:tcPr>
            <w:tcW w:w="911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F57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LogP</w:t>
            </w:r>
            <w:proofErr w:type="spellEnd"/>
          </w:p>
        </w:tc>
        <w:tc>
          <w:tcPr>
            <w:tcW w:w="737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HBD</w:t>
            </w:r>
          </w:p>
        </w:tc>
        <w:tc>
          <w:tcPr>
            <w:tcW w:w="72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HBA</w:t>
            </w:r>
          </w:p>
        </w:tc>
        <w:tc>
          <w:tcPr>
            <w:tcW w:w="72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</w:t>
            </w:r>
          </w:p>
        </w:tc>
        <w:tc>
          <w:tcPr>
            <w:tcW w:w="108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F57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ΔG</w:t>
            </w:r>
            <w:r w:rsidRPr="005F575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bind</w:t>
            </w:r>
            <w:proofErr w:type="spellEnd"/>
          </w:p>
        </w:tc>
      </w:tr>
      <w:tr w:rsidR="0025087D" w:rsidRPr="005F575A" w:rsidTr="0051239D">
        <w:tc>
          <w:tcPr>
            <w:tcW w:w="1885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</w:t>
            </w:r>
            <w:r w:rsidR="0002293F"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cetin</w:t>
            </w:r>
            <w:proofErr w:type="spellEnd"/>
          </w:p>
        </w:tc>
        <w:tc>
          <w:tcPr>
            <w:tcW w:w="1339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302.24</w:t>
            </w:r>
          </w:p>
        </w:tc>
        <w:tc>
          <w:tcPr>
            <w:tcW w:w="911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1.99</w:t>
            </w:r>
          </w:p>
        </w:tc>
        <w:tc>
          <w:tcPr>
            <w:tcW w:w="737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0" w:type="dxa"/>
          </w:tcPr>
          <w:p w:rsidR="0025087D" w:rsidRPr="005F575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2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-10.77</w:t>
            </w:r>
          </w:p>
        </w:tc>
      </w:tr>
      <w:tr w:rsidR="0025087D" w:rsidRPr="005F575A" w:rsidTr="0051239D">
        <w:tc>
          <w:tcPr>
            <w:tcW w:w="1885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Gallic acid</w:t>
            </w:r>
          </w:p>
        </w:tc>
        <w:tc>
          <w:tcPr>
            <w:tcW w:w="1339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170.12</w:t>
            </w:r>
          </w:p>
        </w:tc>
        <w:tc>
          <w:tcPr>
            <w:tcW w:w="911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737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</w:tcPr>
          <w:p w:rsidR="0025087D" w:rsidRPr="005F575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-6.42</w:t>
            </w:r>
          </w:p>
        </w:tc>
      </w:tr>
      <w:tr w:rsidR="0025087D" w:rsidRPr="005F575A" w:rsidTr="0051239D">
        <w:tc>
          <w:tcPr>
            <w:tcW w:w="1885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Chlorogenic</w:t>
            </w:r>
            <w:proofErr w:type="spellEnd"/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acid</w:t>
            </w:r>
          </w:p>
        </w:tc>
        <w:tc>
          <w:tcPr>
            <w:tcW w:w="1339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354.31</w:t>
            </w:r>
          </w:p>
        </w:tc>
        <w:tc>
          <w:tcPr>
            <w:tcW w:w="911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-0.64</w:t>
            </w:r>
          </w:p>
        </w:tc>
        <w:tc>
          <w:tcPr>
            <w:tcW w:w="737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20" w:type="dxa"/>
          </w:tcPr>
          <w:p w:rsidR="0025087D" w:rsidRPr="005F575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2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-11.6</w:t>
            </w:r>
          </w:p>
        </w:tc>
      </w:tr>
      <w:tr w:rsidR="0025087D" w:rsidRPr="005F575A" w:rsidTr="0051239D">
        <w:tc>
          <w:tcPr>
            <w:tcW w:w="1885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Catechol</w:t>
            </w:r>
          </w:p>
        </w:tc>
        <w:tc>
          <w:tcPr>
            <w:tcW w:w="1339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110.11</w:t>
            </w:r>
          </w:p>
        </w:tc>
        <w:tc>
          <w:tcPr>
            <w:tcW w:w="911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1.09</w:t>
            </w:r>
          </w:p>
        </w:tc>
        <w:tc>
          <w:tcPr>
            <w:tcW w:w="737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:rsidR="0025087D" w:rsidRPr="005F575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-5.39</w:t>
            </w:r>
          </w:p>
        </w:tc>
      </w:tr>
      <w:tr w:rsidR="0025087D" w:rsidRPr="005F575A" w:rsidTr="0051239D">
        <w:tc>
          <w:tcPr>
            <w:tcW w:w="1885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Caffeic</w:t>
            </w:r>
            <w:proofErr w:type="spellEnd"/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acid</w:t>
            </w:r>
          </w:p>
        </w:tc>
        <w:tc>
          <w:tcPr>
            <w:tcW w:w="1339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180.16</w:t>
            </w:r>
          </w:p>
        </w:tc>
        <w:tc>
          <w:tcPr>
            <w:tcW w:w="911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1.19</w:t>
            </w:r>
          </w:p>
        </w:tc>
        <w:tc>
          <w:tcPr>
            <w:tcW w:w="737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20" w:type="dxa"/>
          </w:tcPr>
          <w:p w:rsidR="0025087D" w:rsidRPr="005F575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2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-7.07</w:t>
            </w:r>
          </w:p>
        </w:tc>
      </w:tr>
      <w:tr w:rsidR="0025087D" w:rsidRPr="005F575A" w:rsidTr="0051239D">
        <w:tc>
          <w:tcPr>
            <w:tcW w:w="1885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Coumaric</w:t>
            </w:r>
            <w:proofErr w:type="spellEnd"/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acid</w:t>
            </w:r>
          </w:p>
        </w:tc>
        <w:tc>
          <w:tcPr>
            <w:tcW w:w="1339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164.16</w:t>
            </w:r>
          </w:p>
        </w:tc>
        <w:tc>
          <w:tcPr>
            <w:tcW w:w="911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1.49</w:t>
            </w:r>
          </w:p>
        </w:tc>
        <w:tc>
          <w:tcPr>
            <w:tcW w:w="737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:rsidR="0025087D" w:rsidRPr="005F575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-6.04</w:t>
            </w:r>
          </w:p>
        </w:tc>
      </w:tr>
      <w:tr w:rsidR="0025087D" w:rsidRPr="005F575A" w:rsidTr="0051239D">
        <w:tc>
          <w:tcPr>
            <w:tcW w:w="1885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Rosmarinic</w:t>
            </w:r>
            <w:proofErr w:type="spellEnd"/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acid</w:t>
            </w:r>
          </w:p>
        </w:tc>
        <w:tc>
          <w:tcPr>
            <w:tcW w:w="1339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360.32</w:t>
            </w:r>
          </w:p>
        </w:tc>
        <w:tc>
          <w:tcPr>
            <w:tcW w:w="911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1.76</w:t>
            </w:r>
          </w:p>
        </w:tc>
        <w:tc>
          <w:tcPr>
            <w:tcW w:w="737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0" w:type="dxa"/>
          </w:tcPr>
          <w:p w:rsidR="0025087D" w:rsidRPr="005F575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2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8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-10.91</w:t>
            </w:r>
          </w:p>
        </w:tc>
      </w:tr>
      <w:tr w:rsidR="0025087D" w:rsidRPr="005F575A" w:rsidTr="0051239D">
        <w:tc>
          <w:tcPr>
            <w:tcW w:w="1885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Warfarin</w:t>
            </w:r>
          </w:p>
        </w:tc>
        <w:tc>
          <w:tcPr>
            <w:tcW w:w="1339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308.33</w:t>
            </w:r>
          </w:p>
        </w:tc>
        <w:tc>
          <w:tcPr>
            <w:tcW w:w="911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3.61</w:t>
            </w:r>
          </w:p>
        </w:tc>
        <w:tc>
          <w:tcPr>
            <w:tcW w:w="737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</w:tcPr>
          <w:p w:rsidR="0025087D" w:rsidRPr="005F575A" w:rsidRDefault="006B4B74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0" w:type="dxa"/>
          </w:tcPr>
          <w:p w:rsidR="0025087D" w:rsidRPr="005F575A" w:rsidRDefault="0025087D" w:rsidP="00CA0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-10.11</w:t>
            </w:r>
          </w:p>
        </w:tc>
      </w:tr>
    </w:tbl>
    <w:p w:rsidR="00CF231C" w:rsidRPr="005F575A" w:rsidRDefault="00CF231C" w:rsidP="00CF23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7070" w:rsidRPr="005F575A" w:rsidRDefault="005D7070" w:rsidP="00CF23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3797" w:rsidRPr="005F575A" w:rsidRDefault="00F76EC2" w:rsidP="0082379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b/>
          <w:sz w:val="24"/>
          <w:szCs w:val="24"/>
          <w:lang w:val="en-US"/>
        </w:rPr>
        <w:t>Data A</w:t>
      </w:r>
      <w:r w:rsidR="00823797" w:rsidRPr="005F575A">
        <w:rPr>
          <w:rFonts w:ascii="Times New Roman" w:hAnsi="Times New Roman" w:cs="Times New Roman"/>
          <w:b/>
          <w:sz w:val="24"/>
          <w:szCs w:val="24"/>
          <w:lang w:val="en-US"/>
        </w:rPr>
        <w:t>vailability Statement</w:t>
      </w:r>
    </w:p>
    <w:p w:rsidR="005D7070" w:rsidRPr="005F575A" w:rsidRDefault="00823797" w:rsidP="00823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The data and code supporting the reproducible results of this computational modeling and simulation study are openly available in the GitHub repository at: </w:t>
      </w:r>
      <w:hyperlink r:id="rId8" w:history="1">
        <w:r w:rsidRPr="005F57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https://github.com/virtualscreenlab/VKOR/</w:t>
        </w:r>
      </w:hyperlink>
      <w:r w:rsidRPr="005F57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3797" w:rsidRPr="005F575A" w:rsidRDefault="00823797" w:rsidP="00823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7FA5" w:rsidRPr="005F575A" w:rsidRDefault="00AD7FA5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References    </w:t>
      </w:r>
    </w:p>
    <w:p w:rsidR="00EB4276" w:rsidRPr="005F575A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Liu, S., et al. (2021). "Structural basis of antagonizing the vitamin K catalytic cycle for anticoagulation." </w:t>
      </w:r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>Science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75A">
        <w:rPr>
          <w:rFonts w:ascii="Times New Roman" w:hAnsi="Times New Roman" w:cs="Times New Roman"/>
          <w:b/>
          <w:bCs/>
          <w:sz w:val="24"/>
          <w:szCs w:val="24"/>
          <w:lang w:val="en-US"/>
        </w:rPr>
        <w:t>371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(6524).</w:t>
      </w:r>
    </w:p>
    <w:p w:rsidR="00EB4276" w:rsidRPr="005F575A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Shityakov, S. and C. Forster (2014). "In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silico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predictive model to determine vector-mediated transport properties for the blood-brain barrier choline transporter."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>Adv</w:t>
      </w:r>
      <w:proofErr w:type="spellEnd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>Appl</w:t>
      </w:r>
      <w:proofErr w:type="spellEnd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>Bioinform</w:t>
      </w:r>
      <w:proofErr w:type="spellEnd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>Chem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75A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: 23-36.</w:t>
      </w:r>
    </w:p>
    <w:p w:rsidR="00EB4276" w:rsidRPr="005F575A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Shityakov, S., et al. (2021). "Scaffold Searching of FDA and EMA-Approved Drugs Identifies Lead Candidates for Drug Repurposing in Alzheimer's </w:t>
      </w:r>
      <w:proofErr w:type="gramStart"/>
      <w:r w:rsidRPr="005F575A">
        <w:rPr>
          <w:rFonts w:ascii="Times New Roman" w:hAnsi="Times New Roman" w:cs="Times New Roman"/>
          <w:sz w:val="24"/>
          <w:szCs w:val="24"/>
          <w:lang w:val="en-US"/>
        </w:rPr>
        <w:t>Disease</w:t>
      </w:r>
      <w:proofErr w:type="gram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." </w:t>
      </w:r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Front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>Chem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75A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4276" w:rsidRPr="005F575A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Guo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, R.-Z., Li, J., Pan, S.-K., Hu, M.-Y.,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Lv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, L.-X., Feng, Q.,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Qiao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, Y.-J.,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Duan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, J.-Y., Liu, D.-W., &amp; Liu, Z.-S. (2024).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Liquiritigenin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, an active ingredient of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liquorice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, alleviates acute kidney injury by VKORC1-mediated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ferroptosis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inhibition. </w:t>
      </w:r>
      <w:r w:rsidRPr="005F575A">
        <w:rPr>
          <w:rStyle w:val="Emphasis"/>
          <w:rFonts w:ascii="Times New Roman" w:hAnsi="Times New Roman" w:cs="Times New Roman"/>
          <w:sz w:val="24"/>
          <w:szCs w:val="24"/>
          <w:lang w:val="en-US"/>
        </w:rPr>
        <w:t>The American Journal of Chinese Medicine, 52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(5), 1507–1526.</w:t>
      </w:r>
    </w:p>
    <w:p w:rsidR="00EB4276" w:rsidRPr="005F575A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Mellor, C. L., et al. (2019). "Molecular fingerprint-derived similarity measures for toxicological read-across: Recommendations for optimal use."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>Regul</w:t>
      </w:r>
      <w:proofErr w:type="spellEnd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>Toxicol</w:t>
      </w:r>
      <w:proofErr w:type="spellEnd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>Pharmacol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75A">
        <w:rPr>
          <w:rFonts w:ascii="Times New Roman" w:hAnsi="Times New Roman" w:cs="Times New Roman"/>
          <w:b/>
          <w:bCs/>
          <w:sz w:val="24"/>
          <w:szCs w:val="24"/>
          <w:lang w:val="en-US"/>
        </w:rPr>
        <w:t>101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: 121-134</w:t>
      </w:r>
    </w:p>
    <w:p w:rsidR="00EB4276" w:rsidRPr="005F575A" w:rsidRDefault="00EB4276" w:rsidP="00EB4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575A">
        <w:rPr>
          <w:rFonts w:ascii="Times New Roman" w:hAnsi="Times New Roman" w:cs="Times New Roman"/>
          <w:sz w:val="24"/>
          <w:szCs w:val="24"/>
          <w:lang w:val="en-US"/>
        </w:rPr>
        <w:t>Kleandrova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, V. V., et al. (2021). "QSAR Modeling for Multi-Target Drug Discovery: Designing Simultaneous Inhibitors of Proteins in Diverse Pathogenic Parasites." </w:t>
      </w:r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Front </w:t>
      </w:r>
      <w:proofErr w:type="spellStart"/>
      <w:r w:rsidRPr="005F575A">
        <w:rPr>
          <w:rFonts w:ascii="Times New Roman" w:hAnsi="Times New Roman" w:cs="Times New Roman"/>
          <w:sz w:val="24"/>
          <w:szCs w:val="24"/>
          <w:u w:val="single"/>
          <w:lang w:val="en-US"/>
        </w:rPr>
        <w:t>Chem</w:t>
      </w:r>
      <w:proofErr w:type="spellEnd"/>
      <w:r w:rsidRPr="005F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75A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5F575A">
        <w:rPr>
          <w:rFonts w:ascii="Times New Roman" w:hAnsi="Times New Roman" w:cs="Times New Roman"/>
          <w:sz w:val="24"/>
          <w:szCs w:val="24"/>
          <w:lang w:val="en-US"/>
        </w:rPr>
        <w:t>: 634663.</w:t>
      </w:r>
    </w:p>
    <w:p w:rsidR="001A5261" w:rsidRPr="005F575A" w:rsidRDefault="001A5261" w:rsidP="00AD7F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5261" w:rsidRPr="005F575A" w:rsidSect="00EC4490">
      <w:pgSz w:w="11906" w:h="16838"/>
      <w:pgMar w:top="1134" w:right="850" w:bottom="1134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15"/>
    <w:rsid w:val="0002293F"/>
    <w:rsid w:val="0002394F"/>
    <w:rsid w:val="00066B15"/>
    <w:rsid w:val="000A4E66"/>
    <w:rsid w:val="000B284F"/>
    <w:rsid w:val="000D7718"/>
    <w:rsid w:val="000F0272"/>
    <w:rsid w:val="00107063"/>
    <w:rsid w:val="00146A91"/>
    <w:rsid w:val="0015506E"/>
    <w:rsid w:val="0016649F"/>
    <w:rsid w:val="00192DA7"/>
    <w:rsid w:val="001A0A45"/>
    <w:rsid w:val="001A5261"/>
    <w:rsid w:val="00223F2C"/>
    <w:rsid w:val="0025087D"/>
    <w:rsid w:val="0031307C"/>
    <w:rsid w:val="00330738"/>
    <w:rsid w:val="00364CD8"/>
    <w:rsid w:val="00383225"/>
    <w:rsid w:val="003B7850"/>
    <w:rsid w:val="00412671"/>
    <w:rsid w:val="00437993"/>
    <w:rsid w:val="00440557"/>
    <w:rsid w:val="00454CAF"/>
    <w:rsid w:val="00466589"/>
    <w:rsid w:val="00473C5E"/>
    <w:rsid w:val="00492D8F"/>
    <w:rsid w:val="004B0347"/>
    <w:rsid w:val="004B2075"/>
    <w:rsid w:val="004C473C"/>
    <w:rsid w:val="004E489D"/>
    <w:rsid w:val="00513396"/>
    <w:rsid w:val="0051641B"/>
    <w:rsid w:val="005214E7"/>
    <w:rsid w:val="005528A1"/>
    <w:rsid w:val="00556F75"/>
    <w:rsid w:val="00567191"/>
    <w:rsid w:val="005674E6"/>
    <w:rsid w:val="005D0067"/>
    <w:rsid w:val="005D7070"/>
    <w:rsid w:val="005F14D5"/>
    <w:rsid w:val="005F575A"/>
    <w:rsid w:val="006126AC"/>
    <w:rsid w:val="00617F26"/>
    <w:rsid w:val="00631BF8"/>
    <w:rsid w:val="00642E3A"/>
    <w:rsid w:val="00687D7E"/>
    <w:rsid w:val="00690F9D"/>
    <w:rsid w:val="006B34F6"/>
    <w:rsid w:val="006B4B74"/>
    <w:rsid w:val="006C6353"/>
    <w:rsid w:val="006D6D13"/>
    <w:rsid w:val="00711557"/>
    <w:rsid w:val="007466BE"/>
    <w:rsid w:val="0076413A"/>
    <w:rsid w:val="007A049A"/>
    <w:rsid w:val="007A149C"/>
    <w:rsid w:val="007C3F9E"/>
    <w:rsid w:val="00813C19"/>
    <w:rsid w:val="00821C58"/>
    <w:rsid w:val="00823797"/>
    <w:rsid w:val="00842B9A"/>
    <w:rsid w:val="00844C2C"/>
    <w:rsid w:val="00866818"/>
    <w:rsid w:val="00887A05"/>
    <w:rsid w:val="008B7EAD"/>
    <w:rsid w:val="008D1094"/>
    <w:rsid w:val="008E1095"/>
    <w:rsid w:val="008E1B41"/>
    <w:rsid w:val="008F3D43"/>
    <w:rsid w:val="0090709D"/>
    <w:rsid w:val="0092765F"/>
    <w:rsid w:val="0093309D"/>
    <w:rsid w:val="00942BF7"/>
    <w:rsid w:val="0097085B"/>
    <w:rsid w:val="009C3CF9"/>
    <w:rsid w:val="009D0B8C"/>
    <w:rsid w:val="009E145A"/>
    <w:rsid w:val="009E4650"/>
    <w:rsid w:val="009E597A"/>
    <w:rsid w:val="00A02D0A"/>
    <w:rsid w:val="00A22081"/>
    <w:rsid w:val="00A26B03"/>
    <w:rsid w:val="00A3057B"/>
    <w:rsid w:val="00A80A54"/>
    <w:rsid w:val="00AA410B"/>
    <w:rsid w:val="00AD7249"/>
    <w:rsid w:val="00AD7FA5"/>
    <w:rsid w:val="00AE6D30"/>
    <w:rsid w:val="00B407AC"/>
    <w:rsid w:val="00B66BB1"/>
    <w:rsid w:val="00BC3C20"/>
    <w:rsid w:val="00BD1CCD"/>
    <w:rsid w:val="00BD5E57"/>
    <w:rsid w:val="00C0153C"/>
    <w:rsid w:val="00C26E2E"/>
    <w:rsid w:val="00C35735"/>
    <w:rsid w:val="00C65191"/>
    <w:rsid w:val="00C85CD8"/>
    <w:rsid w:val="00CA04B3"/>
    <w:rsid w:val="00CA25E8"/>
    <w:rsid w:val="00CB1790"/>
    <w:rsid w:val="00CB786D"/>
    <w:rsid w:val="00CC0E31"/>
    <w:rsid w:val="00CD3233"/>
    <w:rsid w:val="00CF231C"/>
    <w:rsid w:val="00CF5FBF"/>
    <w:rsid w:val="00D0510B"/>
    <w:rsid w:val="00D0608C"/>
    <w:rsid w:val="00D338D8"/>
    <w:rsid w:val="00D36583"/>
    <w:rsid w:val="00D37D82"/>
    <w:rsid w:val="00D551D2"/>
    <w:rsid w:val="00D9227F"/>
    <w:rsid w:val="00D944B9"/>
    <w:rsid w:val="00DB3684"/>
    <w:rsid w:val="00DB5C5A"/>
    <w:rsid w:val="00E35AC4"/>
    <w:rsid w:val="00E35DB8"/>
    <w:rsid w:val="00E51185"/>
    <w:rsid w:val="00E7426B"/>
    <w:rsid w:val="00E9507B"/>
    <w:rsid w:val="00EA51F1"/>
    <w:rsid w:val="00EB41AB"/>
    <w:rsid w:val="00EB4276"/>
    <w:rsid w:val="00EC4490"/>
    <w:rsid w:val="00ED6AF6"/>
    <w:rsid w:val="00EE4267"/>
    <w:rsid w:val="00F44438"/>
    <w:rsid w:val="00F64FBB"/>
    <w:rsid w:val="00F76EC2"/>
    <w:rsid w:val="00FA1275"/>
    <w:rsid w:val="00FC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52C46D0-2485-4890-AF0A-851D89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6B1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EC4490"/>
  </w:style>
  <w:style w:type="paragraph" w:styleId="NormalWeb">
    <w:name w:val="Normal (Web)"/>
    <w:basedOn w:val="Normal"/>
    <w:uiPriority w:val="99"/>
    <w:semiHidden/>
    <w:unhideWhenUsed/>
    <w:rsid w:val="00EE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E6D30"/>
    <w:rPr>
      <w:i/>
      <w:iCs/>
    </w:rPr>
  </w:style>
  <w:style w:type="character" w:styleId="Hyperlink">
    <w:name w:val="Hyperlink"/>
    <w:basedOn w:val="DefaultParagraphFont"/>
    <w:uiPriority w:val="99"/>
    <w:unhideWhenUsed/>
    <w:rsid w:val="00823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rtualscreenlab/VK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1117-3E7C-408E-8A72-A26D6C31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126</cp:revision>
  <cp:lastPrinted>2025-06-07T12:50:00Z</cp:lastPrinted>
  <dcterms:created xsi:type="dcterms:W3CDTF">2025-06-03T10:01:00Z</dcterms:created>
  <dcterms:modified xsi:type="dcterms:W3CDTF">2025-06-07T12:53:00Z</dcterms:modified>
</cp:coreProperties>
</file>