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67920">
      <w:pPr>
        <w:numPr>
          <w:ilvl w:val="0"/>
          <w:numId w:val="1"/>
        </w:num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Audemars Piguet Royal Oak 34mm Silver Dial Watch</w:t>
      </w:r>
    </w:p>
    <w:p w14:paraId="7A707F3E">
      <w:pPr>
        <w:numPr>
          <w:numId w:val="0"/>
        </w:numPr>
        <w:spacing w:before="315" w:after="105" w:line="360" w:lineRule="auto"/>
        <w:jc w:val="left"/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drawing>
          <wp:inline distT="0" distB="0" distL="114300" distR="114300">
            <wp:extent cx="3175000" cy="3175000"/>
            <wp:effectExtent l="0" t="0" r="0" b="0"/>
            <wp:docPr id="2" name="Picture 2" descr="Audemars Piguet Royal Oak 34mm Silver Dia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demars Piguet Royal Oak 34mm Silver Dial Wat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3E35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Price: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Around $30,451.</w:t>
      </w:r>
    </w:p>
    <w:p w14:paraId="283CA909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Description: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This is a luxury Swiss watch, known for its distinct octagonal bezel and timeless design. Highly sought-after by watch collectors for its blend of elegance and engineering.</w:t>
      </w:r>
    </w:p>
    <w:p w14:paraId="1E1A91B9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Often seen as a statement piece among timepiece enthusiasts.</w:t>
      </w:r>
      <w:bookmarkStart w:id="0" w:name="fnref1"/>
      <w:bookmarkEnd w:id="0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"fn1"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[1]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</w:p>
    <w:p w14:paraId="76304642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387D54E9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4AFFD367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36599508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6B01B039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65ED2018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4A2F72EC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5896E048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133B7C5D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145904B0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66F9D2E7">
      <w:pPr>
        <w:numPr>
          <w:ilvl w:val="0"/>
          <w:numId w:val="1"/>
        </w:numPr>
        <w:spacing w:before="315" w:after="105" w:line="360" w:lineRule="auto"/>
        <w:ind w:left="-30" w:leftChars="0" w:firstLine="0" w:firstLineChars="0"/>
        <w:jc w:val="left"/>
        <w:rPr>
          <w:rFonts w:hint="default" w:ascii="Times New Roman" w:hAnsi="Times New Roman" w:eastAsia="inter" w:cs="Times New Roman"/>
          <w:b/>
          <w:color w:val="000000"/>
          <w:sz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Rolex Yacht-Master 42mm Black Dial</w:t>
      </w:r>
    </w:p>
    <w:p w14:paraId="06925132">
      <w:pPr>
        <w:numPr>
          <w:numId w:val="0"/>
        </w:numPr>
        <w:spacing w:before="315" w:after="105" w:line="360" w:lineRule="auto"/>
        <w:ind w:left="-30" w:leftChars="0"/>
        <w:jc w:val="left"/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drawing>
          <wp:inline distT="0" distB="0" distL="114300" distR="114300">
            <wp:extent cx="3175000" cy="2114550"/>
            <wp:effectExtent l="0" t="0" r="0" b="6350"/>
            <wp:docPr id="3" name="Picture 3" descr="Rolex Yacht-Master 42mm Black 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olex Yacht-Master 42mm Black Di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6AE2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Price: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Around $31,680.</w:t>
      </w:r>
    </w:p>
    <w:p w14:paraId="406B87FE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Description: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Rolex’s Yacht-Master series is celebrated for combining functionality and style. The 42mm version in black is a modern classic that appeals to investment-minded collectors as well as luxury aficionados.</w:t>
      </w:r>
      <w:bookmarkStart w:id="1" w:name="fnref1:1"/>
      <w:bookmarkEnd w:id="1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"fn1"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[1]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</w:p>
    <w:p w14:paraId="505022FE">
      <w:pPr>
        <w:numPr>
          <w:ilvl w:val="0"/>
          <w:numId w:val="1"/>
        </w:numPr>
        <w:spacing w:before="315" w:after="105" w:line="360" w:lineRule="auto"/>
        <w:ind w:left="-30" w:leftChars="0" w:firstLine="0" w:firstLineChars="0"/>
        <w:jc w:val="left"/>
        <w:rPr>
          <w:rFonts w:hint="default" w:ascii="Times New Roman" w:hAnsi="Times New Roman" w:eastAsia="inter" w:cs="Times New Roman"/>
          <w:b/>
          <w:color w:val="000000"/>
          <w:sz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Subodh Gupta Sculpture “Gober Ganesha”</w:t>
      </w:r>
    </w:p>
    <w:p w14:paraId="6976B957">
      <w:pPr>
        <w:numPr>
          <w:numId w:val="0"/>
        </w:numPr>
        <w:spacing w:before="315" w:after="105" w:line="360" w:lineRule="auto"/>
        <w:ind w:left="-30" w:leftChars="0"/>
        <w:jc w:val="left"/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drawing>
          <wp:inline distT="0" distB="0" distL="114300" distR="114300">
            <wp:extent cx="3175000" cy="2171700"/>
            <wp:effectExtent l="0" t="0" r="0" b="0"/>
            <wp:docPr id="4" name="Picture 4" descr="Subodh Gupta Sculpture “Gober Ganesha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bodh Gupta Sculpture “Gober Ganesha”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D82F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Price: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Realised at $40,000 at auction.</w:t>
      </w:r>
    </w:p>
    <w:p w14:paraId="62D06A78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Description: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 contemporary art piece by renowned Indian artist Subodh Gupta, "Gober Ganesha" is prized for its cultural symbolism and unique materials. Gupta’s works regularly feature in high-profile exhibitions and auctions.</w:t>
      </w:r>
      <w:bookmarkStart w:id="2" w:name="fnref2"/>
      <w:bookmarkEnd w:id="2"/>
    </w:p>
    <w:p w14:paraId="3C48E2E2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0F1EDFA1">
      <w:pPr>
        <w:numPr>
          <w:ilvl w:val="0"/>
          <w:numId w:val="1"/>
        </w:numPr>
        <w:spacing w:before="315" w:after="105" w:line="360" w:lineRule="auto"/>
        <w:ind w:left="-30" w:leftChars="0" w:firstLine="0" w:firstLineChars="0"/>
        <w:jc w:val="left"/>
        <w:rPr>
          <w:rFonts w:hint="default" w:ascii="Times New Roman" w:hAnsi="Times New Roman" w:eastAsia="inter" w:cs="Times New Roman"/>
          <w:b/>
          <w:color w:val="000000"/>
          <w:sz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Patek Philippe Calatrava 40mm Black Dial Watch</w:t>
      </w:r>
    </w:p>
    <w:p w14:paraId="2BACADED">
      <w:pPr>
        <w:numPr>
          <w:numId w:val="0"/>
        </w:numPr>
        <w:spacing w:before="315" w:after="105" w:line="360" w:lineRule="auto"/>
        <w:ind w:left="-30" w:leftChars="0"/>
        <w:jc w:val="left"/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drawing>
          <wp:inline distT="0" distB="0" distL="114300" distR="114300">
            <wp:extent cx="3175000" cy="3175000"/>
            <wp:effectExtent l="0" t="0" r="0" b="0"/>
            <wp:docPr id="6" name="Picture 6" descr="Patek Philippe Calatrava 40mm Black Dia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tek Philippe Calatrava 40mm Black Dial Wat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541A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Price: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Around $33,000.</w:t>
      </w:r>
    </w:p>
    <w:p w14:paraId="6224E4A4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Description: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Patek Philippe is iconic in luxury watchmaking, and the Calatrava series is revered for its simplicity and elegance. The 40mm version with a black dial is amongst the most collectible vintage watches.</w:t>
      </w:r>
      <w:bookmarkStart w:id="8" w:name="_GoBack"/>
      <w:bookmarkEnd w:id="8"/>
      <w:bookmarkStart w:id="3" w:name="fnref1:2"/>
      <w:bookmarkEnd w:id="3"/>
    </w:p>
    <w:p w14:paraId="24BF50B3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6995A878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28CA668A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298B310B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0DC590CE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7934A600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581C11EF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25C9CA23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40A55604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6A05AE4F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1EA79CD1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2360C4C0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29EB9E35">
      <w:pPr>
        <w:numPr>
          <w:numId w:val="0"/>
        </w:numPr>
        <w:tabs>
          <w:tab w:val="left" w:pos="900"/>
        </w:tabs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</w:pPr>
    </w:p>
    <w:p w14:paraId="73193423">
      <w:pPr>
        <w:numPr>
          <w:ilvl w:val="0"/>
          <w:numId w:val="1"/>
        </w:numPr>
        <w:spacing w:before="315" w:after="105" w:line="360" w:lineRule="auto"/>
        <w:ind w:left="-30" w:leftChars="0" w:firstLine="0" w:firstLineChars="0"/>
        <w:jc w:val="left"/>
        <w:rPr>
          <w:rFonts w:hint="default" w:ascii="Times New Roman" w:hAnsi="Times New Roman" w:eastAsia="inter" w:cs="Times New Roman"/>
          <w:b/>
          <w:color w:val="000000"/>
          <w:sz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Vintage Paintings (Oil Paintings in Ornate Frames)</w:t>
      </w:r>
    </w:p>
    <w:p w14:paraId="0E7DCEB0">
      <w:pPr>
        <w:numPr>
          <w:numId w:val="0"/>
        </w:numPr>
        <w:spacing w:before="315" w:after="105" w:line="360" w:lineRule="auto"/>
        <w:ind w:left="-30" w:leftChars="0"/>
        <w:jc w:val="left"/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drawing>
          <wp:inline distT="0" distB="0" distL="114300" distR="114300">
            <wp:extent cx="3175000" cy="3175000"/>
            <wp:effectExtent l="0" t="0" r="0" b="0"/>
            <wp:docPr id="7" name="Picture 7" descr="Vintage Paintings (Oil Paintings in Ornate Fram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intage Paintings (Oil Paintings in Ornate Frames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E15B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Price: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Often $30,000–$40,000 for large, signed pieces with provenance.</w:t>
      </w:r>
    </w:p>
    <w:p w14:paraId="2DF6650A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Description: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19th and early 20th-century oil paintings frequently bring these prices at auction, especially those with luxurious, original frames and clear documentation of their creator and history.</w:t>
      </w:r>
      <w:bookmarkStart w:id="4" w:name="fnref3"/>
      <w:bookmarkEnd w:id="4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"fn3"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[3]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</w:p>
    <w:p w14:paraId="4D2EA4D1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Images for these specific items can be sourced from luxury watch dealers, contemporary art auction galleries, and reputable art/antique auction sites like Sotheby’s and Christie’s.</w:t>
      </w:r>
      <w:bookmarkStart w:id="5" w:name="fnref2:1"/>
      <w:bookmarkEnd w:id="5"/>
      <w:bookmarkStart w:id="6" w:name="fnref3:1"/>
      <w:bookmarkEnd w:id="6"/>
      <w:bookmarkStart w:id="7" w:name="fnref1:3"/>
      <w:bookmarkEnd w:id="7"/>
    </w:p>
    <w:p w14:paraId="1A9FD8F9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These collectibles are accessible to upper mid-tier collectors and frequently auctioned in both specialized and general markets. Their value is supported by quality, provenance, and the prestige of their makers or artists.</w:t>
      </w:r>
      <w:r>
        <w:rPr>
          <w:rFonts w:hint="default" w:ascii="Times New Roman" w:hAnsi="Times New Roman" w:eastAsia="inter" w:cs="Times New Roman"/>
          <w:color w:val="000000"/>
          <w:sz w:val="18"/>
        </w:rPr>
        <w:t xml:space="preserve"> 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A45960EC"/>
    <w:multiLevelType w:val="singleLevel"/>
    <w:tmpl w:val="A45960E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8879AEF"/>
    <w:multiLevelType w:val="single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4D4DC07F"/>
    <w:multiLevelType w:val="single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5A241D34"/>
    <w:multiLevelType w:val="singleLevel"/>
    <w:tmpl w:val="5A241D3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AAC66BE"/>
    <w:rsid w:val="5BEB56DE"/>
    <w:rsid w:val="63C0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10</TotalTime>
  <ScaleCrop>false</ScaleCrop>
  <LinksUpToDate>false</LinksUpToDate>
  <Application>WPS Office_12.2.0.22556_F1E327BC-269C-435d-A152-05C5408002CA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2025-09-26T05:46:00Z</dcterms:created>
  <dc:creator>html-to-docx</dc:creator>
  <cp:keywords>html-to-docx</cp:keywords>
  <cp:lastModifiedBy>viru pr</cp:lastModifiedBy>
  <dcterms:modified xsi:type="dcterms:W3CDTF">2025-09-26T07:50:39Z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3126FEDF799342CF99D0D312F2F893B4_12</vt:lpwstr>
  </property>
</Properties>
</file>