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jc w:val="center"/>
      </w:pPr>
      <w:r>
        <w:rPr>
          <w:b/>
          <w:bCs/>
          <w:color w:val="1F3A5F"/>
          <w:sz w:val="60"/>
          <w:szCs w:val="60"/>
        </w:rPr>
        <w:t xml:space="preserve">PLAN DE FEEDLOT</w:t>
      </w:r>
    </w:p>
    <w:p>
      <w:pPr>
        <w:spacing w:after="40"/>
        <w:jc w:val="center"/>
      </w:pPr>
      <w:r>
        <w:rPr>
          <w:b/>
          <w:bCs/>
          <w:color w:val="2E5E3A"/>
          <w:sz w:val="32"/>
          <w:szCs w:val="32"/>
        </w:rPr>
        <w:t xml:space="preserve">Engorde a corral de 100 novillos</w:t>
      </w:r>
    </w:p>
    <w:p>
      <w:pPr>
        <w:pBdr>
          <w:bottom w:val="single" w:color="C4A44A" w:sz="12" w:space="8"/>
        </w:pBdr>
        <w:spacing w:after="260"/>
        <w:jc w:val="center"/>
      </w:pPr>
      <w:r>
        <w:rPr>
          <w:color w:val="555555"/>
          <w:sz w:val="22"/>
          <w:szCs w:val="22"/>
        </w:rPr>
        <w:t xml:space="preserve">Terminación intensiva · Uruguay</w:t>
      </w:r>
    </w:p>
    <w:p>
      <w:pPr>
        <w:spacing w:after="30"/>
        <w:jc w:val="center"/>
      </w:pPr>
      <w:r>
        <w:rPr>
          <w:color w:val="444444"/>
          <w:sz w:val="20"/>
          <w:szCs w:val="20"/>
        </w:rPr>
        <w:t xml:space="preserve">Instalaciones · Dieta y adaptación · Sanidad · Manejo · Economía</w:t>
      </w:r>
    </w:p>
    <w:p>
      <w:pPr>
        <w:spacing w:after="30" w:before="1600"/>
        <w:jc w:val="center"/>
      </w:pPr>
      <w:r>
        <w:rPr>
          <w:i/>
          <w:iCs/>
          <w:color w:val="888888"/>
          <w:sz w:val="18"/>
          <w:szCs w:val="18"/>
        </w:rPr>
        <w:t xml:space="preserve">Elaborado sobre el corpus técnico AgroRag (bibliografía agropecuaria uruguaya:</w:t>
      </w:r>
    </w:p>
    <w:p>
      <w:pPr>
        <w:jc w:val="center"/>
      </w:pPr>
      <w:r>
        <w:rPr>
          <w:i/>
          <w:iCs/>
          <w:color w:val="888888"/>
          <w:sz w:val="18"/>
          <w:szCs w:val="18"/>
        </w:rPr>
        <w:t xml:space="preserve">UPIC, INIA, INTA-Pordomingo, Facultad de Agronomía UdelaR y guías de buenas prácticas)</w:t>
      </w:r>
    </w:p>
    <w:p>
      <w:pPr>
        <w:spacing w:before="240"/>
        <w:jc w:val="center"/>
      </w:pPr>
      <w:r>
        <w:rPr>
          <w:color w:val="555555"/>
          <w:sz w:val="20"/>
          <w:szCs w:val="20"/>
        </w:rPr>
        <w:t xml:space="preserve">Julio 2026</w:t>
      </w:r>
    </w:p>
    <w:p>
      <w:r>
        <w:br w:type="page"/>
      </w:r>
    </w:p>
    <w:p>
      <w:pPr>
        <w:pStyle w:val="Heading1"/>
        <w:spacing w:after="140" w:before="320"/>
      </w:pPr>
      <w:r>
        <w:rPr>
          <w:b/>
          <w:bCs/>
          <w:color w:val="1F3A5F"/>
          <w:sz w:val="30"/>
          <w:szCs w:val="30"/>
        </w:rPr>
        <w:t xml:space="preserve">1. Resumen ejecutivo y supuestos</w:t>
      </w:r>
    </w:p>
    <w:p>
      <w:pPr>
        <w:spacing w:after="120" w:line="276"/>
        <w:jc w:val="both"/>
      </w:pPr>
      <w:r>
        <w:rPr>
          <w:color w:val="222222"/>
          <w:sz w:val="21"/>
          <w:szCs w:val="21"/>
        </w:rPr>
        <w:t xml:space="preserve">Este plan describe un encierre a corral (feedlot) de terminación para 100 novillos en Uruguay, partiendo de animales de recría e ingresándolos con peso medio-alto para llevarlos a peso de faena en un ciclo corto de alta energía. Las metas productivas, los criterios de dieta, adaptación, sanidad e instalaciones y los parámetros económicos surgen del corpus técnico AgroRag. El feedlot de terminación es la herramienta indicada cuando se busca asegurar el acabado (engrasamiento) con calidad constante todo el año, evitando el riesgo climático de la terminación pastoril y capturando ventanas favorables de relación grano/carne.</w:t>
      </w:r>
    </w:p>
    <w:p>
      <w:pPr>
        <w:spacing w:after="120" w:before="40"/>
      </w:pPr>
      <w:r>
        <w:rPr>
          <w:i/>
          <w:iCs/>
          <w:color w:val="777777"/>
          <w:sz w:val="17"/>
          <w:szCs w:val="17"/>
        </w:rPr>
        <w:t xml:space="preserve">Fuente AgroRag: UPIC Compendio 2004–2025, cap. 9 «El engorde a corral (feedlot) en los sistemas pastoriles»; INTA Curso de Nutrición Animal Aplicada 2014, «Feedlot de terminación»; «Estudio comparativo… producción en base a feedlot» UdelaR 2009.</w:t>
      </w:r>
    </w:p>
    <w:p>
      <w:pPr>
        <w:pStyle w:val="Heading2"/>
        <w:spacing w:after="100" w:before="220"/>
      </w:pPr>
      <w:r>
        <w:rPr>
          <w:b/>
          <w:bCs/>
          <w:color w:val="2E5E3A"/>
          <w:sz w:val="25"/>
          <w:szCs w:val="25"/>
        </w:rPr>
        <w:t xml:space="preserve">Supuestos de planificación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000"/>
        <w:gridCol w:w="3000"/>
        <w:gridCol w:w="3360"/>
      </w:tblGrid>
      <w:tr>
        <w:trPr>
          <w:tblHeader/>
        </w:trPr>
        <w:tc>
          <w:tcPr>
            <w:tcW w:type="dxa" w:w="3000"/>
            <w:shd w:fill="1F3A5F" w:color="auto" w:val="clear"/>
            <w:tcMar>
              <w:top w:type="dxa" w:w="40"/>
              <w:left w:type="dxa" w:w="90"/>
              <w:bottom w:type="dxa" w:w="40"/>
              <w:right w:type="dxa" w:w="90"/>
            </w:tcMar>
          </w:tcPr>
          <w:p>
            <w:pPr>
              <w:spacing w:after="0" w:line="240"/>
              <w:jc w:val="left"/>
            </w:pPr>
            <w:r>
              <w:rPr>
                <w:b/>
                <w:bCs/>
                <w:color w:val="FFFFFF"/>
                <w:sz w:val="19"/>
                <w:szCs w:val="19"/>
              </w:rPr>
              <w:t xml:space="preserve">Parámetro</w:t>
            </w:r>
          </w:p>
        </w:tc>
        <w:tc>
          <w:tcPr>
            <w:tcW w:type="dxa" w:w="3000"/>
            <w:shd w:fill="1F3A5F" w:color="auto" w:val="clear"/>
            <w:tcMar>
              <w:top w:type="dxa" w:w="40"/>
              <w:left w:type="dxa" w:w="90"/>
              <w:bottom w:type="dxa" w:w="40"/>
              <w:right w:type="dxa" w:w="90"/>
            </w:tcMar>
          </w:tcPr>
          <w:p>
            <w:pPr>
              <w:spacing w:after="0" w:line="240"/>
              <w:jc w:val="center"/>
            </w:pPr>
            <w:r>
              <w:rPr>
                <w:b/>
                <w:bCs/>
                <w:color w:val="FFFFFF"/>
                <w:sz w:val="19"/>
                <w:szCs w:val="19"/>
              </w:rPr>
              <w:t xml:space="preserve">Valor de diseño</w:t>
            </w:r>
          </w:p>
        </w:tc>
        <w:tc>
          <w:tcPr>
            <w:tcW w:type="dxa" w:w="3360"/>
            <w:shd w:fill="1F3A5F" w:color="auto" w:val="clear"/>
            <w:tcMar>
              <w:top w:type="dxa" w:w="40"/>
              <w:left w:type="dxa" w:w="90"/>
              <w:bottom w:type="dxa" w:w="40"/>
              <w:right w:type="dxa" w:w="90"/>
            </w:tcMar>
          </w:tcPr>
          <w:p>
            <w:pPr>
              <w:spacing w:after="0" w:line="240"/>
              <w:jc w:val="center"/>
            </w:pPr>
            <w:r>
              <w:rPr>
                <w:b/>
                <w:bCs/>
                <w:color w:val="FFFFFF"/>
                <w:sz w:val="19"/>
                <w:szCs w:val="19"/>
              </w:rPr>
              <w:t xml:space="preserve">Base AgroRag</w:t>
            </w:r>
          </w:p>
        </w:tc>
      </w:tr>
      <w:tr>
        <w:tc>
          <w:tcPr>
            <w:tcW w:type="dxa" w:w="3000"/>
            <w:tcMar>
              <w:top w:type="dxa" w:w="40"/>
              <w:left w:type="dxa" w:w="90"/>
              <w:bottom w:type="dxa" w:w="40"/>
              <w:right w:type="dxa" w:w="90"/>
            </w:tcMar>
          </w:tcPr>
          <w:p>
            <w:pPr>
              <w:spacing w:after="0" w:line="240"/>
              <w:jc w:val="left"/>
            </w:pPr>
            <w:r>
              <w:rPr>
                <w:b/>
                <w:bCs/>
                <w:color w:val="222222"/>
                <w:sz w:val="19"/>
                <w:szCs w:val="19"/>
              </w:rPr>
              <w:t xml:space="preserve">Cantidad de animales</w:t>
            </w:r>
          </w:p>
        </w:tc>
        <w:tc>
          <w:tcPr>
            <w:tcW w:type="dxa" w:w="3000"/>
            <w:tcMar>
              <w:top w:type="dxa" w:w="40"/>
              <w:left w:type="dxa" w:w="90"/>
              <w:bottom w:type="dxa" w:w="40"/>
              <w:right w:type="dxa" w:w="90"/>
            </w:tcMar>
          </w:tcPr>
          <w:p>
            <w:pPr>
              <w:spacing w:after="0" w:line="240"/>
              <w:jc w:val="center"/>
            </w:pPr>
            <w:r>
              <w:rPr>
                <w:b w:val="false"/>
                <w:bCs w:val="false"/>
                <w:color w:val="222222"/>
                <w:sz w:val="19"/>
                <w:szCs w:val="19"/>
              </w:rPr>
              <w:t xml:space="preserve">100 novillos</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Escenario del usuario</w:t>
            </w:r>
          </w:p>
        </w:tc>
      </w:tr>
      <w:tr>
        <w:tc>
          <w:tcPr>
            <w:tcW w:type="dxa" w:w="3000"/>
            <w:shd w:fill="F2F2F2" w:color="auto" w:val="clear"/>
            <w:tcMar>
              <w:top w:type="dxa" w:w="40"/>
              <w:left w:type="dxa" w:w="90"/>
              <w:bottom w:type="dxa" w:w="40"/>
              <w:right w:type="dxa" w:w="90"/>
            </w:tcMar>
          </w:tcPr>
          <w:p>
            <w:pPr>
              <w:spacing w:after="0" w:line="240"/>
              <w:jc w:val="left"/>
            </w:pPr>
            <w:r>
              <w:rPr>
                <w:b/>
                <w:bCs/>
                <w:color w:val="222222"/>
                <w:sz w:val="19"/>
                <w:szCs w:val="19"/>
              </w:rPr>
              <w:t xml:space="preserve">Peso de ingreso</w:t>
            </w:r>
          </w:p>
        </w:tc>
        <w:tc>
          <w:tcPr>
            <w:tcW w:type="dxa" w:w="3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330–360 kg</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Feedlot terminación UY (ingreso 360 kg)</w:t>
            </w:r>
          </w:p>
        </w:tc>
      </w:tr>
      <w:tr>
        <w:tc>
          <w:tcPr>
            <w:tcW w:type="dxa" w:w="3000"/>
            <w:tcMar>
              <w:top w:type="dxa" w:w="40"/>
              <w:left w:type="dxa" w:w="90"/>
              <w:bottom w:type="dxa" w:w="40"/>
              <w:right w:type="dxa" w:w="90"/>
            </w:tcMar>
          </w:tcPr>
          <w:p>
            <w:pPr>
              <w:spacing w:after="0" w:line="240"/>
              <w:jc w:val="left"/>
            </w:pPr>
            <w:r>
              <w:rPr>
                <w:b/>
                <w:bCs/>
                <w:color w:val="222222"/>
                <w:sz w:val="19"/>
                <w:szCs w:val="19"/>
              </w:rPr>
              <w:t xml:space="preserve">Peso objetivo de faena</w:t>
            </w:r>
          </w:p>
        </w:tc>
        <w:tc>
          <w:tcPr>
            <w:tcW w:type="dxa" w:w="3000"/>
            <w:tcMar>
              <w:top w:type="dxa" w:w="40"/>
              <w:left w:type="dxa" w:w="90"/>
              <w:bottom w:type="dxa" w:w="40"/>
              <w:right w:type="dxa" w:w="90"/>
            </w:tcMar>
          </w:tcPr>
          <w:p>
            <w:pPr>
              <w:spacing w:after="0" w:line="240"/>
              <w:jc w:val="center"/>
            </w:pPr>
            <w:r>
              <w:rPr>
                <w:b w:val="false"/>
                <w:bCs w:val="false"/>
                <w:color w:val="222222"/>
                <w:sz w:val="19"/>
                <w:szCs w:val="19"/>
              </w:rPr>
              <w:t xml:space="preserve">500–520 kg</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Feedlot frame medio/grande 500–526 kg</w:t>
            </w:r>
          </w:p>
        </w:tc>
      </w:tr>
      <w:tr>
        <w:tc>
          <w:tcPr>
            <w:tcW w:type="dxa" w:w="3000"/>
            <w:shd w:fill="F2F2F2" w:color="auto" w:val="clear"/>
            <w:tcMar>
              <w:top w:type="dxa" w:w="40"/>
              <w:left w:type="dxa" w:w="90"/>
              <w:bottom w:type="dxa" w:w="40"/>
              <w:right w:type="dxa" w:w="90"/>
            </w:tcMar>
          </w:tcPr>
          <w:p>
            <w:pPr>
              <w:spacing w:after="0" w:line="240"/>
              <w:jc w:val="left"/>
            </w:pPr>
            <w:r>
              <w:rPr>
                <w:b/>
                <w:bCs/>
                <w:color w:val="222222"/>
                <w:sz w:val="19"/>
                <w:szCs w:val="19"/>
              </w:rPr>
              <w:t xml:space="preserve">Ganancia a lograr</w:t>
            </w:r>
          </w:p>
        </w:tc>
        <w:tc>
          <w:tcPr>
            <w:tcW w:type="dxa" w:w="3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150–170 kg/animal</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Terminación corral</w:t>
            </w:r>
          </w:p>
        </w:tc>
      </w:tr>
      <w:tr>
        <w:tc>
          <w:tcPr>
            <w:tcW w:type="dxa" w:w="3000"/>
            <w:tcMar>
              <w:top w:type="dxa" w:w="40"/>
              <w:left w:type="dxa" w:w="90"/>
              <w:bottom w:type="dxa" w:w="40"/>
              <w:right w:type="dxa" w:w="90"/>
            </w:tcMar>
          </w:tcPr>
          <w:p>
            <w:pPr>
              <w:spacing w:after="0" w:line="240"/>
              <w:jc w:val="left"/>
            </w:pPr>
            <w:r>
              <w:rPr>
                <w:b/>
                <w:bCs/>
                <w:color w:val="222222"/>
                <w:sz w:val="19"/>
                <w:szCs w:val="19"/>
              </w:rPr>
              <w:t xml:space="preserve">GMD objetivo</w:t>
            </w:r>
          </w:p>
        </w:tc>
        <w:tc>
          <w:tcPr>
            <w:tcW w:type="dxa" w:w="3000"/>
            <w:tcMar>
              <w:top w:type="dxa" w:w="40"/>
              <w:left w:type="dxa" w:w="90"/>
              <w:bottom w:type="dxa" w:w="40"/>
              <w:right w:type="dxa" w:w="90"/>
            </w:tcMar>
          </w:tcPr>
          <w:p>
            <w:pPr>
              <w:spacing w:after="0" w:line="240"/>
              <w:jc w:val="center"/>
            </w:pPr>
            <w:r>
              <w:rPr>
                <w:b w:val="false"/>
                <w:bCs w:val="false"/>
                <w:color w:val="222222"/>
                <w:sz w:val="19"/>
                <w:szCs w:val="19"/>
              </w:rPr>
              <w:t xml:space="preserve">1,3–1,5 kg/día</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Engorde corral 1,22–1,57 kg/día</w:t>
            </w:r>
          </w:p>
        </w:tc>
      </w:tr>
      <w:tr>
        <w:tc>
          <w:tcPr>
            <w:tcW w:type="dxa" w:w="3000"/>
            <w:shd w:fill="F2F2F2" w:color="auto" w:val="clear"/>
            <w:tcMar>
              <w:top w:type="dxa" w:w="40"/>
              <w:left w:type="dxa" w:w="90"/>
              <w:bottom w:type="dxa" w:w="40"/>
              <w:right w:type="dxa" w:w="90"/>
            </w:tcMar>
          </w:tcPr>
          <w:p>
            <w:pPr>
              <w:spacing w:after="0" w:line="240"/>
              <w:jc w:val="left"/>
            </w:pPr>
            <w:r>
              <w:rPr>
                <w:b/>
                <w:bCs/>
                <w:color w:val="222222"/>
                <w:sz w:val="19"/>
                <w:szCs w:val="19"/>
              </w:rPr>
              <w:t xml:space="preserve">Consumo materia seca (MS)</w:t>
            </w:r>
          </w:p>
        </w:tc>
        <w:tc>
          <w:tcPr>
            <w:tcW w:type="dxa" w:w="3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2,3–2,5 % del peso vivo</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Feedlot 8,4–11,6 kg MS/día</w:t>
            </w:r>
          </w:p>
        </w:tc>
      </w:tr>
      <w:tr>
        <w:tc>
          <w:tcPr>
            <w:tcW w:type="dxa" w:w="3000"/>
            <w:tcMar>
              <w:top w:type="dxa" w:w="40"/>
              <w:left w:type="dxa" w:w="90"/>
              <w:bottom w:type="dxa" w:w="40"/>
              <w:right w:type="dxa" w:w="90"/>
            </w:tcMar>
          </w:tcPr>
          <w:p>
            <w:pPr>
              <w:spacing w:after="0" w:line="240"/>
              <w:jc w:val="left"/>
            </w:pPr>
            <w:r>
              <w:rPr>
                <w:b/>
                <w:bCs/>
                <w:color w:val="222222"/>
                <w:sz w:val="19"/>
                <w:szCs w:val="19"/>
              </w:rPr>
              <w:t xml:space="preserve">Índice de conversión</w:t>
            </w:r>
          </w:p>
        </w:tc>
        <w:tc>
          <w:tcPr>
            <w:tcW w:type="dxa" w:w="3000"/>
            <w:tcMar>
              <w:top w:type="dxa" w:w="40"/>
              <w:left w:type="dxa" w:w="90"/>
              <w:bottom w:type="dxa" w:w="40"/>
              <w:right w:type="dxa" w:w="90"/>
            </w:tcMar>
          </w:tcPr>
          <w:p>
            <w:pPr>
              <w:spacing w:after="0" w:line="240"/>
              <w:jc w:val="center"/>
            </w:pPr>
            <w:r>
              <w:rPr>
                <w:b w:val="false"/>
                <w:bCs w:val="false"/>
                <w:color w:val="222222"/>
                <w:sz w:val="19"/>
                <w:szCs w:val="19"/>
              </w:rPr>
              <w:t xml:space="preserve">7–9 kg MS / kg de peso</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Novillos 6–9; corral UY 7,1–9,4</w:t>
            </w:r>
          </w:p>
        </w:tc>
      </w:tr>
      <w:tr>
        <w:tc>
          <w:tcPr>
            <w:tcW w:type="dxa" w:w="3000"/>
            <w:shd w:fill="F2F2F2" w:color="auto" w:val="clear"/>
            <w:tcMar>
              <w:top w:type="dxa" w:w="40"/>
              <w:left w:type="dxa" w:w="90"/>
              <w:bottom w:type="dxa" w:w="40"/>
              <w:right w:type="dxa" w:w="90"/>
            </w:tcMar>
          </w:tcPr>
          <w:p>
            <w:pPr>
              <w:spacing w:after="0" w:line="240"/>
              <w:jc w:val="left"/>
            </w:pPr>
            <w:r>
              <w:rPr>
                <w:b/>
                <w:bCs/>
                <w:color w:val="222222"/>
                <w:sz w:val="19"/>
                <w:szCs w:val="19"/>
              </w:rPr>
              <w:t xml:space="preserve">Duración del encierre</w:t>
            </w:r>
          </w:p>
        </w:tc>
        <w:tc>
          <w:tcPr>
            <w:tcW w:type="dxa" w:w="3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100–120 días</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Feedlot típico 90–128 días</w:t>
            </w:r>
          </w:p>
        </w:tc>
      </w:tr>
    </w:tbl>
    <w:p>
      <w:pPr>
        <w:spacing w:after="120" w:before="40"/>
      </w:pPr>
      <w:r>
        <w:rPr>
          <w:i/>
          <w:iCs/>
          <w:color w:val="777777"/>
          <w:sz w:val="17"/>
          <w:szCs w:val="17"/>
        </w:rPr>
        <w:t xml:space="preserve">Fuente AgroRag: Conclusión «Desempeño productivo – recría/engorde» (14 documentos, incl. invernada 365 INIA, RECRÍA Y ENGORDE ST-269-2024, INTA Nutrición 2014); INTA-Feedlot 2013 «Novillos»; Feedlot Pordomingo.</w:t>
      </w:r>
    </w:p>
    <w:p>
      <w:pPr>
        <w:spacing w:after="120" w:line="276"/>
        <w:jc w:val="both"/>
      </w:pPr>
      <w:r>
        <w:rPr>
          <w:color w:val="222222"/>
          <w:sz w:val="21"/>
          <w:szCs w:val="21"/>
        </w:rPr>
        <w:t xml:space="preserve">Nota importante: los novillos son la categoría menos eficiente en conversión (animal pesado, alto costo de mantenimiento y mayor deposición de grasa), por lo que la conversión empeora a medida que avanza el engrasamiento. Por eso conviene un ciclo corto, con animales bien elegidos y sin excederse en el peso final.</w:t>
      </w:r>
    </w:p>
    <w:p>
      <w:pPr>
        <w:spacing w:after="120" w:before="40"/>
      </w:pPr>
      <w:r>
        <w:rPr>
          <w:i/>
          <w:iCs/>
          <w:color w:val="777777"/>
          <w:sz w:val="17"/>
          <w:szCs w:val="17"/>
        </w:rPr>
        <w:t xml:space="preserve">Fuente AgroRag: «Estudio comparativo…» UdelaR 2009, sección «Novillos» (p.57-58); Feedlot Pordomingo, «Novillos».</w:t>
      </w:r>
    </w:p>
    <w:p>
      <w:r>
        <w:br w:type="page"/>
      </w:r>
    </w:p>
    <w:p>
      <w:pPr>
        <w:pStyle w:val="Heading1"/>
        <w:spacing w:after="140" w:before="320"/>
      </w:pPr>
      <w:r>
        <w:rPr>
          <w:b/>
          <w:bCs/>
          <w:color w:val="1F3A5F"/>
          <w:sz w:val="30"/>
          <w:szCs w:val="30"/>
        </w:rPr>
        <w:t xml:space="preserve">2. Instalaciones y diseño del corral</w:t>
      </w:r>
    </w:p>
    <w:p>
      <w:pPr>
        <w:spacing w:after="120" w:line="276"/>
        <w:jc w:val="both"/>
      </w:pPr>
      <w:r>
        <w:rPr>
          <w:color w:val="222222"/>
          <w:sz w:val="21"/>
          <w:szCs w:val="21"/>
        </w:rPr>
        <w:t xml:space="preserve">Con 100 animales alcanza un corral único o dos corrales para separar por peso/lote de ingreso. Las instalaciones son un factor decisivo del desempeño: piso, drenaje, sombra, frente de comedero y agua condicionan directamente el consumo y la ganancia.</w:t>
      </w:r>
    </w:p>
    <w:p>
      <w:pPr>
        <w:pStyle w:val="Heading2"/>
        <w:spacing w:after="100" w:before="220"/>
      </w:pPr>
      <w:r>
        <w:rPr>
          <w:b/>
          <w:bCs/>
          <w:color w:val="2E5E3A"/>
          <w:sz w:val="25"/>
          <w:szCs w:val="25"/>
        </w:rPr>
        <w:t xml:space="preserve">Dimensionamiento sugerido (100 novillos)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4000"/>
        <w:gridCol w:w="2760"/>
      </w:tblGrid>
      <w:tr>
        <w:trPr>
          <w:tblHeader/>
        </w:trPr>
        <w:tc>
          <w:tcPr>
            <w:tcW w:type="dxa" w:w="2600"/>
            <w:shd w:fill="1F3A5F" w:color="auto" w:val="clear"/>
            <w:tcMar>
              <w:top w:type="dxa" w:w="40"/>
              <w:left w:type="dxa" w:w="90"/>
              <w:bottom w:type="dxa" w:w="40"/>
              <w:right w:type="dxa" w:w="90"/>
            </w:tcMar>
          </w:tcPr>
          <w:p>
            <w:pPr>
              <w:spacing w:after="0" w:line="240"/>
              <w:jc w:val="left"/>
            </w:pPr>
            <w:r>
              <w:rPr>
                <w:b/>
                <w:bCs/>
                <w:color w:val="FFFFFF"/>
                <w:sz w:val="19"/>
                <w:szCs w:val="19"/>
              </w:rPr>
              <w:t xml:space="preserve">Componente</w:t>
            </w:r>
          </w:p>
        </w:tc>
        <w:tc>
          <w:tcPr>
            <w:tcW w:type="dxa" w:w="4000"/>
            <w:shd w:fill="1F3A5F" w:color="auto" w:val="clear"/>
            <w:tcMar>
              <w:top w:type="dxa" w:w="40"/>
              <w:left w:type="dxa" w:w="90"/>
              <w:bottom w:type="dxa" w:w="40"/>
              <w:right w:type="dxa" w:w="90"/>
            </w:tcMar>
          </w:tcPr>
          <w:p>
            <w:pPr>
              <w:spacing w:after="0" w:line="240"/>
              <w:jc w:val="center"/>
            </w:pPr>
            <w:r>
              <w:rPr>
                <w:b/>
                <w:bCs/>
                <w:color w:val="FFFFFF"/>
                <w:sz w:val="19"/>
                <w:szCs w:val="19"/>
              </w:rPr>
              <w:t xml:space="preserve">Criterio AgroRag</w:t>
            </w:r>
          </w:p>
        </w:tc>
        <w:tc>
          <w:tcPr>
            <w:tcW w:type="dxa" w:w="2760"/>
            <w:shd w:fill="1F3A5F" w:color="auto" w:val="clear"/>
            <w:tcMar>
              <w:top w:type="dxa" w:w="40"/>
              <w:left w:type="dxa" w:w="90"/>
              <w:bottom w:type="dxa" w:w="40"/>
              <w:right w:type="dxa" w:w="90"/>
            </w:tcMar>
          </w:tcPr>
          <w:p>
            <w:pPr>
              <w:spacing w:after="0" w:line="240"/>
              <w:jc w:val="center"/>
            </w:pPr>
            <w:r>
              <w:rPr>
                <w:b/>
                <w:bCs/>
                <w:color w:val="FFFFFF"/>
                <w:sz w:val="19"/>
                <w:szCs w:val="19"/>
              </w:rPr>
              <w:t xml:space="preserve">Para 100 novillos</w:t>
            </w:r>
          </w:p>
        </w:tc>
      </w:tr>
      <w:tr>
        <w:tc>
          <w:tcPr>
            <w:tcW w:type="dxa" w:w="2600"/>
            <w:tcMar>
              <w:top w:type="dxa" w:w="40"/>
              <w:left w:type="dxa" w:w="90"/>
              <w:bottom w:type="dxa" w:w="40"/>
              <w:right w:type="dxa" w:w="90"/>
            </w:tcMar>
          </w:tcPr>
          <w:p>
            <w:pPr>
              <w:spacing w:after="0" w:line="240"/>
              <w:jc w:val="left"/>
            </w:pPr>
            <w:r>
              <w:rPr>
                <w:b/>
                <w:bCs/>
                <w:color w:val="222222"/>
                <w:sz w:val="19"/>
                <w:szCs w:val="19"/>
              </w:rPr>
              <w:t xml:space="preserve">Superficie del corral</w:t>
            </w:r>
          </w:p>
        </w:tc>
        <w:tc>
          <w:tcPr>
            <w:tcW w:type="dxa" w:w="4000"/>
            <w:tcMar>
              <w:top w:type="dxa" w:w="40"/>
              <w:left w:type="dxa" w:w="90"/>
              <w:bottom w:type="dxa" w:w="40"/>
              <w:right w:type="dxa" w:w="90"/>
            </w:tcMar>
          </w:tcPr>
          <w:p>
            <w:pPr>
              <w:spacing w:after="0" w:line="240"/>
              <w:jc w:val="center"/>
            </w:pPr>
            <w:r>
              <w:rPr>
                <w:b w:val="false"/>
                <w:bCs w:val="false"/>
                <w:color w:val="222222"/>
                <w:sz w:val="19"/>
                <w:szCs w:val="19"/>
              </w:rPr>
              <w:t xml:space="preserve">≈ 25–30 m²/animal (piso de tierra)</w:t>
            </w:r>
          </w:p>
        </w:tc>
        <w:tc>
          <w:tcPr>
            <w:tcW w:type="dxa" w:w="2760"/>
            <w:tcMar>
              <w:top w:type="dxa" w:w="40"/>
              <w:left w:type="dxa" w:w="90"/>
              <w:bottom w:type="dxa" w:w="40"/>
              <w:right w:type="dxa" w:w="90"/>
            </w:tcMar>
          </w:tcPr>
          <w:p>
            <w:pPr>
              <w:spacing w:after="0" w:line="240"/>
              <w:jc w:val="center"/>
            </w:pPr>
            <w:r>
              <w:rPr>
                <w:b w:val="false"/>
                <w:bCs w:val="false"/>
                <w:color w:val="222222"/>
                <w:sz w:val="19"/>
                <w:szCs w:val="19"/>
              </w:rPr>
              <w:t xml:space="preserve">2.500–3.000 m²</w:t>
            </w:r>
          </w:p>
        </w:tc>
      </w:tr>
      <w:tr>
        <w:tc>
          <w:tcPr>
            <w:tcW w:type="dxa" w:w="2600"/>
            <w:shd w:fill="F2F2F2" w:color="auto" w:val="clear"/>
            <w:tcMar>
              <w:top w:type="dxa" w:w="40"/>
              <w:left w:type="dxa" w:w="90"/>
              <w:bottom w:type="dxa" w:w="40"/>
              <w:right w:type="dxa" w:w="90"/>
            </w:tcMar>
          </w:tcPr>
          <w:p>
            <w:pPr>
              <w:spacing w:after="0" w:line="240"/>
              <w:jc w:val="left"/>
            </w:pPr>
            <w:r>
              <w:rPr>
                <w:b/>
                <w:bCs/>
                <w:color w:val="222222"/>
                <w:sz w:val="19"/>
                <w:szCs w:val="19"/>
              </w:rPr>
              <w:t xml:space="preserve">Frente de comedero</w:t>
            </w:r>
          </w:p>
        </w:tc>
        <w:tc>
          <w:tcPr>
            <w:tcW w:type="dxa" w:w="4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30 cm/animal (acceso simultáneo 65–75 %)</w:t>
            </w:r>
          </w:p>
        </w:tc>
        <w:tc>
          <w:tcPr>
            <w:tcW w:type="dxa" w:w="27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30 m lineales de comedero</w:t>
            </w:r>
          </w:p>
        </w:tc>
      </w:tr>
      <w:tr>
        <w:tc>
          <w:tcPr>
            <w:tcW w:type="dxa" w:w="2600"/>
            <w:tcMar>
              <w:top w:type="dxa" w:w="40"/>
              <w:left w:type="dxa" w:w="90"/>
              <w:bottom w:type="dxa" w:w="40"/>
              <w:right w:type="dxa" w:w="90"/>
            </w:tcMar>
          </w:tcPr>
          <w:p>
            <w:pPr>
              <w:spacing w:after="0" w:line="240"/>
              <w:jc w:val="left"/>
            </w:pPr>
            <w:r>
              <w:rPr>
                <w:b/>
                <w:bCs/>
                <w:color w:val="222222"/>
                <w:sz w:val="19"/>
                <w:szCs w:val="19"/>
              </w:rPr>
              <w:t xml:space="preserve">Ubicación del comedero</w:t>
            </w:r>
          </w:p>
        </w:tc>
        <w:tc>
          <w:tcPr>
            <w:tcW w:type="dxa" w:w="4000"/>
            <w:tcMar>
              <w:top w:type="dxa" w:w="40"/>
              <w:left w:type="dxa" w:w="90"/>
              <w:bottom w:type="dxa" w:w="40"/>
              <w:right w:type="dxa" w:w="90"/>
            </w:tcMar>
          </w:tcPr>
          <w:p>
            <w:pPr>
              <w:spacing w:after="0" w:line="240"/>
              <w:jc w:val="center"/>
            </w:pPr>
            <w:r>
              <w:rPr>
                <w:b w:val="false"/>
                <w:bCs w:val="false"/>
                <w:color w:val="222222"/>
                <w:sz w:val="19"/>
                <w:szCs w:val="19"/>
              </w:rPr>
              <w:t xml:space="preserve">Sobre un lado del corral, no dentro</w:t>
            </w:r>
          </w:p>
        </w:tc>
        <w:tc>
          <w:tcPr>
            <w:tcW w:type="dxa" w:w="2760"/>
            <w:tcMar>
              <w:top w:type="dxa" w:w="40"/>
              <w:left w:type="dxa" w:w="90"/>
              <w:bottom w:type="dxa" w:w="40"/>
              <w:right w:type="dxa" w:w="90"/>
            </w:tcMar>
          </w:tcPr>
          <w:p>
            <w:pPr>
              <w:spacing w:after="0" w:line="240"/>
              <w:jc w:val="center"/>
            </w:pPr>
            <w:r>
              <w:rPr>
                <w:b w:val="false"/>
                <w:bCs w:val="false"/>
                <w:color w:val="222222"/>
                <w:sz w:val="19"/>
                <w:szCs w:val="19"/>
              </w:rPr>
              <w:t xml:space="preserve">Comedero perimetral de acceso externo</w:t>
            </w:r>
          </w:p>
        </w:tc>
      </w:tr>
      <w:tr>
        <w:tc>
          <w:tcPr>
            <w:tcW w:type="dxa" w:w="2600"/>
            <w:shd w:fill="F2F2F2" w:color="auto" w:val="clear"/>
            <w:tcMar>
              <w:top w:type="dxa" w:w="40"/>
              <w:left w:type="dxa" w:w="90"/>
              <w:bottom w:type="dxa" w:w="40"/>
              <w:right w:type="dxa" w:w="90"/>
            </w:tcMar>
          </w:tcPr>
          <w:p>
            <w:pPr>
              <w:spacing w:after="0" w:line="240"/>
              <w:jc w:val="left"/>
            </w:pPr>
            <w:r>
              <w:rPr>
                <w:b/>
                <w:bCs/>
                <w:color w:val="222222"/>
                <w:sz w:val="19"/>
                <w:szCs w:val="19"/>
              </w:rPr>
              <w:t xml:space="preserve">Bebederos</w:t>
            </w:r>
          </w:p>
        </w:tc>
        <w:tc>
          <w:tcPr>
            <w:tcW w:type="dxa" w:w="4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3 cm de frente/animal; 2 por corral</w:t>
            </w:r>
          </w:p>
        </w:tc>
        <w:tc>
          <w:tcPr>
            <w:tcW w:type="dxa" w:w="27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2 bebederos, ≈ 3 m de frente total</w:t>
            </w:r>
          </w:p>
        </w:tc>
      </w:tr>
      <w:tr>
        <w:tc>
          <w:tcPr>
            <w:tcW w:type="dxa" w:w="2600"/>
            <w:tcMar>
              <w:top w:type="dxa" w:w="40"/>
              <w:left w:type="dxa" w:w="90"/>
              <w:bottom w:type="dxa" w:w="40"/>
              <w:right w:type="dxa" w:w="90"/>
            </w:tcMar>
          </w:tcPr>
          <w:p>
            <w:pPr>
              <w:spacing w:after="0" w:line="240"/>
              <w:jc w:val="left"/>
            </w:pPr>
            <w:r>
              <w:rPr>
                <w:b/>
                <w:bCs/>
                <w:color w:val="222222"/>
                <w:sz w:val="19"/>
                <w:szCs w:val="19"/>
              </w:rPr>
              <w:t xml:space="preserve">Provisión de agua</w:t>
            </w:r>
          </w:p>
        </w:tc>
        <w:tc>
          <w:tcPr>
            <w:tcW w:type="dxa" w:w="4000"/>
            <w:tcMar>
              <w:top w:type="dxa" w:w="40"/>
              <w:left w:type="dxa" w:w="90"/>
              <w:bottom w:type="dxa" w:w="40"/>
              <w:right w:type="dxa" w:w="90"/>
            </w:tcMar>
          </w:tcPr>
          <w:p>
            <w:pPr>
              <w:spacing w:after="0" w:line="240"/>
              <w:jc w:val="center"/>
            </w:pPr>
            <w:r>
              <w:rPr>
                <w:b w:val="false"/>
                <w:bCs w:val="false"/>
                <w:color w:val="222222"/>
                <w:sz w:val="19"/>
                <w:szCs w:val="19"/>
              </w:rPr>
              <w:t xml:space="preserve">70 L/animal/día en verano (mitad en invierno)</w:t>
            </w:r>
          </w:p>
        </w:tc>
        <w:tc>
          <w:tcPr>
            <w:tcW w:type="dxa" w:w="2760"/>
            <w:tcMar>
              <w:top w:type="dxa" w:w="40"/>
              <w:left w:type="dxa" w:w="90"/>
              <w:bottom w:type="dxa" w:w="40"/>
              <w:right w:type="dxa" w:w="90"/>
            </w:tcMar>
          </w:tcPr>
          <w:p>
            <w:pPr>
              <w:spacing w:after="0" w:line="240"/>
              <w:jc w:val="center"/>
            </w:pPr>
            <w:r>
              <w:rPr>
                <w:b w:val="false"/>
                <w:bCs w:val="false"/>
                <w:color w:val="222222"/>
                <w:sz w:val="19"/>
                <w:szCs w:val="19"/>
              </w:rPr>
              <w:t xml:space="preserve">≈ 7.000 L/día pico de verano</w:t>
            </w:r>
          </w:p>
        </w:tc>
      </w:tr>
      <w:tr>
        <w:tc>
          <w:tcPr>
            <w:tcW w:type="dxa" w:w="2600"/>
            <w:shd w:fill="F2F2F2" w:color="auto" w:val="clear"/>
            <w:tcMar>
              <w:top w:type="dxa" w:w="40"/>
              <w:left w:type="dxa" w:w="90"/>
              <w:bottom w:type="dxa" w:w="40"/>
              <w:right w:type="dxa" w:w="90"/>
            </w:tcMar>
          </w:tcPr>
          <w:p>
            <w:pPr>
              <w:spacing w:after="0" w:line="240"/>
              <w:jc w:val="left"/>
            </w:pPr>
            <w:r>
              <w:rPr>
                <w:b/>
                <w:bCs/>
                <w:color w:val="222222"/>
                <w:sz w:val="19"/>
                <w:szCs w:val="19"/>
              </w:rPr>
              <w:t xml:space="preserve">Calle de alimentación</w:t>
            </w:r>
          </w:p>
        </w:tc>
        <w:tc>
          <w:tcPr>
            <w:tcW w:type="dxa" w:w="4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Camión/mixer alimenta desde afuera, limpio</w:t>
            </w:r>
          </w:p>
        </w:tc>
        <w:tc>
          <w:tcPr>
            <w:tcW w:type="dxa" w:w="27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Calle firme perimetral</w:t>
            </w:r>
          </w:p>
        </w:tc>
      </w:tr>
    </w:tbl>
    <w:p>
      <w:pPr>
        <w:spacing w:after="120" w:before="40"/>
      </w:pPr>
      <w:r>
        <w:rPr>
          <w:i/>
          <w:iCs/>
          <w:color w:val="777777"/>
          <w:sz w:val="17"/>
          <w:szCs w:val="17"/>
        </w:rPr>
        <w:t xml:space="preserve">Fuente AgroRag: Feedlot Pordomingo «Bebederos» (p.119-121) y «Los comederos» (p.115-117); INTA-Feedlot 2013 «Los comederos»; «Gestión ambiental en el feedlot»; «Estudio comparativo…» UdelaR 2009 (esquema de corral, 30 m²/animal).</w:t>
      </w:r>
    </w:p>
    <w:p>
      <w:pPr>
        <w:pStyle w:val="Heading2"/>
        <w:spacing w:after="100" w:before="220"/>
      </w:pPr>
      <w:r>
        <w:rPr>
          <w:b/>
          <w:bCs/>
          <w:color w:val="2E5E3A"/>
          <w:sz w:val="25"/>
          <w:szCs w:val="25"/>
        </w:rPr>
        <w:t xml:space="preserve">Recomendaciones de diseño</w:t>
      </w:r>
    </w:p>
    <w:p>
      <w:pPr>
        <w:pStyle w:val="ListParagraph"/>
        <w:numPr>
          <w:ilvl w:val="0"/>
          <w:numId w:val="2"/>
        </w:numPr>
        <w:spacing w:after="70" w:line="264"/>
      </w:pPr>
      <w:r>
        <w:rPr>
          <w:color w:val="222222"/>
          <w:sz w:val="21"/>
          <w:szCs w:val="21"/>
        </w:rPr>
        <w:t xml:space="preserve">Comedero de hormigón o batea sobre un lateral, alimentado desde una calle externa: el mixer o carro no debe entrar al corral para no contaminar el alimento con barro ni excrementos.</w:t>
      </w:r>
    </w:p>
    <w:p>
      <w:pPr>
        <w:pStyle w:val="ListParagraph"/>
        <w:numPr>
          <w:ilvl w:val="0"/>
          <w:numId w:val="2"/>
        </w:numPr>
        <w:spacing w:after="70" w:line="264"/>
      </w:pPr>
      <w:r>
        <w:rPr>
          <w:color w:val="222222"/>
          <w:sz w:val="21"/>
          <w:szCs w:val="21"/>
        </w:rPr>
        <w:t xml:space="preserve">Bebederos poco profundos y de alto recambio (agua siempre limpia y fresca), fáciles de limpiar; el agua sucia o estancada deprime el consumo y la ganancia.</w:t>
      </w:r>
    </w:p>
    <w:p>
      <w:pPr>
        <w:pStyle w:val="ListParagraph"/>
        <w:numPr>
          <w:ilvl w:val="0"/>
          <w:numId w:val="2"/>
        </w:numPr>
        <w:spacing w:after="70" w:line="264"/>
      </w:pPr>
      <w:r>
        <w:rPr>
          <w:color w:val="222222"/>
          <w:sz w:val="21"/>
          <w:szCs w:val="21"/>
        </w:rPr>
        <w:t xml:space="preserve">Piso con pendiente (2–4 %) para drenaje, evitando barro que reduce consumo y favorece problemas de garrones y respiratorios.</w:t>
      </w:r>
    </w:p>
    <w:p>
      <w:pPr>
        <w:pStyle w:val="ListParagraph"/>
        <w:numPr>
          <w:ilvl w:val="0"/>
          <w:numId w:val="2"/>
        </w:numPr>
        <w:spacing w:after="70" w:line="264"/>
      </w:pPr>
      <w:r>
        <w:rPr>
          <w:color w:val="222222"/>
          <w:sz w:val="21"/>
          <w:szCs w:val="21"/>
        </w:rPr>
        <w:t xml:space="preserve">Sombra: prever encierre en horas de altas temperaturas, sombra y agua para mitigar el estrés calórico, especialmente en verano (el verano es la peor estación en GMD y conversión).</w:t>
      </w:r>
    </w:p>
    <w:p>
      <w:pPr>
        <w:pStyle w:val="ListParagraph"/>
        <w:numPr>
          <w:ilvl w:val="0"/>
          <w:numId w:val="2"/>
        </w:numPr>
        <w:spacing w:after="70" w:line="264"/>
      </w:pPr>
      <w:r>
        <w:rPr>
          <w:color w:val="222222"/>
          <w:sz w:val="21"/>
          <w:szCs w:val="21"/>
        </w:rPr>
        <w:t xml:space="preserve">Manga, corral de encierre y balanza para pesadas de ingreso, control y salida; despuntar guampas antes del ingreso para evitar golpes entre animales.</w:t>
      </w:r>
    </w:p>
    <w:p>
      <w:pPr>
        <w:spacing w:after="120" w:before="40"/>
      </w:pPr>
      <w:r>
        <w:rPr>
          <w:i/>
          <w:iCs/>
          <w:color w:val="777777"/>
          <w:sz w:val="17"/>
          <w:szCs w:val="17"/>
        </w:rPr>
        <w:t xml:space="preserve">Fuente AgroRag: UPIC Compendio, «Preparándose para el verano: encierre durante horas de altas temperaturas, sombra y agua»; RECRÍA Y ENGORDE ST-269-2024 (estación del año e instalaciones sobre el desempeño); «La Correntina», Paysandú (despunte de guampas).</w:t>
      </w:r>
    </w:p>
    <w:p>
      <w:r>
        <w:br w:type="page"/>
      </w:r>
    </w:p>
    <w:p>
      <w:pPr>
        <w:pStyle w:val="Heading1"/>
        <w:spacing w:after="140" w:before="320"/>
      </w:pPr>
      <w:r>
        <w:rPr>
          <w:b/>
          <w:bCs/>
          <w:color w:val="1F3A5F"/>
          <w:sz w:val="30"/>
          <w:szCs w:val="30"/>
        </w:rPr>
        <w:t xml:space="preserve">3. Dieta y período de adaptación</w:t>
      </w:r>
    </w:p>
    <w:p>
      <w:pPr>
        <w:spacing w:after="120" w:line="276"/>
        <w:jc w:val="both"/>
      </w:pPr>
      <w:r>
        <w:rPr>
          <w:color w:val="222222"/>
          <w:sz w:val="21"/>
          <w:szCs w:val="21"/>
        </w:rPr>
        <w:t xml:space="preserve">La dieta de terminación es de alto concentrado (alta energía) con una fracción mínima de fibra efectiva. En Uruguay la base típica es grano (maíz o sorgo), un voluminoso/fibra (fardo o silo), un concentrado proteico (expeller/harina de soja o girasol) y un núcleo mineral-vitamínico. El grano entero de maíz es la opción de menor riesgo de acidosis frente al sorgo molido, y da ganancias altas y consistentes entre años.</w:t>
      </w:r>
    </w:p>
    <w:p>
      <w:pPr>
        <w:spacing w:after="120" w:before="40"/>
      </w:pPr>
      <w:r>
        <w:rPr>
          <w:i/>
          <w:iCs/>
          <w:color w:val="777777"/>
          <w:sz w:val="17"/>
          <w:szCs w:val="17"/>
        </w:rPr>
        <w:t xml:space="preserve">Fuente AgroRag: UPIC Compendio, cap. 9: dietas 80 % grano entero de maíz → ganancias mayores y más consistentes, menor riesgo de acidosis que el sorgo molido; «La Correntina» (composición fibra-energía-proteína-núcleo).</w:t>
      </w:r>
    </w:p>
    <w:p>
      <w:pPr>
        <w:pStyle w:val="Heading2"/>
        <w:spacing w:after="100" w:before="220"/>
      </w:pPr>
      <w:r>
        <w:rPr>
          <w:b/>
          <w:bCs/>
          <w:color w:val="2E5E3A"/>
          <w:sz w:val="25"/>
          <w:szCs w:val="25"/>
        </w:rPr>
        <w:t xml:space="preserve">Ración de terminación (orientativa, base seca)</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400"/>
        <w:gridCol w:w="2600"/>
        <w:gridCol w:w="3360"/>
      </w:tblGrid>
      <w:tr>
        <w:trPr>
          <w:tblHeader/>
        </w:trPr>
        <w:tc>
          <w:tcPr>
            <w:tcW w:type="dxa" w:w="3400"/>
            <w:shd w:fill="1F3A5F" w:color="auto" w:val="clear"/>
            <w:tcMar>
              <w:top w:type="dxa" w:w="40"/>
              <w:left w:type="dxa" w:w="90"/>
              <w:bottom w:type="dxa" w:w="40"/>
              <w:right w:type="dxa" w:w="90"/>
            </w:tcMar>
          </w:tcPr>
          <w:p>
            <w:pPr>
              <w:spacing w:after="0" w:line="240"/>
              <w:jc w:val="left"/>
            </w:pPr>
            <w:r>
              <w:rPr>
                <w:b/>
                <w:bCs/>
                <w:color w:val="FFFFFF"/>
                <w:sz w:val="19"/>
                <w:szCs w:val="19"/>
              </w:rPr>
              <w:t xml:space="preserve">Ingrediente</w:t>
            </w:r>
          </w:p>
        </w:tc>
        <w:tc>
          <w:tcPr>
            <w:tcW w:type="dxa" w:w="2600"/>
            <w:shd w:fill="1F3A5F" w:color="auto" w:val="clear"/>
            <w:tcMar>
              <w:top w:type="dxa" w:w="40"/>
              <w:left w:type="dxa" w:w="90"/>
              <w:bottom w:type="dxa" w:w="40"/>
              <w:right w:type="dxa" w:w="90"/>
            </w:tcMar>
          </w:tcPr>
          <w:p>
            <w:pPr>
              <w:spacing w:after="0" w:line="240"/>
              <w:jc w:val="center"/>
            </w:pPr>
            <w:r>
              <w:rPr>
                <w:b/>
                <w:bCs/>
                <w:color w:val="FFFFFF"/>
                <w:sz w:val="19"/>
                <w:szCs w:val="19"/>
              </w:rPr>
              <w:t xml:space="preserve">% de la dieta (MS)</w:t>
            </w:r>
          </w:p>
        </w:tc>
        <w:tc>
          <w:tcPr>
            <w:tcW w:type="dxa" w:w="3360"/>
            <w:shd w:fill="1F3A5F" w:color="auto" w:val="clear"/>
            <w:tcMar>
              <w:top w:type="dxa" w:w="40"/>
              <w:left w:type="dxa" w:w="90"/>
              <w:bottom w:type="dxa" w:w="40"/>
              <w:right w:type="dxa" w:w="90"/>
            </w:tcMar>
          </w:tcPr>
          <w:p>
            <w:pPr>
              <w:spacing w:after="0" w:line="240"/>
              <w:jc w:val="center"/>
            </w:pPr>
            <w:r>
              <w:rPr>
                <w:b/>
                <w:bCs/>
                <w:color w:val="FFFFFF"/>
                <w:sz w:val="19"/>
                <w:szCs w:val="19"/>
              </w:rPr>
              <w:t xml:space="preserve">Función</w:t>
            </w:r>
          </w:p>
        </w:tc>
      </w:tr>
      <w:tr>
        <w:tc>
          <w:tcPr>
            <w:tcW w:type="dxa" w:w="3400"/>
            <w:tcMar>
              <w:top w:type="dxa" w:w="40"/>
              <w:left w:type="dxa" w:w="90"/>
              <w:bottom w:type="dxa" w:w="40"/>
              <w:right w:type="dxa" w:w="90"/>
            </w:tcMar>
          </w:tcPr>
          <w:p>
            <w:pPr>
              <w:spacing w:after="0" w:line="240"/>
              <w:jc w:val="left"/>
            </w:pPr>
            <w:r>
              <w:rPr>
                <w:b/>
                <w:bCs/>
                <w:color w:val="222222"/>
                <w:sz w:val="19"/>
                <w:szCs w:val="19"/>
              </w:rPr>
              <w:t xml:space="preserve">Grano de maíz entero (o sorgo)</w:t>
            </w:r>
          </w:p>
        </w:tc>
        <w:tc>
          <w:tcPr>
            <w:tcW w:type="dxa" w:w="2600"/>
            <w:tcMar>
              <w:top w:type="dxa" w:w="40"/>
              <w:left w:type="dxa" w:w="90"/>
              <w:bottom w:type="dxa" w:w="40"/>
              <w:right w:type="dxa" w:w="90"/>
            </w:tcMar>
          </w:tcPr>
          <w:p>
            <w:pPr>
              <w:spacing w:after="0" w:line="240"/>
              <w:jc w:val="center"/>
            </w:pPr>
            <w:r>
              <w:rPr>
                <w:b w:val="false"/>
                <w:bCs w:val="false"/>
                <w:color w:val="222222"/>
                <w:sz w:val="19"/>
                <w:szCs w:val="19"/>
              </w:rPr>
              <w:t xml:space="preserve">70–75 %</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Energía (base de la ración)</w:t>
            </w:r>
          </w:p>
        </w:tc>
      </w:tr>
      <w:tr>
        <w:tc>
          <w:tcPr>
            <w:tcW w:type="dxa" w:w="3400"/>
            <w:shd w:fill="F2F2F2" w:color="auto" w:val="clear"/>
            <w:tcMar>
              <w:top w:type="dxa" w:w="40"/>
              <w:left w:type="dxa" w:w="90"/>
              <w:bottom w:type="dxa" w:w="40"/>
              <w:right w:type="dxa" w:w="90"/>
            </w:tcMar>
          </w:tcPr>
          <w:p>
            <w:pPr>
              <w:spacing w:after="0" w:line="240"/>
              <w:jc w:val="left"/>
            </w:pPr>
            <w:r>
              <w:rPr>
                <w:b/>
                <w:bCs/>
                <w:color w:val="222222"/>
                <w:sz w:val="19"/>
                <w:szCs w:val="19"/>
              </w:rPr>
              <w:t xml:space="preserve">Voluminoso / fibra (fardo o silo)</w:t>
            </w:r>
          </w:p>
        </w:tc>
        <w:tc>
          <w:tcPr>
            <w:tcW w:type="dxa" w:w="26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10–15 %</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Fibra efectiva, salud ruminal</w:t>
            </w:r>
          </w:p>
        </w:tc>
      </w:tr>
      <w:tr>
        <w:tc>
          <w:tcPr>
            <w:tcW w:type="dxa" w:w="3400"/>
            <w:tcMar>
              <w:top w:type="dxa" w:w="40"/>
              <w:left w:type="dxa" w:w="90"/>
              <w:bottom w:type="dxa" w:w="40"/>
              <w:right w:type="dxa" w:w="90"/>
            </w:tcMar>
          </w:tcPr>
          <w:p>
            <w:pPr>
              <w:spacing w:after="0" w:line="240"/>
              <w:jc w:val="left"/>
            </w:pPr>
            <w:r>
              <w:rPr>
                <w:b/>
                <w:bCs/>
                <w:color w:val="222222"/>
                <w:sz w:val="19"/>
                <w:szCs w:val="19"/>
              </w:rPr>
              <w:t xml:space="preserve">Expeller o harina de soja/girasol</w:t>
            </w:r>
          </w:p>
        </w:tc>
        <w:tc>
          <w:tcPr>
            <w:tcW w:type="dxa" w:w="2600"/>
            <w:tcMar>
              <w:top w:type="dxa" w:w="40"/>
              <w:left w:type="dxa" w:w="90"/>
              <w:bottom w:type="dxa" w:w="40"/>
              <w:right w:type="dxa" w:w="90"/>
            </w:tcMar>
          </w:tcPr>
          <w:p>
            <w:pPr>
              <w:spacing w:after="0" w:line="240"/>
              <w:jc w:val="center"/>
            </w:pPr>
            <w:r>
              <w:rPr>
                <w:b w:val="false"/>
                <w:bCs w:val="false"/>
                <w:color w:val="222222"/>
                <w:sz w:val="19"/>
                <w:szCs w:val="19"/>
              </w:rPr>
              <w:t xml:space="preserve">12–15 %</w:t>
            </w:r>
          </w:p>
        </w:tc>
        <w:tc>
          <w:tcPr>
            <w:tcW w:type="dxa" w:w="3360"/>
            <w:tcMar>
              <w:top w:type="dxa" w:w="40"/>
              <w:left w:type="dxa" w:w="90"/>
              <w:bottom w:type="dxa" w:w="40"/>
              <w:right w:type="dxa" w:w="90"/>
            </w:tcMar>
          </w:tcPr>
          <w:p>
            <w:pPr>
              <w:spacing w:after="0" w:line="240"/>
              <w:jc w:val="center"/>
            </w:pPr>
            <w:r>
              <w:rPr>
                <w:b w:val="false"/>
                <w:bCs w:val="false"/>
                <w:color w:val="222222"/>
                <w:sz w:val="19"/>
                <w:szCs w:val="19"/>
              </w:rPr>
              <w:t xml:space="preserve">Proteína (llegar al % PB requerido)</w:t>
            </w:r>
          </w:p>
        </w:tc>
      </w:tr>
      <w:tr>
        <w:tc>
          <w:tcPr>
            <w:tcW w:type="dxa" w:w="3400"/>
            <w:shd w:fill="F2F2F2" w:color="auto" w:val="clear"/>
            <w:tcMar>
              <w:top w:type="dxa" w:w="40"/>
              <w:left w:type="dxa" w:w="90"/>
              <w:bottom w:type="dxa" w:w="40"/>
              <w:right w:type="dxa" w:w="90"/>
            </w:tcMar>
          </w:tcPr>
          <w:p>
            <w:pPr>
              <w:spacing w:after="0" w:line="240"/>
              <w:jc w:val="left"/>
            </w:pPr>
            <w:r>
              <w:rPr>
                <w:b/>
                <w:bCs/>
                <w:color w:val="222222"/>
                <w:sz w:val="19"/>
                <w:szCs w:val="19"/>
              </w:rPr>
              <w:t xml:space="preserve">Núcleo mineral-vitamínico + aditivos</w:t>
            </w:r>
          </w:p>
        </w:tc>
        <w:tc>
          <w:tcPr>
            <w:tcW w:type="dxa" w:w="26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1–2 %</w:t>
            </w:r>
          </w:p>
        </w:tc>
        <w:tc>
          <w:tcPr>
            <w:tcW w:type="dxa" w:w="3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Minerales, vitaminas, ionóforo, buffer</w:t>
            </w:r>
          </w:p>
        </w:tc>
      </w:tr>
    </w:tbl>
    <w:p>
      <w:pPr>
        <w:spacing w:after="120" w:line="276"/>
        <w:jc w:val="both"/>
      </w:pPr>
      <w:r>
        <w:rPr>
          <w:color w:val="222222"/>
          <w:sz w:val="21"/>
          <w:szCs w:val="21"/>
        </w:rPr>
        <w:t xml:space="preserve">El aporte proteico se ajusta al mínimo necesario para cubrir el requerimiento de la categoría: el novillo en terminación es menos exigente en proteína que el ternero. La harina de girasol aporta 28–32 % PB y la de soja 42–48 % PB; conviene analizar el insumo real para ajustar la inclusión. El maíz, aunque bajo en proteína (7–9 %), aporta una fracción no despreciable por ser mayoritario en la dieta.</w:t>
      </w:r>
    </w:p>
    <w:p>
      <w:pPr>
        <w:spacing w:after="120" w:before="40"/>
      </w:pPr>
      <w:r>
        <w:rPr>
          <w:i/>
          <w:iCs/>
          <w:color w:val="777777"/>
          <w:sz w:val="17"/>
          <w:szCs w:val="17"/>
        </w:rPr>
        <w:t xml:space="preserve">Fuente AgroRag: INTA-Feedlot 2013 y Feedlot Pordomingo, «El concentrado proteico»; INTA Nutrición 2014 (uso de harina de girasol ± urea).</w:t>
      </w:r>
    </w:p>
    <w:p>
      <w:pPr>
        <w:pStyle w:val="Heading2"/>
        <w:spacing w:after="100" w:before="220"/>
      </w:pPr>
      <w:r>
        <w:rPr>
          <w:b/>
          <w:bCs/>
          <w:color w:val="2E5E3A"/>
          <w:sz w:val="25"/>
          <w:szCs w:val="25"/>
        </w:rPr>
        <w:t xml:space="preserve">Aditivos recomendados</w:t>
      </w:r>
    </w:p>
    <w:p>
      <w:pPr>
        <w:pStyle w:val="ListParagraph"/>
        <w:numPr>
          <w:ilvl w:val="0"/>
          <w:numId w:val="2"/>
        </w:numPr>
        <w:spacing w:after="70" w:line="264"/>
      </w:pPr>
      <w:r>
        <w:rPr>
          <w:b/>
          <w:bCs/>
          <w:color w:val="222222"/>
          <w:sz w:val="21"/>
          <w:szCs w:val="21"/>
        </w:rPr>
        <w:t xml:space="preserve">Ionóforo (monensina): </w:t>
      </w:r>
      <w:r>
        <w:rPr>
          <w:b w:val="false"/>
          <w:bCs w:val="false"/>
          <w:color w:val="222222"/>
          <w:sz w:val="21"/>
          <w:szCs w:val="21"/>
        </w:rPr>
        <w:t xml:space="preserve">mejora la eficiencia de conversión y ayuda a controlar la fermentación ruminal; se incorpora en el núcleo/premezcla.</w:t>
      </w:r>
    </w:p>
    <w:p>
      <w:pPr>
        <w:pStyle w:val="ListParagraph"/>
        <w:numPr>
          <w:ilvl w:val="0"/>
          <w:numId w:val="2"/>
        </w:numPr>
        <w:spacing w:after="70" w:line="264"/>
      </w:pPr>
      <w:r>
        <w:rPr>
          <w:b/>
          <w:bCs/>
          <w:color w:val="222222"/>
          <w:sz w:val="21"/>
          <w:szCs w:val="21"/>
        </w:rPr>
        <w:t xml:space="preserve">Buffer (bicarbonato de sodio) y/o óxido de magnesio: </w:t>
      </w:r>
      <w:r>
        <w:rPr>
          <w:b w:val="false"/>
          <w:bCs w:val="false"/>
          <w:color w:val="222222"/>
          <w:sz w:val="21"/>
          <w:szCs w:val="21"/>
        </w:rPr>
        <w:t xml:space="preserve">estabilizan el pH ruminal y reducen el riesgo de acidosis subaguda (SARA), sobre todo en la transición a alto grano.</w:t>
      </w:r>
    </w:p>
    <w:p>
      <w:pPr>
        <w:pStyle w:val="ListParagraph"/>
        <w:numPr>
          <w:ilvl w:val="0"/>
          <w:numId w:val="2"/>
        </w:numPr>
        <w:spacing w:after="70" w:line="264"/>
      </w:pPr>
      <w:r>
        <w:rPr>
          <w:b/>
          <w:bCs/>
          <w:color w:val="222222"/>
          <w:sz w:val="21"/>
          <w:szCs w:val="21"/>
        </w:rPr>
        <w:t xml:space="preserve">Fibra efectiva suficiente: </w:t>
      </w:r>
      <w:r>
        <w:rPr>
          <w:b w:val="false"/>
          <w:bCs w:val="false"/>
          <w:color w:val="222222"/>
          <w:sz w:val="21"/>
          <w:szCs w:val="21"/>
        </w:rPr>
        <w:t xml:space="preserve">mantener el voluminoso adecuado (fardo/silo) es la primera barrera contra la acidosis; no bajar la fibra por debajo de lo necesario para «cargar más grano».</w:t>
      </w:r>
    </w:p>
    <w:p>
      <w:pPr>
        <w:spacing w:after="120" w:before="40"/>
      </w:pPr>
      <w:r>
        <w:rPr>
          <w:i/>
          <w:iCs/>
          <w:color w:val="777777"/>
          <w:sz w:val="17"/>
          <w:szCs w:val="17"/>
        </w:rPr>
        <w:t xml:space="preserve">Fuente AgroRag: Conclusión SARA (14 citas: «La acidosis ruminal subaguda es un problema», Seminario Rumenología 2012, presentación Orskov, 8250/11101); INTA-Feedlot 2013 (premezcla con monensina).</w:t>
      </w:r>
    </w:p>
    <w:p>
      <w:pPr>
        <w:pStyle w:val="Heading2"/>
        <w:spacing w:after="100" w:before="220"/>
      </w:pPr>
      <w:r>
        <w:rPr>
          <w:b/>
          <w:bCs/>
          <w:color w:val="2E5E3A"/>
          <w:sz w:val="25"/>
          <w:szCs w:val="25"/>
        </w:rPr>
        <w:t xml:space="preserve">Período de adaptación (acostumbramiento) — clave para evitar acidosis</w:t>
      </w:r>
    </w:p>
    <w:p>
      <w:pPr>
        <w:spacing w:after="120" w:line="276"/>
        <w:jc w:val="both"/>
      </w:pPr>
      <w:r>
        <w:rPr>
          <w:color w:val="222222"/>
          <w:sz w:val="21"/>
          <w:szCs w:val="21"/>
        </w:rPr>
        <w:t xml:space="preserve">La transición de dieta forrajera a alto grano es el momento de mayor riesgo. Se hace un encierre de acostumbramiento de 10 a 21 días, subiendo el concentrado en forma escalonada (step-up) y arrancando con una dieta de menor tenor energético. El primer día se encierra con agua y sombra, sin suministrar concentrado.</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100"/>
        <w:gridCol w:w="2100"/>
        <w:gridCol w:w="2100"/>
        <w:gridCol w:w="3060"/>
      </w:tblGrid>
      <w:tr>
        <w:trPr>
          <w:tblHeader/>
        </w:trPr>
        <w:tc>
          <w:tcPr>
            <w:tcW w:type="dxa" w:w="2100"/>
            <w:shd w:fill="1F3A5F" w:color="auto" w:val="clear"/>
            <w:tcMar>
              <w:top w:type="dxa" w:w="40"/>
              <w:left w:type="dxa" w:w="90"/>
              <w:bottom w:type="dxa" w:w="40"/>
              <w:right w:type="dxa" w:w="90"/>
            </w:tcMar>
          </w:tcPr>
          <w:p>
            <w:pPr>
              <w:spacing w:after="0" w:line="240"/>
              <w:jc w:val="left"/>
            </w:pPr>
            <w:r>
              <w:rPr>
                <w:b/>
                <w:bCs/>
                <w:color w:val="FFFFFF"/>
                <w:sz w:val="19"/>
                <w:szCs w:val="19"/>
              </w:rPr>
              <w:t xml:space="preserve">Etapa (días)</w:t>
            </w:r>
          </w:p>
        </w:tc>
        <w:tc>
          <w:tcPr>
            <w:tcW w:type="dxa" w:w="2100"/>
            <w:shd w:fill="1F3A5F" w:color="auto" w:val="clear"/>
            <w:tcMar>
              <w:top w:type="dxa" w:w="40"/>
              <w:left w:type="dxa" w:w="90"/>
              <w:bottom w:type="dxa" w:w="40"/>
              <w:right w:type="dxa" w:w="90"/>
            </w:tcMar>
          </w:tcPr>
          <w:p>
            <w:pPr>
              <w:spacing w:after="0" w:line="240"/>
              <w:jc w:val="center"/>
            </w:pPr>
            <w:r>
              <w:rPr>
                <w:b/>
                <w:bCs/>
                <w:color w:val="FFFFFF"/>
                <w:sz w:val="19"/>
                <w:szCs w:val="19"/>
              </w:rPr>
              <w:t xml:space="preserve">% Concentrado</w:t>
            </w:r>
          </w:p>
        </w:tc>
        <w:tc>
          <w:tcPr>
            <w:tcW w:type="dxa" w:w="2100"/>
            <w:shd w:fill="1F3A5F" w:color="auto" w:val="clear"/>
            <w:tcMar>
              <w:top w:type="dxa" w:w="40"/>
              <w:left w:type="dxa" w:w="90"/>
              <w:bottom w:type="dxa" w:w="40"/>
              <w:right w:type="dxa" w:w="90"/>
            </w:tcMar>
          </w:tcPr>
          <w:p>
            <w:pPr>
              <w:spacing w:after="0" w:line="240"/>
              <w:jc w:val="center"/>
            </w:pPr>
            <w:r>
              <w:rPr>
                <w:b/>
                <w:bCs/>
                <w:color w:val="FFFFFF"/>
                <w:sz w:val="19"/>
                <w:szCs w:val="19"/>
              </w:rPr>
              <w:t xml:space="preserve">% Voluminoso</w:t>
            </w:r>
          </w:p>
        </w:tc>
        <w:tc>
          <w:tcPr>
            <w:tcW w:type="dxa" w:w="3060"/>
            <w:shd w:fill="1F3A5F" w:color="auto" w:val="clear"/>
            <w:tcMar>
              <w:top w:type="dxa" w:w="40"/>
              <w:left w:type="dxa" w:w="90"/>
              <w:bottom w:type="dxa" w:w="40"/>
              <w:right w:type="dxa" w:w="90"/>
            </w:tcMar>
          </w:tcPr>
          <w:p>
            <w:pPr>
              <w:spacing w:after="0" w:line="240"/>
              <w:jc w:val="center"/>
            </w:pPr>
            <w:r>
              <w:rPr>
                <w:b/>
                <w:bCs/>
                <w:color w:val="FFFFFF"/>
                <w:sz w:val="19"/>
                <w:szCs w:val="19"/>
              </w:rPr>
              <w:t xml:space="preserve">Observaciones</w:t>
            </w:r>
          </w:p>
        </w:tc>
      </w:tr>
      <w:tr>
        <w:tc>
          <w:tcPr>
            <w:tcW w:type="dxa" w:w="2100"/>
            <w:tcMar>
              <w:top w:type="dxa" w:w="40"/>
              <w:left w:type="dxa" w:w="90"/>
              <w:bottom w:type="dxa" w:w="40"/>
              <w:right w:type="dxa" w:w="90"/>
            </w:tcMar>
          </w:tcPr>
          <w:p>
            <w:pPr>
              <w:spacing w:after="0" w:line="240"/>
              <w:jc w:val="left"/>
            </w:pPr>
            <w:r>
              <w:rPr>
                <w:b/>
                <w:bCs/>
                <w:color w:val="222222"/>
                <w:sz w:val="19"/>
                <w:szCs w:val="19"/>
              </w:rPr>
              <w:t xml:space="preserve">Día 1</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0 %</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Agua/sombra</w:t>
            </w:r>
          </w:p>
        </w:tc>
        <w:tc>
          <w:tcPr>
            <w:tcW w:type="dxa" w:w="3060"/>
            <w:tcMar>
              <w:top w:type="dxa" w:w="40"/>
              <w:left w:type="dxa" w:w="90"/>
              <w:bottom w:type="dxa" w:w="40"/>
              <w:right w:type="dxa" w:w="90"/>
            </w:tcMar>
          </w:tcPr>
          <w:p>
            <w:pPr>
              <w:spacing w:after="0" w:line="240"/>
              <w:jc w:val="center"/>
            </w:pPr>
            <w:r>
              <w:rPr>
                <w:b w:val="false"/>
                <w:bCs w:val="false"/>
                <w:color w:val="222222"/>
                <w:sz w:val="19"/>
                <w:szCs w:val="19"/>
              </w:rPr>
              <w:t xml:space="preserve">Encierre, agua a voluntad, sin grano</w:t>
            </w:r>
          </w:p>
        </w:tc>
      </w:tr>
      <w:tr>
        <w:tc>
          <w:tcPr>
            <w:tcW w:type="dxa" w:w="2100"/>
            <w:shd w:fill="F2F2F2" w:color="auto" w:val="clear"/>
            <w:tcMar>
              <w:top w:type="dxa" w:w="40"/>
              <w:left w:type="dxa" w:w="90"/>
              <w:bottom w:type="dxa" w:w="40"/>
              <w:right w:type="dxa" w:w="90"/>
            </w:tcMar>
          </w:tcPr>
          <w:p>
            <w:pPr>
              <w:spacing w:after="0" w:line="240"/>
              <w:jc w:val="left"/>
            </w:pPr>
            <w:r>
              <w:rPr>
                <w:b/>
                <w:bCs/>
                <w:color w:val="222222"/>
                <w:sz w:val="19"/>
                <w:szCs w:val="19"/>
              </w:rPr>
              <w:t xml:space="preserve">Días 2–4</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40 %</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60 %</w:t>
            </w:r>
          </w:p>
        </w:tc>
        <w:tc>
          <w:tcPr>
            <w:tcW w:type="dxa" w:w="30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Fardo desparramado + grano bajo; 50–70 cm de frente/animal</w:t>
            </w:r>
          </w:p>
        </w:tc>
      </w:tr>
      <w:tr>
        <w:tc>
          <w:tcPr>
            <w:tcW w:type="dxa" w:w="2100"/>
            <w:tcMar>
              <w:top w:type="dxa" w:w="40"/>
              <w:left w:type="dxa" w:w="90"/>
              <w:bottom w:type="dxa" w:w="40"/>
              <w:right w:type="dxa" w:w="90"/>
            </w:tcMar>
          </w:tcPr>
          <w:p>
            <w:pPr>
              <w:spacing w:after="0" w:line="240"/>
              <w:jc w:val="left"/>
            </w:pPr>
            <w:r>
              <w:rPr>
                <w:b/>
                <w:bCs/>
                <w:color w:val="222222"/>
                <w:sz w:val="19"/>
                <w:szCs w:val="19"/>
              </w:rPr>
              <w:t xml:space="preserve">Días 5–8</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 55 %</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 45 %</w:t>
            </w:r>
          </w:p>
        </w:tc>
        <w:tc>
          <w:tcPr>
            <w:tcW w:type="dxa" w:w="3060"/>
            <w:tcMar>
              <w:top w:type="dxa" w:w="40"/>
              <w:left w:type="dxa" w:w="90"/>
              <w:bottom w:type="dxa" w:w="40"/>
              <w:right w:type="dxa" w:w="90"/>
            </w:tcMar>
          </w:tcPr>
          <w:p>
            <w:pPr>
              <w:spacing w:after="0" w:line="240"/>
              <w:jc w:val="center"/>
            </w:pPr>
            <w:r>
              <w:rPr>
                <w:b w:val="false"/>
                <w:bCs w:val="false"/>
                <w:color w:val="222222"/>
                <w:sz w:val="19"/>
                <w:szCs w:val="19"/>
              </w:rPr>
              <w:t xml:space="preserve">Subir grano gradualmente</w:t>
            </w:r>
          </w:p>
        </w:tc>
      </w:tr>
      <w:tr>
        <w:tc>
          <w:tcPr>
            <w:tcW w:type="dxa" w:w="2100"/>
            <w:shd w:fill="F2F2F2" w:color="auto" w:val="clear"/>
            <w:tcMar>
              <w:top w:type="dxa" w:w="40"/>
              <w:left w:type="dxa" w:w="90"/>
              <w:bottom w:type="dxa" w:w="40"/>
              <w:right w:type="dxa" w:w="90"/>
            </w:tcMar>
          </w:tcPr>
          <w:p>
            <w:pPr>
              <w:spacing w:after="0" w:line="240"/>
              <w:jc w:val="left"/>
            </w:pPr>
            <w:r>
              <w:rPr>
                <w:b/>
                <w:bCs/>
                <w:color w:val="222222"/>
                <w:sz w:val="19"/>
                <w:szCs w:val="19"/>
              </w:rPr>
              <w:t xml:space="preserve">Días 9–12</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70 %</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30 %</w:t>
            </w:r>
          </w:p>
        </w:tc>
        <w:tc>
          <w:tcPr>
            <w:tcW w:type="dxa" w:w="30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Vigilar consumo y bosta</w:t>
            </w:r>
          </w:p>
        </w:tc>
      </w:tr>
      <w:tr>
        <w:tc>
          <w:tcPr>
            <w:tcW w:type="dxa" w:w="2100"/>
            <w:tcMar>
              <w:top w:type="dxa" w:w="40"/>
              <w:left w:type="dxa" w:w="90"/>
              <w:bottom w:type="dxa" w:w="40"/>
              <w:right w:type="dxa" w:w="90"/>
            </w:tcMar>
          </w:tcPr>
          <w:p>
            <w:pPr>
              <w:spacing w:after="0" w:line="240"/>
              <w:jc w:val="left"/>
            </w:pPr>
            <w:r>
              <w:rPr>
                <w:b/>
                <w:bCs/>
                <w:color w:val="222222"/>
                <w:sz w:val="19"/>
                <w:szCs w:val="19"/>
              </w:rPr>
              <w:t xml:space="preserve">Días 13–16</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 80 %</w:t>
            </w:r>
          </w:p>
        </w:tc>
        <w:tc>
          <w:tcPr>
            <w:tcW w:type="dxa" w:w="2100"/>
            <w:tcMar>
              <w:top w:type="dxa" w:w="40"/>
              <w:left w:type="dxa" w:w="90"/>
              <w:bottom w:type="dxa" w:w="40"/>
              <w:right w:type="dxa" w:w="90"/>
            </w:tcMar>
          </w:tcPr>
          <w:p>
            <w:pPr>
              <w:spacing w:after="0" w:line="240"/>
              <w:jc w:val="center"/>
            </w:pPr>
            <w:r>
              <w:rPr>
                <w:b w:val="false"/>
                <w:bCs w:val="false"/>
                <w:color w:val="222222"/>
                <w:sz w:val="19"/>
                <w:szCs w:val="19"/>
              </w:rPr>
              <w:t xml:space="preserve">≈ 20 %</w:t>
            </w:r>
          </w:p>
        </w:tc>
        <w:tc>
          <w:tcPr>
            <w:tcW w:type="dxa" w:w="3060"/>
            <w:tcMar>
              <w:top w:type="dxa" w:w="40"/>
              <w:left w:type="dxa" w:w="90"/>
              <w:bottom w:type="dxa" w:w="40"/>
              <w:right w:type="dxa" w:w="90"/>
            </w:tcMar>
          </w:tcPr>
          <w:p>
            <w:pPr>
              <w:spacing w:after="0" w:line="240"/>
              <w:jc w:val="center"/>
            </w:pPr>
            <w:r>
              <w:rPr>
                <w:b w:val="false"/>
                <w:bCs w:val="false"/>
                <w:color w:val="222222"/>
                <w:sz w:val="19"/>
                <w:szCs w:val="19"/>
              </w:rPr>
              <w:t xml:space="preserve">Acercarse a dieta plena</w:t>
            </w:r>
          </w:p>
        </w:tc>
      </w:tr>
      <w:tr>
        <w:tc>
          <w:tcPr>
            <w:tcW w:type="dxa" w:w="2100"/>
            <w:shd w:fill="F2F2F2" w:color="auto" w:val="clear"/>
            <w:tcMar>
              <w:top w:type="dxa" w:w="40"/>
              <w:left w:type="dxa" w:w="90"/>
              <w:bottom w:type="dxa" w:w="40"/>
              <w:right w:type="dxa" w:w="90"/>
            </w:tcMar>
          </w:tcPr>
          <w:p>
            <w:pPr>
              <w:spacing w:after="0" w:line="240"/>
              <w:jc w:val="left"/>
            </w:pPr>
            <w:r>
              <w:rPr>
                <w:b/>
                <w:bCs/>
                <w:color w:val="222222"/>
                <w:sz w:val="19"/>
                <w:szCs w:val="19"/>
              </w:rPr>
              <w:t xml:space="preserve">Día 17 en adelante</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85 % (terminación)</w:t>
            </w:r>
          </w:p>
        </w:tc>
        <w:tc>
          <w:tcPr>
            <w:tcW w:type="dxa" w:w="21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10–15 %</w:t>
            </w:r>
          </w:p>
        </w:tc>
        <w:tc>
          <w:tcPr>
            <w:tcW w:type="dxa" w:w="30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Ración plena de terminación</w:t>
            </w:r>
          </w:p>
        </w:tc>
      </w:tr>
    </w:tbl>
    <w:p>
      <w:pPr>
        <w:spacing w:after="120" w:before="40"/>
      </w:pPr>
      <w:r>
        <w:rPr>
          <w:i/>
          <w:iCs/>
          <w:color w:val="777777"/>
          <w:sz w:val="17"/>
          <w:szCs w:val="17"/>
        </w:rPr>
        <w:t xml:space="preserve">Fuente AgroRag: Clase 2 «Pastoreo y suplementación» (calendario de acostumbramiento al concentrado, novillos 300 kg); «La Correntina» (10–15 días de acostumbramiento con dieta de menor tenor energético); tesis seminario (cronograma etapa a corral).</w:t>
      </w:r>
    </w:p>
    <w:p>
      <w:pPr>
        <w:spacing w:after="120" w:line="276"/>
        <w:jc w:val="both"/>
      </w:pPr>
      <w:r>
        <w:rPr>
          <w:color w:val="222222"/>
          <w:sz w:val="21"/>
          <w:szCs w:val="21"/>
        </w:rPr>
        <w:t xml:space="preserve">Consejo operativo: si se da fibra por separado y sin control de cantidad no cambia la ganancia, pero empeora la conversión; conviene ración total mezclada (RTM/mixer) o control del voluminoso ofrecido. Restringir el consumo al ~90 % del ad libitum mejoró la conversión un 18 % en ensayos UPIC.</w:t>
      </w:r>
    </w:p>
    <w:p>
      <w:pPr>
        <w:spacing w:after="120" w:before="40"/>
      </w:pPr>
      <w:r>
        <w:rPr>
          <w:i/>
          <w:iCs/>
          <w:color w:val="777777"/>
          <w:sz w:val="17"/>
          <w:szCs w:val="17"/>
        </w:rPr>
        <w:t xml:space="preserve">Fuente AgroRag: UPIC Compendio, cap. 9 (formas de suministro del fardo) y «Restricción del consumo para mejorar la eficiencia de conversión» (p.107): conversión 9,7 ad libitum vs 7,9 restringido.</w:t>
      </w:r>
    </w:p>
    <w:p>
      <w:r>
        <w:br w:type="page"/>
      </w:r>
    </w:p>
    <w:p>
      <w:pPr>
        <w:pStyle w:val="Heading1"/>
        <w:spacing w:after="140" w:before="320"/>
      </w:pPr>
      <w:r>
        <w:rPr>
          <w:b/>
          <w:bCs/>
          <w:color w:val="1F3A5F"/>
          <w:sz w:val="30"/>
          <w:szCs w:val="30"/>
        </w:rPr>
        <w:t xml:space="preserve">4. Desempeño esperado y requerimiento de alimento</w:t>
      </w:r>
    </w:p>
    <w:p>
      <w:pPr>
        <w:pStyle w:val="Heading2"/>
        <w:spacing w:after="100" w:before="220"/>
      </w:pPr>
      <w:r>
        <w:rPr>
          <w:b/>
          <w:bCs/>
          <w:color w:val="2E5E3A"/>
          <w:sz w:val="25"/>
          <w:szCs w:val="25"/>
        </w:rPr>
        <w:t xml:space="preserve">Proyección productiva del lote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5000"/>
        <w:gridCol w:w="4360"/>
      </w:tblGrid>
      <w:tr>
        <w:trPr>
          <w:tblHeader/>
        </w:trPr>
        <w:tc>
          <w:tcPr>
            <w:tcW w:type="dxa" w:w="5000"/>
            <w:shd w:fill="1F3A5F" w:color="auto" w:val="clear"/>
            <w:tcMar>
              <w:top w:type="dxa" w:w="40"/>
              <w:left w:type="dxa" w:w="90"/>
              <w:bottom w:type="dxa" w:w="40"/>
              <w:right w:type="dxa" w:w="90"/>
            </w:tcMar>
          </w:tcPr>
          <w:p>
            <w:pPr>
              <w:spacing w:after="0" w:line="240"/>
              <w:jc w:val="left"/>
            </w:pPr>
            <w:r>
              <w:rPr>
                <w:b/>
                <w:bCs/>
                <w:color w:val="FFFFFF"/>
                <w:sz w:val="19"/>
                <w:szCs w:val="19"/>
              </w:rPr>
              <w:t xml:space="preserve">Concepto</w:t>
            </w:r>
          </w:p>
        </w:tc>
        <w:tc>
          <w:tcPr>
            <w:tcW w:type="dxa" w:w="4360"/>
            <w:shd w:fill="1F3A5F" w:color="auto" w:val="clear"/>
            <w:tcMar>
              <w:top w:type="dxa" w:w="40"/>
              <w:left w:type="dxa" w:w="90"/>
              <w:bottom w:type="dxa" w:w="40"/>
              <w:right w:type="dxa" w:w="90"/>
            </w:tcMar>
          </w:tcPr>
          <w:p>
            <w:pPr>
              <w:spacing w:after="0" w:line="240"/>
              <w:jc w:val="center"/>
            </w:pPr>
            <w:r>
              <w:rPr>
                <w:b/>
                <w:bCs/>
                <w:color w:val="FFFFFF"/>
                <w:sz w:val="19"/>
                <w:szCs w:val="19"/>
              </w:rPr>
              <w:t xml:space="preserve">Valor estimado</w:t>
            </w:r>
          </w:p>
        </w:tc>
      </w:tr>
      <w:tr>
        <w:tc>
          <w:tcPr>
            <w:tcW w:type="dxa" w:w="5000"/>
            <w:tcMar>
              <w:top w:type="dxa" w:w="40"/>
              <w:left w:type="dxa" w:w="90"/>
              <w:bottom w:type="dxa" w:w="40"/>
              <w:right w:type="dxa" w:w="90"/>
            </w:tcMar>
          </w:tcPr>
          <w:p>
            <w:pPr>
              <w:spacing w:after="0" w:line="240"/>
              <w:jc w:val="left"/>
            </w:pPr>
            <w:r>
              <w:rPr>
                <w:b/>
                <w:bCs/>
                <w:color w:val="222222"/>
                <w:sz w:val="19"/>
                <w:szCs w:val="19"/>
              </w:rPr>
              <w:t xml:space="preserve">Peso ingreso promedio</w:t>
            </w:r>
          </w:p>
        </w:tc>
        <w:tc>
          <w:tcPr>
            <w:tcW w:type="dxa" w:w="4360"/>
            <w:tcMar>
              <w:top w:type="dxa" w:w="40"/>
              <w:left w:type="dxa" w:w="90"/>
              <w:bottom w:type="dxa" w:w="40"/>
              <w:right w:type="dxa" w:w="90"/>
            </w:tcMar>
          </w:tcPr>
          <w:p>
            <w:pPr>
              <w:spacing w:after="0" w:line="240"/>
              <w:jc w:val="center"/>
            </w:pPr>
            <w:r>
              <w:rPr>
                <w:b w:val="false"/>
                <w:bCs w:val="false"/>
                <w:color w:val="222222"/>
                <w:sz w:val="19"/>
                <w:szCs w:val="19"/>
              </w:rPr>
              <w:t xml:space="preserve">345 kg</w:t>
            </w:r>
          </w:p>
        </w:tc>
      </w:tr>
      <w:tr>
        <w:tc>
          <w:tcPr>
            <w:tcW w:type="dxa" w:w="5000"/>
            <w:shd w:fill="F2F2F2" w:color="auto" w:val="clear"/>
            <w:tcMar>
              <w:top w:type="dxa" w:w="40"/>
              <w:left w:type="dxa" w:w="90"/>
              <w:bottom w:type="dxa" w:w="40"/>
              <w:right w:type="dxa" w:w="90"/>
            </w:tcMar>
          </w:tcPr>
          <w:p>
            <w:pPr>
              <w:spacing w:after="0" w:line="240"/>
              <w:jc w:val="left"/>
            </w:pPr>
            <w:r>
              <w:rPr>
                <w:b/>
                <w:bCs/>
                <w:color w:val="222222"/>
                <w:sz w:val="19"/>
                <w:szCs w:val="19"/>
              </w:rPr>
              <w:t xml:space="preserve">Peso faena promedio</w:t>
            </w:r>
          </w:p>
        </w:tc>
        <w:tc>
          <w:tcPr>
            <w:tcW w:type="dxa" w:w="4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510 kg</w:t>
            </w:r>
          </w:p>
        </w:tc>
      </w:tr>
      <w:tr>
        <w:tc>
          <w:tcPr>
            <w:tcW w:type="dxa" w:w="5000"/>
            <w:tcMar>
              <w:top w:type="dxa" w:w="40"/>
              <w:left w:type="dxa" w:w="90"/>
              <w:bottom w:type="dxa" w:w="40"/>
              <w:right w:type="dxa" w:w="90"/>
            </w:tcMar>
          </w:tcPr>
          <w:p>
            <w:pPr>
              <w:spacing w:after="0" w:line="240"/>
              <w:jc w:val="left"/>
            </w:pPr>
            <w:r>
              <w:rPr>
                <w:b/>
                <w:bCs/>
                <w:color w:val="222222"/>
                <w:sz w:val="19"/>
                <w:szCs w:val="19"/>
              </w:rPr>
              <w:t xml:space="preserve">Ganancia por animal</w:t>
            </w:r>
          </w:p>
        </w:tc>
        <w:tc>
          <w:tcPr>
            <w:tcW w:type="dxa" w:w="4360"/>
            <w:tcMar>
              <w:top w:type="dxa" w:w="40"/>
              <w:left w:type="dxa" w:w="90"/>
              <w:bottom w:type="dxa" w:w="40"/>
              <w:right w:type="dxa" w:w="90"/>
            </w:tcMar>
          </w:tcPr>
          <w:p>
            <w:pPr>
              <w:spacing w:after="0" w:line="240"/>
              <w:jc w:val="center"/>
            </w:pPr>
            <w:r>
              <w:rPr>
                <w:b w:val="false"/>
                <w:bCs w:val="false"/>
                <w:color w:val="222222"/>
                <w:sz w:val="19"/>
                <w:szCs w:val="19"/>
              </w:rPr>
              <w:t xml:space="preserve">≈ 165 kg</w:t>
            </w:r>
          </w:p>
        </w:tc>
      </w:tr>
      <w:tr>
        <w:tc>
          <w:tcPr>
            <w:tcW w:type="dxa" w:w="5000"/>
            <w:shd w:fill="F2F2F2" w:color="auto" w:val="clear"/>
            <w:tcMar>
              <w:top w:type="dxa" w:w="40"/>
              <w:left w:type="dxa" w:w="90"/>
              <w:bottom w:type="dxa" w:w="40"/>
              <w:right w:type="dxa" w:w="90"/>
            </w:tcMar>
          </w:tcPr>
          <w:p>
            <w:pPr>
              <w:spacing w:after="0" w:line="240"/>
              <w:jc w:val="left"/>
            </w:pPr>
            <w:r>
              <w:rPr>
                <w:b/>
                <w:bCs/>
                <w:color w:val="222222"/>
                <w:sz w:val="19"/>
                <w:szCs w:val="19"/>
              </w:rPr>
              <w:t xml:space="preserve">GMD de diseño</w:t>
            </w:r>
          </w:p>
        </w:tc>
        <w:tc>
          <w:tcPr>
            <w:tcW w:type="dxa" w:w="4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1,4 kg/día</w:t>
            </w:r>
          </w:p>
        </w:tc>
      </w:tr>
      <w:tr>
        <w:tc>
          <w:tcPr>
            <w:tcW w:type="dxa" w:w="5000"/>
            <w:tcMar>
              <w:top w:type="dxa" w:w="40"/>
              <w:left w:type="dxa" w:w="90"/>
              <w:bottom w:type="dxa" w:w="40"/>
              <w:right w:type="dxa" w:w="90"/>
            </w:tcMar>
          </w:tcPr>
          <w:p>
            <w:pPr>
              <w:spacing w:after="0" w:line="240"/>
              <w:jc w:val="left"/>
            </w:pPr>
            <w:r>
              <w:rPr>
                <w:b/>
                <w:bCs/>
                <w:color w:val="222222"/>
                <w:sz w:val="19"/>
                <w:szCs w:val="19"/>
              </w:rPr>
              <w:t xml:space="preserve">Días de encierre</w:t>
            </w:r>
          </w:p>
        </w:tc>
        <w:tc>
          <w:tcPr>
            <w:tcW w:type="dxa" w:w="4360"/>
            <w:tcMar>
              <w:top w:type="dxa" w:w="40"/>
              <w:left w:type="dxa" w:w="90"/>
              <w:bottom w:type="dxa" w:w="40"/>
              <w:right w:type="dxa" w:w="90"/>
            </w:tcMar>
          </w:tcPr>
          <w:p>
            <w:pPr>
              <w:spacing w:after="0" w:line="240"/>
              <w:jc w:val="center"/>
            </w:pPr>
            <w:r>
              <w:rPr>
                <w:b w:val="false"/>
                <w:bCs w:val="false"/>
                <w:color w:val="222222"/>
                <w:sz w:val="19"/>
                <w:szCs w:val="19"/>
              </w:rPr>
              <w:t xml:space="preserve">≈ 115 días</w:t>
            </w:r>
          </w:p>
        </w:tc>
      </w:tr>
      <w:tr>
        <w:tc>
          <w:tcPr>
            <w:tcW w:type="dxa" w:w="5000"/>
            <w:shd w:fill="F2F2F2" w:color="auto" w:val="clear"/>
            <w:tcMar>
              <w:top w:type="dxa" w:w="40"/>
              <w:left w:type="dxa" w:w="90"/>
              <w:bottom w:type="dxa" w:w="40"/>
              <w:right w:type="dxa" w:w="90"/>
            </w:tcMar>
          </w:tcPr>
          <w:p>
            <w:pPr>
              <w:spacing w:after="0" w:line="240"/>
              <w:jc w:val="left"/>
            </w:pPr>
            <w:r>
              <w:rPr>
                <w:b/>
                <w:bCs/>
                <w:color w:val="222222"/>
                <w:sz w:val="19"/>
                <w:szCs w:val="19"/>
              </w:rPr>
              <w:t xml:space="preserve">Consumo MS por animal/día</w:t>
            </w:r>
          </w:p>
        </w:tc>
        <w:tc>
          <w:tcPr>
            <w:tcW w:type="dxa" w:w="4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10,3 kg (2,4 % PV)</w:t>
            </w:r>
          </w:p>
        </w:tc>
      </w:tr>
      <w:tr>
        <w:tc>
          <w:tcPr>
            <w:tcW w:type="dxa" w:w="5000"/>
            <w:tcMar>
              <w:top w:type="dxa" w:w="40"/>
              <w:left w:type="dxa" w:w="90"/>
              <w:bottom w:type="dxa" w:w="40"/>
              <w:right w:type="dxa" w:w="90"/>
            </w:tcMar>
          </w:tcPr>
          <w:p>
            <w:pPr>
              <w:spacing w:after="0" w:line="240"/>
              <w:jc w:val="left"/>
            </w:pPr>
            <w:r>
              <w:rPr>
                <w:b/>
                <w:bCs/>
                <w:color w:val="222222"/>
                <w:sz w:val="19"/>
                <w:szCs w:val="19"/>
              </w:rPr>
              <w:t xml:space="preserve">Consumo MS por animal en el ciclo</w:t>
            </w:r>
          </w:p>
        </w:tc>
        <w:tc>
          <w:tcPr>
            <w:tcW w:type="dxa" w:w="4360"/>
            <w:tcMar>
              <w:top w:type="dxa" w:w="40"/>
              <w:left w:type="dxa" w:w="90"/>
              <w:bottom w:type="dxa" w:w="40"/>
              <w:right w:type="dxa" w:w="90"/>
            </w:tcMar>
          </w:tcPr>
          <w:p>
            <w:pPr>
              <w:spacing w:after="0" w:line="240"/>
              <w:jc w:val="center"/>
            </w:pPr>
            <w:r>
              <w:rPr>
                <w:b w:val="false"/>
                <w:bCs w:val="false"/>
                <w:color w:val="222222"/>
                <w:sz w:val="19"/>
                <w:szCs w:val="19"/>
              </w:rPr>
              <w:t xml:space="preserve">≈ 1.185 kg MS</w:t>
            </w:r>
          </w:p>
        </w:tc>
      </w:tr>
      <w:tr>
        <w:tc>
          <w:tcPr>
            <w:tcW w:type="dxa" w:w="5000"/>
            <w:shd w:fill="F2F2F2" w:color="auto" w:val="clear"/>
            <w:tcMar>
              <w:top w:type="dxa" w:w="40"/>
              <w:left w:type="dxa" w:w="90"/>
              <w:bottom w:type="dxa" w:w="40"/>
              <w:right w:type="dxa" w:w="90"/>
            </w:tcMar>
          </w:tcPr>
          <w:p>
            <w:pPr>
              <w:spacing w:after="0" w:line="240"/>
              <w:jc w:val="left"/>
            </w:pPr>
            <w:r>
              <w:rPr>
                <w:b/>
                <w:bCs/>
                <w:color w:val="222222"/>
                <w:sz w:val="19"/>
                <w:szCs w:val="19"/>
              </w:rPr>
              <w:t xml:space="preserve">Consumo MS de los 100 animales</w:t>
            </w:r>
          </w:p>
        </w:tc>
        <w:tc>
          <w:tcPr>
            <w:tcW w:type="dxa" w:w="4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118 toneladas MS</w:t>
            </w:r>
          </w:p>
        </w:tc>
      </w:tr>
      <w:tr>
        <w:tc>
          <w:tcPr>
            <w:tcW w:type="dxa" w:w="5000"/>
            <w:tcMar>
              <w:top w:type="dxa" w:w="40"/>
              <w:left w:type="dxa" w:w="90"/>
              <w:bottom w:type="dxa" w:w="40"/>
              <w:right w:type="dxa" w:w="90"/>
            </w:tcMar>
          </w:tcPr>
          <w:p>
            <w:pPr>
              <w:spacing w:after="0" w:line="240"/>
              <w:jc w:val="left"/>
            </w:pPr>
            <w:r>
              <w:rPr>
                <w:b/>
                <w:bCs/>
                <w:color w:val="222222"/>
                <w:sz w:val="19"/>
                <w:szCs w:val="19"/>
              </w:rPr>
              <w:t xml:space="preserve">Alimento «tal cual» (≈ 88 % MS)</w:t>
            </w:r>
          </w:p>
        </w:tc>
        <w:tc>
          <w:tcPr>
            <w:tcW w:type="dxa" w:w="4360"/>
            <w:tcMar>
              <w:top w:type="dxa" w:w="40"/>
              <w:left w:type="dxa" w:w="90"/>
              <w:bottom w:type="dxa" w:w="40"/>
              <w:right w:type="dxa" w:w="90"/>
            </w:tcMar>
          </w:tcPr>
          <w:p>
            <w:pPr>
              <w:spacing w:after="0" w:line="240"/>
              <w:jc w:val="center"/>
            </w:pPr>
            <w:r>
              <w:rPr>
                <w:b w:val="false"/>
                <w:bCs w:val="false"/>
                <w:color w:val="222222"/>
                <w:sz w:val="19"/>
                <w:szCs w:val="19"/>
              </w:rPr>
              <w:t xml:space="preserve">≈ 134 toneladas</w:t>
            </w:r>
          </w:p>
        </w:tc>
      </w:tr>
      <w:tr>
        <w:tc>
          <w:tcPr>
            <w:tcW w:type="dxa" w:w="5000"/>
            <w:shd w:fill="F2F2F2" w:color="auto" w:val="clear"/>
            <w:tcMar>
              <w:top w:type="dxa" w:w="40"/>
              <w:left w:type="dxa" w:w="90"/>
              <w:bottom w:type="dxa" w:w="40"/>
              <w:right w:type="dxa" w:w="90"/>
            </w:tcMar>
          </w:tcPr>
          <w:p>
            <w:pPr>
              <w:spacing w:after="0" w:line="240"/>
              <w:jc w:val="left"/>
            </w:pPr>
            <w:r>
              <w:rPr>
                <w:b/>
                <w:bCs/>
                <w:color w:val="222222"/>
                <w:sz w:val="19"/>
                <w:szCs w:val="19"/>
              </w:rPr>
              <w:t xml:space="preserve">Índice de conversión implícito</w:t>
            </w:r>
          </w:p>
        </w:tc>
        <w:tc>
          <w:tcPr>
            <w:tcW w:type="dxa" w:w="43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7,2 kg MS/kg (bueno para novillo)</w:t>
            </w:r>
          </w:p>
        </w:tc>
      </w:tr>
    </w:tbl>
    <w:p>
      <w:pPr>
        <w:spacing w:after="120" w:before="40"/>
      </w:pPr>
      <w:r>
        <w:rPr>
          <w:i/>
          <w:iCs/>
          <w:color w:val="777777"/>
          <w:sz w:val="17"/>
          <w:szCs w:val="17"/>
        </w:rPr>
        <w:t xml:space="preserve">Fuente AgroRag: Cálculo propio a partir de: conclusión «Desempeño productivo» (GMD y consumo de feedlot/corral); INTA-Feedlot 2013 y Feedlot Pordomingo (consumo % PV y conversión de novillos 6–9).</w:t>
      </w:r>
    </w:p>
    <w:p>
      <w:pPr>
        <w:spacing w:after="120" w:line="276"/>
        <w:jc w:val="both"/>
      </w:pPr>
      <w:r>
        <w:rPr>
          <w:color w:val="222222"/>
          <w:sz w:val="21"/>
          <w:szCs w:val="21"/>
        </w:rPr>
        <w:t xml:space="preserve">Interpretación: un lote bien manejado debería salir en torno a los 100–120 días. Cada día extra de encierre en animales ya terminados suma alimento a conversión creciente (peor eficiencia), por lo que la decisión de venta se toma por grado de terminación (engrasamiento) y no solo por peso.</w:t>
      </w:r>
    </w:p>
    <w:p>
      <w:r>
        <w:br w:type="page"/>
      </w:r>
    </w:p>
    <w:p>
      <w:pPr>
        <w:pStyle w:val="Heading1"/>
        <w:spacing w:after="140" w:before="320"/>
      </w:pPr>
      <w:r>
        <w:rPr>
          <w:b/>
          <w:bCs/>
          <w:color w:val="1F3A5F"/>
          <w:sz w:val="30"/>
          <w:szCs w:val="30"/>
        </w:rPr>
        <w:t xml:space="preserve">5. Plan sanitario</w:t>
      </w:r>
    </w:p>
    <w:p>
      <w:pPr>
        <w:spacing w:after="120" w:line="276"/>
        <w:jc w:val="both"/>
      </w:pPr>
      <w:r>
        <w:rPr>
          <w:color w:val="222222"/>
          <w:sz w:val="21"/>
          <w:szCs w:val="21"/>
        </w:rPr>
        <w:t xml:space="preserve">Los primeros 30 días post-ingreso (período de adaptación) concentran la mayor parte de la morbilidad y mortalidad. Las dos amenazas principales son el complejo respiratorio bovino (neumonías/BRD) y los desórdenes nutricionales (acidosis y timpanismo). Todo uso de antibióticos debe hacerse bajo prescripción y supervisión veterinaria.</w:t>
      </w:r>
    </w:p>
    <w:p>
      <w:pPr>
        <w:pStyle w:val="Heading2"/>
        <w:spacing w:after="100" w:before="220"/>
      </w:pPr>
      <w:r>
        <w:rPr>
          <w:b/>
          <w:bCs/>
          <w:color w:val="2E5E3A"/>
          <w:sz w:val="25"/>
          <w:szCs w:val="25"/>
        </w:rPr>
        <w:t xml:space="preserve">A) Protocolo de ingreso (todos los animales)</w:t>
      </w:r>
    </w:p>
    <w:p>
      <w:pPr>
        <w:pStyle w:val="ListParagraph"/>
        <w:numPr>
          <w:ilvl w:val="0"/>
          <w:numId w:val="2"/>
        </w:numPr>
        <w:spacing w:after="70" w:line="264"/>
      </w:pPr>
      <w:r>
        <w:rPr>
          <w:color w:val="222222"/>
          <w:sz w:val="21"/>
          <w:szCs w:val="21"/>
        </w:rPr>
        <w:t xml:space="preserve">Desparasitar al ingreso, antes de vacunar (libera carga parasitaria y mejora la respuesta inmune).</w:t>
      </w:r>
    </w:p>
    <w:p>
      <w:pPr>
        <w:pStyle w:val="ListParagraph"/>
        <w:numPr>
          <w:ilvl w:val="0"/>
          <w:numId w:val="2"/>
        </w:numPr>
        <w:spacing w:after="70" w:line="264"/>
      </w:pPr>
      <w:r>
        <w:rPr>
          <w:color w:val="222222"/>
          <w:sz w:val="21"/>
          <w:szCs w:val="21"/>
        </w:rPr>
        <w:t xml:space="preserve">Vacunar contra el complejo respiratorio (IBR, BVD/DVB, PI3, BRSV); idealmente una semana antes del traslado en origen y, si no es posible, al ingreso. Para Histophilus somnus, doble dosis con 15–20 días de intervalo.</w:t>
      </w:r>
    </w:p>
    <w:p>
      <w:pPr>
        <w:pStyle w:val="ListParagraph"/>
        <w:numPr>
          <w:ilvl w:val="0"/>
          <w:numId w:val="2"/>
        </w:numPr>
        <w:spacing w:after="70" w:line="264"/>
      </w:pPr>
      <w:r>
        <w:rPr>
          <w:color w:val="222222"/>
          <w:sz w:val="21"/>
          <w:szCs w:val="21"/>
        </w:rPr>
        <w:t xml:space="preserve">Vacunar contra clostridiales (mancha, gangrena, enterotoxemia) y cumplir con vacunación oficial de aftosa según calendario nacional.</w:t>
      </w:r>
    </w:p>
    <w:p>
      <w:pPr>
        <w:pStyle w:val="ListParagraph"/>
        <w:numPr>
          <w:ilvl w:val="0"/>
          <w:numId w:val="2"/>
        </w:numPr>
        <w:spacing w:after="70" w:line="264"/>
      </w:pPr>
      <w:r>
        <w:rPr>
          <w:color w:val="222222"/>
          <w:sz w:val="21"/>
          <w:szCs w:val="21"/>
        </w:rPr>
        <w:t xml:space="preserve">Tomar temperatura al bajar del camión; los animales fuera de rango reciben antibiótico preventivo bajo prescripción veterinaria.</w:t>
      </w:r>
    </w:p>
    <w:p>
      <w:pPr>
        <w:pStyle w:val="ListParagraph"/>
        <w:numPr>
          <w:ilvl w:val="0"/>
          <w:numId w:val="2"/>
        </w:numPr>
        <w:spacing w:after="70" w:line="264"/>
      </w:pPr>
      <w:r>
        <w:rPr>
          <w:color w:val="222222"/>
          <w:sz w:val="21"/>
          <w:szCs w:val="21"/>
        </w:rPr>
        <w:t xml:space="preserve">Despuntar guampas y evitar mezclar tropas de distinto origen durante los primeros 30 días.</w:t>
      </w:r>
    </w:p>
    <w:p>
      <w:pPr>
        <w:spacing w:after="120" w:before="40"/>
      </w:pPr>
      <w:r>
        <w:rPr>
          <w:i/>
          <w:iCs/>
          <w:color w:val="777777"/>
          <w:sz w:val="17"/>
          <w:szCs w:val="17"/>
        </w:rPr>
        <w:t xml:space="preserve">Fuente AgroRag: Conclusión «Enfermedades respiratorias en feedlot» (Feedlot Pordomingo p.209-213; Guía de Buenas Prácticas Ambientales y Sanitarias de establecimientos de engorde a corral p.35).</w:t>
      </w:r>
    </w:p>
    <w:p>
      <w:pPr>
        <w:pStyle w:val="Heading2"/>
        <w:spacing w:after="100" w:before="220"/>
      </w:pPr>
      <w:r>
        <w:rPr>
          <w:b/>
          <w:bCs/>
          <w:color w:val="2E5E3A"/>
          <w:sz w:val="25"/>
          <w:szCs w:val="25"/>
        </w:rPr>
        <w:t xml:space="preserve">B) Monitoreo respiratorio (primeras 4 semanas)</w:t>
      </w:r>
    </w:p>
    <w:p>
      <w:pPr>
        <w:spacing w:after="120" w:line="276"/>
        <w:jc w:val="both"/>
      </w:pPr>
      <w:r>
        <w:rPr>
          <w:color w:val="222222"/>
          <w:sz w:val="21"/>
          <w:szCs w:val="21"/>
        </w:rPr>
        <w:t xml:space="preserve">Aplicar el score de sintomatología respiratoria dos veces por día. Un 2 % de animales con síntomas visibles equivale a un 15–20 % de afectados asintomáticos: no subestimar incidencias bajas.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4200"/>
        <w:gridCol w:w="5160"/>
      </w:tblGrid>
      <w:tr>
        <w:trPr>
          <w:tblHeader/>
        </w:trPr>
        <w:tc>
          <w:tcPr>
            <w:tcW w:type="dxa" w:w="4200"/>
            <w:shd w:fill="1F3A5F" w:color="auto" w:val="clear"/>
            <w:tcMar>
              <w:top w:type="dxa" w:w="40"/>
              <w:left w:type="dxa" w:w="90"/>
              <w:bottom w:type="dxa" w:w="40"/>
              <w:right w:type="dxa" w:w="90"/>
            </w:tcMar>
          </w:tcPr>
          <w:p>
            <w:pPr>
              <w:spacing w:after="0" w:line="240"/>
              <w:jc w:val="left"/>
            </w:pPr>
            <w:r>
              <w:rPr>
                <w:b/>
                <w:bCs/>
                <w:color w:val="FFFFFF"/>
                <w:sz w:val="19"/>
                <w:szCs w:val="19"/>
              </w:rPr>
              <w:t xml:space="preserve">Score (síntomas visibles)</w:t>
            </w:r>
          </w:p>
        </w:tc>
        <w:tc>
          <w:tcPr>
            <w:tcW w:type="dxa" w:w="5160"/>
            <w:shd w:fill="1F3A5F" w:color="auto" w:val="clear"/>
            <w:tcMar>
              <w:top w:type="dxa" w:w="40"/>
              <w:left w:type="dxa" w:w="90"/>
              <w:bottom w:type="dxa" w:w="40"/>
              <w:right w:type="dxa" w:w="90"/>
            </w:tcMar>
          </w:tcPr>
          <w:p>
            <w:pPr>
              <w:spacing w:after="0" w:line="240"/>
              <w:jc w:val="center"/>
            </w:pPr>
            <w:r>
              <w:rPr>
                <w:b/>
                <w:bCs/>
                <w:color w:val="FFFFFF"/>
                <w:sz w:val="19"/>
                <w:szCs w:val="19"/>
              </w:rPr>
              <w:t xml:space="preserve">Acción</w:t>
            </w:r>
          </w:p>
        </w:tc>
      </w:tr>
      <w:tr>
        <w:tc>
          <w:tcPr>
            <w:tcW w:type="dxa" w:w="4200"/>
            <w:tcMar>
              <w:top w:type="dxa" w:w="40"/>
              <w:left w:type="dxa" w:w="90"/>
              <w:bottom w:type="dxa" w:w="40"/>
              <w:right w:type="dxa" w:w="90"/>
            </w:tcMar>
          </w:tcPr>
          <w:p>
            <w:pPr>
              <w:spacing w:after="0" w:line="240"/>
              <w:jc w:val="left"/>
            </w:pPr>
            <w:r>
              <w:rPr>
                <w:b/>
                <w:bCs/>
                <w:color w:val="222222"/>
                <w:sz w:val="19"/>
                <w:szCs w:val="19"/>
              </w:rPr>
              <w:t xml:space="preserve">Score 2 (1–2 %)</w:t>
            </w:r>
          </w:p>
        </w:tc>
        <w:tc>
          <w:tcPr>
            <w:tcW w:type="dxa" w:w="5160"/>
            <w:tcMar>
              <w:top w:type="dxa" w:w="40"/>
              <w:left w:type="dxa" w:w="90"/>
              <w:bottom w:type="dxa" w:w="40"/>
              <w:right w:type="dxa" w:w="90"/>
            </w:tcMar>
          </w:tcPr>
          <w:p>
            <w:pPr>
              <w:spacing w:after="0" w:line="240"/>
              <w:jc w:val="center"/>
            </w:pPr>
            <w:r>
              <w:rPr>
                <w:b w:val="false"/>
                <w:bCs w:val="false"/>
                <w:color w:val="222222"/>
                <w:sz w:val="19"/>
                <w:szCs w:val="19"/>
              </w:rPr>
              <w:t xml:space="preserve">Intensificar monitoreo por 3 días</w:t>
            </w:r>
          </w:p>
        </w:tc>
      </w:tr>
      <w:tr>
        <w:tc>
          <w:tcPr>
            <w:tcW w:type="dxa" w:w="4200"/>
            <w:shd w:fill="F2F2F2" w:color="auto" w:val="clear"/>
            <w:tcMar>
              <w:top w:type="dxa" w:w="40"/>
              <w:left w:type="dxa" w:w="90"/>
              <w:bottom w:type="dxa" w:w="40"/>
              <w:right w:type="dxa" w:w="90"/>
            </w:tcMar>
          </w:tcPr>
          <w:p>
            <w:pPr>
              <w:spacing w:after="0" w:line="240"/>
              <w:jc w:val="left"/>
            </w:pPr>
            <w:r>
              <w:rPr>
                <w:b/>
                <w:bCs/>
                <w:color w:val="222222"/>
                <w:sz w:val="19"/>
                <w:szCs w:val="19"/>
              </w:rPr>
              <w:t xml:space="preserve">Score 3 (2–5 %)</w:t>
            </w:r>
          </w:p>
        </w:tc>
        <w:tc>
          <w:tcPr>
            <w:tcW w:type="dxa" w:w="51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Tratar todo el corral dentro de 48 h</w:t>
            </w:r>
          </w:p>
        </w:tc>
      </w:tr>
      <w:tr>
        <w:tc>
          <w:tcPr>
            <w:tcW w:type="dxa" w:w="4200"/>
            <w:tcMar>
              <w:top w:type="dxa" w:w="40"/>
              <w:left w:type="dxa" w:w="90"/>
              <w:bottom w:type="dxa" w:w="40"/>
              <w:right w:type="dxa" w:w="90"/>
            </w:tcMar>
          </w:tcPr>
          <w:p>
            <w:pPr>
              <w:spacing w:after="0" w:line="240"/>
              <w:jc w:val="left"/>
            </w:pPr>
            <w:r>
              <w:rPr>
                <w:b/>
                <w:bCs/>
                <w:color w:val="222222"/>
                <w:sz w:val="19"/>
                <w:szCs w:val="19"/>
              </w:rPr>
              <w:t xml:space="preserve">Score 4 (&gt; 5 %)</w:t>
            </w:r>
          </w:p>
        </w:tc>
        <w:tc>
          <w:tcPr>
            <w:tcW w:type="dxa" w:w="5160"/>
            <w:tcMar>
              <w:top w:type="dxa" w:w="40"/>
              <w:left w:type="dxa" w:w="90"/>
              <w:bottom w:type="dxa" w:w="40"/>
              <w:right w:type="dxa" w:w="90"/>
            </w:tcMar>
          </w:tcPr>
          <w:p>
            <w:pPr>
              <w:spacing w:after="0" w:line="240"/>
              <w:jc w:val="center"/>
            </w:pPr>
            <w:r>
              <w:rPr>
                <w:b w:val="false"/>
                <w:bCs w:val="false"/>
                <w:color w:val="222222"/>
                <w:sz w:val="19"/>
                <w:szCs w:val="19"/>
              </w:rPr>
              <w:t xml:space="preserve">Acción terapéutica inmediata + soporte antibiótico en dieta ≥ 1 mes (bajo veterinario)</w:t>
            </w:r>
          </w:p>
        </w:tc>
      </w:tr>
    </w:tbl>
    <w:p>
      <w:pPr>
        <w:spacing w:after="120" w:before="40"/>
      </w:pPr>
      <w:r>
        <w:rPr>
          <w:i/>
          <w:iCs/>
          <w:color w:val="777777"/>
          <w:sz w:val="17"/>
          <w:szCs w:val="17"/>
        </w:rPr>
        <w:t xml:space="preserve">Fuente AgroRag: «Normas de medición en corral» (score de sintomatología respiratoria, p.15-16); Guía de Buenas Prácticas (p.35).</w:t>
      </w:r>
    </w:p>
    <w:p>
      <w:pPr>
        <w:pStyle w:val="Heading2"/>
        <w:spacing w:after="100" w:before="220"/>
      </w:pPr>
      <w:r>
        <w:rPr>
          <w:b/>
          <w:bCs/>
          <w:color w:val="2E5E3A"/>
          <w:sz w:val="25"/>
          <w:szCs w:val="25"/>
        </w:rPr>
        <w:t xml:space="preserve">C) Prevención de acidosis (SARA) y timpanismo</w:t>
      </w:r>
    </w:p>
    <w:p>
      <w:pPr>
        <w:spacing w:after="120" w:line="276"/>
        <w:jc w:val="both"/>
      </w:pPr>
      <w:r>
        <w:rPr>
          <w:color w:val="222222"/>
          <w:sz w:val="21"/>
          <w:szCs w:val="21"/>
        </w:rPr>
        <w:t xml:space="preserve">La acidosis es el desorden nutricional más importante del feedlot y, junto con la impactación ruminal, explica cerca del 90 % de las muertes por causas nutricionales. La SARA puede afectar al 20–40 % de los animales en sistemas de alta producción y provoca caída de consumo, laminitis y abscesos hepáticos.</w:t>
      </w:r>
    </w:p>
    <w:p>
      <w:pPr>
        <w:pStyle w:val="ListParagraph"/>
        <w:numPr>
          <w:ilvl w:val="0"/>
          <w:numId w:val="2"/>
        </w:numPr>
        <w:spacing w:after="70" w:line="264"/>
      </w:pPr>
      <w:r>
        <w:rPr>
          <w:color w:val="222222"/>
          <w:sz w:val="21"/>
          <w:szCs w:val="21"/>
        </w:rPr>
        <w:t xml:space="preserve">Adaptación escalonada estricta (ver sección 3) — es la medida más efectiva.</w:t>
      </w:r>
    </w:p>
    <w:p>
      <w:pPr>
        <w:pStyle w:val="ListParagraph"/>
        <w:numPr>
          <w:ilvl w:val="0"/>
          <w:numId w:val="2"/>
        </w:numPr>
        <w:spacing w:after="70" w:line="264"/>
      </w:pPr>
      <w:r>
        <w:rPr>
          <w:color w:val="222222"/>
          <w:sz w:val="21"/>
          <w:szCs w:val="21"/>
        </w:rPr>
        <w:t xml:space="preserve">Mantener fibra efectiva suficiente y evitar cambios bruscos de ración o de nivel de grano.</w:t>
      </w:r>
    </w:p>
    <w:p>
      <w:pPr>
        <w:pStyle w:val="ListParagraph"/>
        <w:numPr>
          <w:ilvl w:val="0"/>
          <w:numId w:val="2"/>
        </w:numPr>
        <w:spacing w:after="70" w:line="264"/>
      </w:pPr>
      <w:r>
        <w:rPr>
          <w:color w:val="222222"/>
          <w:sz w:val="21"/>
          <w:szCs w:val="21"/>
        </w:rPr>
        <w:t xml:space="preserve">Incluir buffer (bicarbonato) e ionóforo; asegurar comederos con alimento uniforme y horarios regulares.</w:t>
      </w:r>
    </w:p>
    <w:p>
      <w:pPr>
        <w:pStyle w:val="ListParagraph"/>
        <w:numPr>
          <w:ilvl w:val="0"/>
          <w:numId w:val="2"/>
        </w:numPr>
        <w:spacing w:after="70" w:line="264"/>
      </w:pPr>
      <w:r>
        <w:rPr>
          <w:color w:val="222222"/>
          <w:sz w:val="21"/>
          <w:szCs w:val="21"/>
        </w:rPr>
        <w:t xml:space="preserve">Vigilar bosta (score de deyecciones) y timpanismo junto con el score respiratorio; el 3-metilindol puede predisponer a neumonías en animales que vienen de praderas suculentas.</w:t>
      </w:r>
    </w:p>
    <w:p>
      <w:pPr>
        <w:spacing w:after="120" w:before="40"/>
      </w:pPr>
      <w:r>
        <w:rPr>
          <w:i/>
          <w:iCs/>
          <w:color w:val="777777"/>
          <w:sz w:val="17"/>
          <w:szCs w:val="17"/>
        </w:rPr>
        <w:t xml:space="preserve">Fuente AgroRag: Conclusión SARA (20–40 % prevalencia; abordaje pH + fermentación); INTA-Feedlot 2013 «Manejo de animales muertos» (90 % por acidosis/impactación); «Estudio comparativo…» UdelaR 2009 «Acidosis».</w:t>
      </w:r>
    </w:p>
    <w:p>
      <w:pPr>
        <w:pStyle w:val="Heading2"/>
        <w:spacing w:after="100" w:before="220"/>
      </w:pPr>
      <w:r>
        <w:rPr>
          <w:b/>
          <w:bCs/>
          <w:color w:val="2E5E3A"/>
          <w:sz w:val="25"/>
          <w:szCs w:val="25"/>
        </w:rPr>
        <w:t xml:space="preserve">D) Costo sanitario de referencia</w:t>
      </w:r>
    </w:p>
    <w:p>
      <w:pPr>
        <w:spacing w:after="120" w:line="276"/>
        <w:jc w:val="both"/>
      </w:pPr>
      <w:r>
        <w:rPr>
          <w:color w:val="222222"/>
          <w:sz w:val="21"/>
          <w:szCs w:val="21"/>
        </w:rPr>
        <w:t xml:space="preserve">En el feedlot uruguayo relevado el ítem sanidad se ubicó en torno a USD 5 por cabeza para el ciclo. Es un rubro menor frente a alimentación y reposición, pero decisivo: la neumonía es la primera causa de pérdidas sanitarias y su impacto (mortalidad, tratamientos, menor ganancia, peor res) suele subestimarse.</w:t>
      </w:r>
    </w:p>
    <w:p>
      <w:pPr>
        <w:spacing w:after="120" w:before="40"/>
      </w:pPr>
      <w:r>
        <w:rPr>
          <w:i/>
          <w:iCs/>
          <w:color w:val="777777"/>
          <w:sz w:val="17"/>
          <w:szCs w:val="17"/>
        </w:rPr>
        <w:t xml:space="preserve">Fuente AgroRag: Conclusión «Costos sanitarios» (feedlot terminación UY 2009 ≈ USD 5/cab); Feedlot Pordomingo «Neumonías».</w:t>
      </w:r>
    </w:p>
    <w:p>
      <w:r>
        <w:br w:type="page"/>
      </w:r>
    </w:p>
    <w:p>
      <w:pPr>
        <w:pStyle w:val="Heading1"/>
        <w:spacing w:after="140" w:before="320"/>
      </w:pPr>
      <w:r>
        <w:rPr>
          <w:b/>
          <w:bCs/>
          <w:color w:val="1F3A5F"/>
          <w:sz w:val="30"/>
          <w:szCs w:val="30"/>
        </w:rPr>
        <w:t xml:space="preserve">6. Manejo operativo</w:t>
      </w:r>
    </w:p>
    <w:p>
      <w:pPr>
        <w:pStyle w:val="ListParagraph"/>
        <w:numPr>
          <w:ilvl w:val="0"/>
          <w:numId w:val="2"/>
        </w:numPr>
        <w:spacing w:after="70" w:line="264"/>
      </w:pPr>
      <w:r>
        <w:rPr>
          <w:color w:val="222222"/>
          <w:sz w:val="21"/>
          <w:szCs w:val="21"/>
        </w:rPr>
        <w:t xml:space="preserve">Personal: con 100 animales alcanza una persona dedicada al feedlot; el corral debe ser visitado periódicamente por veterinario (semanal en las primeras semanas) y por nutricionista para ajuste de dieta.</w:t>
      </w:r>
    </w:p>
    <w:p>
      <w:pPr>
        <w:pStyle w:val="ListParagraph"/>
        <w:numPr>
          <w:ilvl w:val="0"/>
          <w:numId w:val="2"/>
        </w:numPr>
        <w:spacing w:after="70" w:line="264"/>
      </w:pPr>
      <w:r>
        <w:rPr>
          <w:color w:val="222222"/>
          <w:sz w:val="21"/>
          <w:szCs w:val="21"/>
        </w:rPr>
        <w:t xml:space="preserve">Rutina de alimentación: repartir en horarios fijos (ej. mañana y tarde), leer comederos antes de cargar (ajuste del ofrecido para no dejar sobrantes ni faltantes), y llevar registro diario de consumo.</w:t>
      </w:r>
    </w:p>
    <w:p>
      <w:pPr>
        <w:pStyle w:val="ListParagraph"/>
        <w:numPr>
          <w:ilvl w:val="0"/>
          <w:numId w:val="2"/>
        </w:numPr>
        <w:spacing w:after="70" w:line="264"/>
      </w:pPr>
      <w:r>
        <w:rPr>
          <w:color w:val="222222"/>
          <w:sz w:val="21"/>
          <w:szCs w:val="21"/>
        </w:rPr>
        <w:t xml:space="preserve">Pesadas: pesada de ingreso, una intermedia (~día 50–60) y pesada de salida para calcular GMD y conversión reales; decidir la venta por grado de terminación.</w:t>
      </w:r>
    </w:p>
    <w:p>
      <w:pPr>
        <w:pStyle w:val="ListParagraph"/>
        <w:numPr>
          <w:ilvl w:val="0"/>
          <w:numId w:val="2"/>
        </w:numPr>
        <w:spacing w:after="70" w:line="264"/>
      </w:pPr>
      <w:r>
        <w:rPr>
          <w:color w:val="222222"/>
          <w:sz w:val="21"/>
          <w:szCs w:val="21"/>
        </w:rPr>
        <w:t xml:space="preserve">Agua y limpieza: control diario de bebederos y limpieza de comederos; el agua limpia sostiene el consumo.</w:t>
      </w:r>
    </w:p>
    <w:p>
      <w:pPr>
        <w:pStyle w:val="ListParagraph"/>
        <w:numPr>
          <w:ilvl w:val="0"/>
          <w:numId w:val="2"/>
        </w:numPr>
        <w:spacing w:after="70" w:line="264"/>
      </w:pPr>
      <w:r>
        <w:rPr>
          <w:color w:val="222222"/>
          <w:sz w:val="21"/>
          <w:szCs w:val="21"/>
        </w:rPr>
        <w:t xml:space="preserve">Registros: consumo, mortalidad, tratamientos, costo de ración y kilos producidos por corral — son los indicadores que permiten corregir a tiempo.</w:t>
      </w:r>
    </w:p>
    <w:p>
      <w:pPr>
        <w:spacing w:after="120" w:before="40"/>
      </w:pPr>
      <w:r>
        <w:rPr>
          <w:i/>
          <w:iCs/>
          <w:color w:val="777777"/>
          <w:sz w:val="17"/>
          <w:szCs w:val="17"/>
        </w:rPr>
        <w:t xml:space="preserve">Fuente AgroRag: «La Correntina» (1 persona por feedlot chico; visita de nutricionista y veterinario); «Normas de medición en corral» (índice de conversión y duración del encierre).</w:t>
      </w:r>
    </w:p>
    <w:p>
      <w:r>
        <w:br w:type="page"/>
      </w:r>
    </w:p>
    <w:p>
      <w:pPr>
        <w:pStyle w:val="Heading1"/>
        <w:spacing w:after="140" w:before="320"/>
      </w:pPr>
      <w:r>
        <w:rPr>
          <w:b/>
          <w:bCs/>
          <w:color w:val="1F3A5F"/>
          <w:sz w:val="30"/>
          <w:szCs w:val="30"/>
        </w:rPr>
        <w:t xml:space="preserve">7. Análisis económico orientativo</w:t>
      </w:r>
    </w:p>
    <w:p>
      <w:pPr>
        <w:spacing w:after="120" w:line="276"/>
        <w:jc w:val="both"/>
      </w:pPr>
      <w:r>
        <w:rPr>
          <w:color w:val="222222"/>
          <w:sz w:val="21"/>
          <w:szCs w:val="21"/>
        </w:rPr>
        <w:t xml:space="preserve">El resultado del feedlot depende críticamente de tres variables: la relación de precios compra/venta del animal, el costo del grano y la conversión lograda. El siguiente modelo por animal es una estructura de referencia; los precios deben actualizarse al mercado del momento antes de decidir el encierre.</w:t>
      </w:r>
    </w:p>
    <w:p>
      <w:pPr>
        <w:spacing w:after="120"/>
      </w:pPr>
      <w:r>
        <w:rPr>
          <w:b/>
          <w:bCs/>
          <w:i/>
          <w:iCs/>
          <w:color w:val="2E5E3A"/>
          <w:sz w:val="20"/>
          <w:szCs w:val="20"/>
        </w:rPr>
        <w:t xml:space="preserve">Los valores en USD son indicativos y deben ajustarse a precios corrientes de reposición, gordo y granos.</w:t>
      </w:r>
    </w:p>
    <w:p>
      <w:pPr>
        <w:pStyle w:val="Heading2"/>
        <w:spacing w:after="100" w:before="220"/>
      </w:pPr>
      <w:r>
        <w:rPr>
          <w:b/>
          <w:bCs/>
          <w:color w:val="2E5E3A"/>
          <w:sz w:val="25"/>
          <w:szCs w:val="25"/>
        </w:rPr>
        <w:t xml:space="preserve">Estructura de costos e ingreso por animal (referencia)</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600"/>
        <w:gridCol w:w="3200"/>
        <w:gridCol w:w="2560"/>
      </w:tblGrid>
      <w:tr>
        <w:trPr>
          <w:tblHeader/>
        </w:trPr>
        <w:tc>
          <w:tcPr>
            <w:tcW w:type="dxa" w:w="3600"/>
            <w:shd w:fill="1F3A5F" w:color="auto" w:val="clear"/>
            <w:tcMar>
              <w:top w:type="dxa" w:w="40"/>
              <w:left w:type="dxa" w:w="90"/>
              <w:bottom w:type="dxa" w:w="40"/>
              <w:right w:type="dxa" w:w="90"/>
            </w:tcMar>
          </w:tcPr>
          <w:p>
            <w:pPr>
              <w:spacing w:after="0" w:line="240"/>
              <w:jc w:val="left"/>
            </w:pPr>
            <w:r>
              <w:rPr>
                <w:b/>
                <w:bCs/>
                <w:color w:val="FFFFFF"/>
                <w:sz w:val="19"/>
                <w:szCs w:val="19"/>
              </w:rPr>
              <w:t xml:space="preserve">Concepto</w:t>
            </w:r>
          </w:p>
        </w:tc>
        <w:tc>
          <w:tcPr>
            <w:tcW w:type="dxa" w:w="3200"/>
            <w:shd w:fill="1F3A5F" w:color="auto" w:val="clear"/>
            <w:tcMar>
              <w:top w:type="dxa" w:w="40"/>
              <w:left w:type="dxa" w:w="90"/>
              <w:bottom w:type="dxa" w:w="40"/>
              <w:right w:type="dxa" w:w="90"/>
            </w:tcMar>
          </w:tcPr>
          <w:p>
            <w:pPr>
              <w:spacing w:after="0" w:line="240"/>
              <w:jc w:val="center"/>
            </w:pPr>
            <w:r>
              <w:rPr>
                <w:b/>
                <w:bCs/>
                <w:color w:val="FFFFFF"/>
                <w:sz w:val="19"/>
                <w:szCs w:val="19"/>
              </w:rPr>
              <w:t xml:space="preserve">Cálculo</w:t>
            </w:r>
          </w:p>
        </w:tc>
        <w:tc>
          <w:tcPr>
            <w:tcW w:type="dxa" w:w="2560"/>
            <w:shd w:fill="1F3A5F" w:color="auto" w:val="clear"/>
            <w:tcMar>
              <w:top w:type="dxa" w:w="40"/>
              <w:left w:type="dxa" w:w="90"/>
              <w:bottom w:type="dxa" w:w="40"/>
              <w:right w:type="dxa" w:w="90"/>
            </w:tcMar>
          </w:tcPr>
          <w:p>
            <w:pPr>
              <w:spacing w:after="0" w:line="240"/>
              <w:jc w:val="center"/>
            </w:pPr>
            <w:r>
              <w:rPr>
                <w:b/>
                <w:bCs/>
                <w:color w:val="FFFFFF"/>
                <w:sz w:val="19"/>
                <w:szCs w:val="19"/>
              </w:rPr>
              <w:t xml:space="preserve">USD/animal (aprox.)</w:t>
            </w:r>
          </w:p>
        </w:tc>
      </w:tr>
      <w:tr>
        <w:tc>
          <w:tcPr>
            <w:tcW w:type="dxa" w:w="3600"/>
            <w:tcMar>
              <w:top w:type="dxa" w:w="40"/>
              <w:left w:type="dxa" w:w="90"/>
              <w:bottom w:type="dxa" w:w="40"/>
              <w:right w:type="dxa" w:w="90"/>
            </w:tcMar>
          </w:tcPr>
          <w:p>
            <w:pPr>
              <w:spacing w:after="0" w:line="240"/>
              <w:jc w:val="left"/>
            </w:pPr>
            <w:r>
              <w:rPr>
                <w:b/>
                <w:bCs/>
                <w:color w:val="222222"/>
                <w:sz w:val="19"/>
                <w:szCs w:val="19"/>
              </w:rPr>
              <w:t xml:space="preserve">Compra novillo reposición</w:t>
            </w:r>
          </w:p>
        </w:tc>
        <w:tc>
          <w:tcPr>
            <w:tcW w:type="dxa" w:w="3200"/>
            <w:tcMar>
              <w:top w:type="dxa" w:w="40"/>
              <w:left w:type="dxa" w:w="90"/>
              <w:bottom w:type="dxa" w:w="40"/>
              <w:right w:type="dxa" w:w="90"/>
            </w:tcMar>
          </w:tcPr>
          <w:p>
            <w:pPr>
              <w:spacing w:after="0" w:line="240"/>
              <w:jc w:val="center"/>
            </w:pPr>
            <w:r>
              <w:rPr>
                <w:b w:val="false"/>
                <w:bCs w:val="false"/>
                <w:color w:val="222222"/>
                <w:sz w:val="19"/>
                <w:szCs w:val="19"/>
              </w:rPr>
              <w:t xml:space="preserve">345 kg × ~2,0 USD/kg</w:t>
            </w:r>
          </w:p>
        </w:tc>
        <w:tc>
          <w:tcPr>
            <w:tcW w:type="dxa" w:w="2560"/>
            <w:tcMar>
              <w:top w:type="dxa" w:w="40"/>
              <w:left w:type="dxa" w:w="90"/>
              <w:bottom w:type="dxa" w:w="40"/>
              <w:right w:type="dxa" w:w="90"/>
            </w:tcMar>
          </w:tcPr>
          <w:p>
            <w:pPr>
              <w:spacing w:after="0" w:line="240"/>
              <w:jc w:val="center"/>
            </w:pPr>
            <w:r>
              <w:rPr>
                <w:b w:val="false"/>
                <w:bCs w:val="false"/>
                <w:color w:val="222222"/>
                <w:sz w:val="19"/>
                <w:szCs w:val="19"/>
              </w:rPr>
              <w:t xml:space="preserve">≈ 690</w:t>
            </w:r>
          </w:p>
        </w:tc>
      </w:tr>
      <w:tr>
        <w:tc>
          <w:tcPr>
            <w:tcW w:type="dxa" w:w="3600"/>
            <w:shd w:fill="F2F2F2" w:color="auto" w:val="clear"/>
            <w:tcMar>
              <w:top w:type="dxa" w:w="40"/>
              <w:left w:type="dxa" w:w="90"/>
              <w:bottom w:type="dxa" w:w="40"/>
              <w:right w:type="dxa" w:w="90"/>
            </w:tcMar>
          </w:tcPr>
          <w:p>
            <w:pPr>
              <w:spacing w:after="0" w:line="240"/>
              <w:jc w:val="left"/>
            </w:pPr>
            <w:r>
              <w:rPr>
                <w:b/>
                <w:bCs/>
                <w:color w:val="222222"/>
                <w:sz w:val="19"/>
                <w:szCs w:val="19"/>
              </w:rPr>
              <w:t xml:space="preserve">Alimentación (ciclo)</w:t>
            </w:r>
          </w:p>
        </w:tc>
        <w:tc>
          <w:tcPr>
            <w:tcW w:type="dxa" w:w="32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1.185 kg MS × ~0,24 USD/kg MS</w:t>
            </w:r>
          </w:p>
        </w:tc>
        <w:tc>
          <w:tcPr>
            <w:tcW w:type="dxa" w:w="25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285</w:t>
            </w:r>
          </w:p>
        </w:tc>
      </w:tr>
      <w:tr>
        <w:tc>
          <w:tcPr>
            <w:tcW w:type="dxa" w:w="3600"/>
            <w:tcMar>
              <w:top w:type="dxa" w:w="40"/>
              <w:left w:type="dxa" w:w="90"/>
              <w:bottom w:type="dxa" w:w="40"/>
              <w:right w:type="dxa" w:w="90"/>
            </w:tcMar>
          </w:tcPr>
          <w:p>
            <w:pPr>
              <w:spacing w:after="0" w:line="240"/>
              <w:jc w:val="left"/>
            </w:pPr>
            <w:r>
              <w:rPr>
                <w:b/>
                <w:bCs/>
                <w:color w:val="222222"/>
                <w:sz w:val="19"/>
                <w:szCs w:val="19"/>
              </w:rPr>
              <w:t xml:space="preserve">Sanidad</w:t>
            </w:r>
          </w:p>
        </w:tc>
        <w:tc>
          <w:tcPr>
            <w:tcW w:type="dxa" w:w="3200"/>
            <w:tcMar>
              <w:top w:type="dxa" w:w="40"/>
              <w:left w:type="dxa" w:w="90"/>
              <w:bottom w:type="dxa" w:w="40"/>
              <w:right w:type="dxa" w:w="90"/>
            </w:tcMar>
          </w:tcPr>
          <w:p>
            <w:pPr>
              <w:spacing w:after="0" w:line="240"/>
              <w:jc w:val="center"/>
            </w:pPr>
            <w:r>
              <w:rPr>
                <w:b w:val="false"/>
                <w:bCs w:val="false"/>
                <w:color w:val="222222"/>
                <w:sz w:val="19"/>
                <w:szCs w:val="19"/>
              </w:rPr>
              <w:t xml:space="preserve">plan sanitario ciclo</w:t>
            </w:r>
          </w:p>
        </w:tc>
        <w:tc>
          <w:tcPr>
            <w:tcW w:type="dxa" w:w="2560"/>
            <w:tcMar>
              <w:top w:type="dxa" w:w="40"/>
              <w:left w:type="dxa" w:w="90"/>
              <w:bottom w:type="dxa" w:w="40"/>
              <w:right w:type="dxa" w:w="90"/>
            </w:tcMar>
          </w:tcPr>
          <w:p>
            <w:pPr>
              <w:spacing w:after="0" w:line="240"/>
              <w:jc w:val="center"/>
            </w:pPr>
            <w:r>
              <w:rPr>
                <w:b w:val="false"/>
                <w:bCs w:val="false"/>
                <w:color w:val="222222"/>
                <w:sz w:val="19"/>
                <w:szCs w:val="19"/>
              </w:rPr>
              <w:t xml:space="preserve">≈ 5–8</w:t>
            </w:r>
          </w:p>
        </w:tc>
      </w:tr>
      <w:tr>
        <w:tc>
          <w:tcPr>
            <w:tcW w:type="dxa" w:w="3600"/>
            <w:shd w:fill="F2F2F2" w:color="auto" w:val="clear"/>
            <w:tcMar>
              <w:top w:type="dxa" w:w="40"/>
              <w:left w:type="dxa" w:w="90"/>
              <w:bottom w:type="dxa" w:w="40"/>
              <w:right w:type="dxa" w:w="90"/>
            </w:tcMar>
          </w:tcPr>
          <w:p>
            <w:pPr>
              <w:spacing w:after="0" w:line="240"/>
              <w:jc w:val="left"/>
            </w:pPr>
            <w:r>
              <w:rPr>
                <w:b/>
                <w:bCs/>
                <w:color w:val="222222"/>
                <w:sz w:val="19"/>
                <w:szCs w:val="19"/>
              </w:rPr>
              <w:t xml:space="preserve">Mano de obra, flete, varios, financieros</w:t>
            </w:r>
          </w:p>
        </w:tc>
        <w:tc>
          <w:tcPr>
            <w:tcW w:type="dxa" w:w="32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estimado</w:t>
            </w:r>
          </w:p>
        </w:tc>
        <w:tc>
          <w:tcPr>
            <w:tcW w:type="dxa" w:w="25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35–45</w:t>
            </w:r>
          </w:p>
        </w:tc>
      </w:tr>
      <w:tr>
        <w:tc>
          <w:tcPr>
            <w:tcW w:type="dxa" w:w="3600"/>
            <w:tcMar>
              <w:top w:type="dxa" w:w="40"/>
              <w:left w:type="dxa" w:w="90"/>
              <w:bottom w:type="dxa" w:w="40"/>
              <w:right w:type="dxa" w:w="90"/>
            </w:tcMar>
          </w:tcPr>
          <w:p>
            <w:pPr>
              <w:spacing w:after="0" w:line="240"/>
              <w:jc w:val="left"/>
            </w:pPr>
            <w:r>
              <w:rPr>
                <w:b/>
                <w:bCs/>
                <w:color w:val="222222"/>
                <w:sz w:val="19"/>
                <w:szCs w:val="19"/>
              </w:rPr>
              <w:t xml:space="preserve">Costo total aproximado</w:t>
            </w:r>
          </w:p>
        </w:tc>
        <w:tc>
          <w:tcPr>
            <w:tcW w:type="dxa" w:w="3200"/>
            <w:tcMar>
              <w:top w:type="dxa" w:w="40"/>
              <w:left w:type="dxa" w:w="90"/>
              <w:bottom w:type="dxa" w:w="40"/>
              <w:right w:type="dxa" w:w="90"/>
            </w:tcMar>
          </w:tcPr>
          <w:p>
            <w:pPr>
              <w:spacing w:after="0" w:line="240"/>
              <w:jc w:val="center"/>
            </w:pPr>
            <w:r>
              <w:rPr>
                <w:b w:val="false"/>
                <w:bCs w:val="false"/>
                <w:color w:val="222222"/>
                <w:sz w:val="19"/>
                <w:szCs w:val="19"/>
              </w:rPr>
              <w:t xml:space="preserve"/>
            </w:r>
          </w:p>
        </w:tc>
        <w:tc>
          <w:tcPr>
            <w:tcW w:type="dxa" w:w="2560"/>
            <w:tcMar>
              <w:top w:type="dxa" w:w="40"/>
              <w:left w:type="dxa" w:w="90"/>
              <w:bottom w:type="dxa" w:w="40"/>
              <w:right w:type="dxa" w:w="90"/>
            </w:tcMar>
          </w:tcPr>
          <w:p>
            <w:pPr>
              <w:spacing w:after="0" w:line="240"/>
              <w:jc w:val="center"/>
            </w:pPr>
            <w:r>
              <w:rPr>
                <w:b w:val="false"/>
                <w:bCs w:val="false"/>
                <w:color w:val="222222"/>
                <w:sz w:val="19"/>
                <w:szCs w:val="19"/>
              </w:rPr>
              <w:t xml:space="preserve">≈ 1.020–1.030</w:t>
            </w:r>
          </w:p>
        </w:tc>
      </w:tr>
      <w:tr>
        <w:tc>
          <w:tcPr>
            <w:tcW w:type="dxa" w:w="3600"/>
            <w:shd w:fill="F2F2F2" w:color="auto" w:val="clear"/>
            <w:tcMar>
              <w:top w:type="dxa" w:w="40"/>
              <w:left w:type="dxa" w:w="90"/>
              <w:bottom w:type="dxa" w:w="40"/>
              <w:right w:type="dxa" w:w="90"/>
            </w:tcMar>
          </w:tcPr>
          <w:p>
            <w:pPr>
              <w:spacing w:after="0" w:line="240"/>
              <w:jc w:val="left"/>
            </w:pPr>
            <w:r>
              <w:rPr>
                <w:b/>
                <w:bCs/>
                <w:color w:val="222222"/>
                <w:sz w:val="19"/>
                <w:szCs w:val="19"/>
              </w:rPr>
              <w:t xml:space="preserve">Ingreso por venta (gordo)</w:t>
            </w:r>
          </w:p>
        </w:tc>
        <w:tc>
          <w:tcPr>
            <w:tcW w:type="dxa" w:w="32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510 kg × ~2,05 USD/kg</w:t>
            </w:r>
          </w:p>
        </w:tc>
        <w:tc>
          <w:tcPr>
            <w:tcW w:type="dxa" w:w="256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 1.045</w:t>
            </w:r>
          </w:p>
        </w:tc>
      </w:tr>
      <w:tr>
        <w:tc>
          <w:tcPr>
            <w:tcW w:type="dxa" w:w="3600"/>
            <w:tcMar>
              <w:top w:type="dxa" w:w="40"/>
              <w:left w:type="dxa" w:w="90"/>
              <w:bottom w:type="dxa" w:w="40"/>
              <w:right w:type="dxa" w:w="90"/>
            </w:tcMar>
          </w:tcPr>
          <w:p>
            <w:pPr>
              <w:spacing w:after="0" w:line="240"/>
              <w:jc w:val="left"/>
            </w:pPr>
            <w:r>
              <w:rPr>
                <w:b/>
                <w:bCs/>
                <w:color w:val="222222"/>
                <w:sz w:val="19"/>
                <w:szCs w:val="19"/>
              </w:rPr>
              <w:t xml:space="preserve">Margen bruto por animal</w:t>
            </w:r>
          </w:p>
        </w:tc>
        <w:tc>
          <w:tcPr>
            <w:tcW w:type="dxa" w:w="3200"/>
            <w:tcMar>
              <w:top w:type="dxa" w:w="40"/>
              <w:left w:type="dxa" w:w="90"/>
              <w:bottom w:type="dxa" w:w="40"/>
              <w:right w:type="dxa" w:w="90"/>
            </w:tcMar>
          </w:tcPr>
          <w:p>
            <w:pPr>
              <w:spacing w:after="0" w:line="240"/>
              <w:jc w:val="center"/>
            </w:pPr>
            <w:r>
              <w:rPr>
                <w:b w:val="false"/>
                <w:bCs w:val="false"/>
                <w:color w:val="222222"/>
                <w:sz w:val="19"/>
                <w:szCs w:val="19"/>
              </w:rPr>
              <w:t xml:space="preserve"/>
            </w:r>
          </w:p>
        </w:tc>
        <w:tc>
          <w:tcPr>
            <w:tcW w:type="dxa" w:w="2560"/>
            <w:tcMar>
              <w:top w:type="dxa" w:w="40"/>
              <w:left w:type="dxa" w:w="90"/>
              <w:bottom w:type="dxa" w:w="40"/>
              <w:right w:type="dxa" w:w="90"/>
            </w:tcMar>
          </w:tcPr>
          <w:p>
            <w:pPr>
              <w:spacing w:after="0" w:line="240"/>
              <w:jc w:val="center"/>
            </w:pPr>
            <w:r>
              <w:rPr>
                <w:b w:val="false"/>
                <w:bCs w:val="false"/>
                <w:color w:val="222222"/>
                <w:sz w:val="19"/>
                <w:szCs w:val="19"/>
              </w:rPr>
              <w:t xml:space="preserve">≈ 15–125 (según spread precios)</w:t>
            </w:r>
          </w:p>
        </w:tc>
      </w:tr>
    </w:tbl>
    <w:p>
      <w:pPr>
        <w:spacing w:after="120" w:before="40"/>
      </w:pPr>
      <w:r>
        <w:rPr>
          <w:i/>
          <w:iCs/>
          <w:color w:val="777777"/>
          <w:sz w:val="17"/>
          <w:szCs w:val="17"/>
        </w:rPr>
        <w:t xml:space="preserve">Fuente AgroRag: Conclusión «Rentabilidad por sistema» (feedlot terminación UY 2009: margen ≈ USD 125/animal; compra 360 kg, venta 510 kg); conclusión «Costos sanitarios» (≈ USD 5/cab). Precios unitarios actualizados por el usuario.</w:t>
      </w:r>
    </w:p>
    <w:p>
      <w:pPr>
        <w:pStyle w:val="Heading2"/>
        <w:spacing w:after="100" w:before="220"/>
      </w:pPr>
      <w:r>
        <w:rPr>
          <w:b/>
          <w:bCs/>
          <w:color w:val="2E5E3A"/>
          <w:sz w:val="25"/>
          <w:szCs w:val="25"/>
        </w:rPr>
        <w:t xml:space="preserve">Lectura del margen</w:t>
      </w:r>
    </w:p>
    <w:p>
      <w:pPr>
        <w:spacing w:after="120" w:line="276"/>
        <w:jc w:val="both"/>
      </w:pPr>
      <w:r>
        <w:rPr>
          <w:color w:val="222222"/>
          <w:sz w:val="21"/>
          <w:szCs w:val="21"/>
        </w:rPr>
        <w:t xml:space="preserve">El estudio de referencia mostró márgenes de hasta ~USD 125 por animal cuando la relación de precios fue favorable, pero el feedlot de terminación trabaja con márgenes ajustados y muy sensibles: pequeñas variaciones en el precio del grano o en la relación compra/venta pueden llevar el resultado de positivo a negativo. Por eso el negocio se ordena comprando bien (relación flaco/gordo favorable), asegurando grano a buen precio (idealmente propio o comprado en zafra) y cerrando el ciclo corto con buena conversión.</w:t>
      </w:r>
    </w:p>
    <w:p>
      <w:pPr>
        <w:spacing w:after="120" w:before="40"/>
      </w:pPr>
      <w:r>
        <w:rPr>
          <w:i/>
          <w:iCs/>
          <w:color w:val="777777"/>
          <w:sz w:val="17"/>
          <w:szCs w:val="17"/>
        </w:rPr>
        <w:t xml:space="preserve">Fuente AgroRag: Conclusión «Rentabilidad por sistema»; «Estudio comparativo…» UdelaR 2009 (incentivos para instalar feedlot: bajo precio del cereal + alto precio de la carne, uso de grano propio, ahorro de fletes y comercialización).</w:t>
      </w:r>
    </w:p>
    <w:p>
      <w:pPr>
        <w:pStyle w:val="Heading2"/>
        <w:spacing w:after="100" w:before="220"/>
      </w:pPr>
      <w:r>
        <w:rPr>
          <w:b/>
          <w:bCs/>
          <w:color w:val="2E5E3A"/>
          <w:sz w:val="25"/>
          <w:szCs w:val="25"/>
        </w:rPr>
        <w:t xml:space="preserve">Inversión en instalaciones</w:t>
      </w:r>
    </w:p>
    <w:p>
      <w:pPr>
        <w:spacing w:after="120" w:line="276"/>
        <w:jc w:val="both"/>
      </w:pPr>
      <w:r>
        <w:rPr>
          <w:color w:val="222222"/>
          <w:sz w:val="21"/>
          <w:szCs w:val="21"/>
        </w:rPr>
        <w:t xml:space="preserve">Para 100 animales la inversión en infraestructura es baja y muy amortizable si ya se cuenta con corrales, manga y aguada: comedero perimetral (~30 m), 2 bebederos, mejora de piso/drenaje, sombra y una calle de alimentación. En el estudio de referencia el rubro instalaciones fue marginal frente a alimentación y compra de animales, y se amortiza en varios ciclos.</w:t>
      </w:r>
    </w:p>
    <w:p>
      <w:pPr>
        <w:spacing w:after="120" w:before="40"/>
      </w:pPr>
      <w:r>
        <w:rPr>
          <w:i/>
          <w:iCs/>
          <w:color w:val="777777"/>
          <w:sz w:val="17"/>
          <w:szCs w:val="17"/>
        </w:rPr>
        <w:t xml:space="preserve">Fuente AgroRag: Conclusión «Rentabilidad por sistema» (instalaciones = rubro menor del costo total del feedlot); Feedlot Pordomingo (diseño de comederos y bebederos).</w:t>
      </w:r>
    </w:p>
    <w:p>
      <w:r>
        <w:br w:type="page"/>
      </w:r>
    </w:p>
    <w:p>
      <w:pPr>
        <w:pStyle w:val="Heading1"/>
        <w:spacing w:after="140" w:before="320"/>
      </w:pPr>
      <w:r>
        <w:rPr>
          <w:b/>
          <w:bCs/>
          <w:color w:val="1F3A5F"/>
          <w:sz w:val="30"/>
          <w:szCs w:val="30"/>
        </w:rPr>
        <w:t xml:space="preserve">8. Cronograma del ciclo</w:t>
      </w:r>
    </w:p>
    <w:tbl>
      <w:tblPr>
        <w:tblW w:type="dxa" w:w="9400"/>
        <w:tblBorders>
          <w:top w:val="single" w:color="BBBBBB" w:sz="2"/>
          <w:left w:val="single" w:color="BBBBBB" w:sz="2"/>
          <w:bottom w:val="single" w:color="BBBBBB" w:sz="2"/>
          <w:right w:val="single" w:color="BBBBBB" w:sz="2"/>
          <w:insideH w:val="single" w:color="DDDDDD" w:sz="1"/>
          <w:insideV w:val="single" w:color="DDDDDD" w:sz="1"/>
        </w:tblBorders>
      </w:tblPr>
      <w:tblGrid>
        <w:gridCol w:w="2400"/>
        <w:gridCol w:w="7000"/>
      </w:tblGrid>
      <w:tr>
        <w:trPr>
          <w:tblHeader/>
        </w:trPr>
        <w:tc>
          <w:tcPr>
            <w:tcW w:type="dxa" w:w="2400"/>
            <w:shd w:fill="1F3A5F" w:color="auto" w:val="clear"/>
            <w:tcMar>
              <w:top w:type="dxa" w:w="40"/>
              <w:left w:type="dxa" w:w="90"/>
              <w:bottom w:type="dxa" w:w="40"/>
              <w:right w:type="dxa" w:w="90"/>
            </w:tcMar>
          </w:tcPr>
          <w:p>
            <w:pPr>
              <w:spacing w:after="0" w:line="240"/>
              <w:jc w:val="left"/>
            </w:pPr>
            <w:r>
              <w:rPr>
                <w:b/>
                <w:bCs/>
                <w:color w:val="FFFFFF"/>
                <w:sz w:val="19"/>
                <w:szCs w:val="19"/>
              </w:rPr>
              <w:t xml:space="preserve">Momento</w:t>
            </w:r>
          </w:p>
        </w:tc>
        <w:tc>
          <w:tcPr>
            <w:tcW w:type="dxa" w:w="7000"/>
            <w:shd w:fill="1F3A5F" w:color="auto" w:val="clear"/>
            <w:tcMar>
              <w:top w:type="dxa" w:w="40"/>
              <w:left w:type="dxa" w:w="90"/>
              <w:bottom w:type="dxa" w:w="40"/>
              <w:right w:type="dxa" w:w="90"/>
            </w:tcMar>
          </w:tcPr>
          <w:p>
            <w:pPr>
              <w:spacing w:after="0" w:line="240"/>
              <w:jc w:val="center"/>
            </w:pPr>
            <w:r>
              <w:rPr>
                <w:b/>
                <w:bCs/>
                <w:color w:val="FFFFFF"/>
                <w:sz w:val="19"/>
                <w:szCs w:val="19"/>
              </w:rPr>
              <w:t xml:space="preserve">Actividades</w:t>
            </w:r>
          </w:p>
        </w:tc>
      </w:tr>
      <w:tr>
        <w:tc>
          <w:tcPr>
            <w:tcW w:type="dxa" w:w="2400"/>
            <w:tcMar>
              <w:top w:type="dxa" w:w="40"/>
              <w:left w:type="dxa" w:w="90"/>
              <w:bottom w:type="dxa" w:w="40"/>
              <w:right w:type="dxa" w:w="90"/>
            </w:tcMar>
          </w:tcPr>
          <w:p>
            <w:pPr>
              <w:spacing w:after="0" w:line="240"/>
              <w:jc w:val="left"/>
            </w:pPr>
            <w:r>
              <w:rPr>
                <w:b/>
                <w:bCs/>
                <w:color w:val="222222"/>
                <w:sz w:val="19"/>
                <w:szCs w:val="19"/>
              </w:rPr>
              <w:t xml:space="preserve">Pre-ingreso</w:t>
            </w:r>
          </w:p>
        </w:tc>
        <w:tc>
          <w:tcPr>
            <w:tcW w:type="dxa" w:w="7000"/>
            <w:tcMar>
              <w:top w:type="dxa" w:w="40"/>
              <w:left w:type="dxa" w:w="90"/>
              <w:bottom w:type="dxa" w:w="40"/>
              <w:right w:type="dxa" w:w="90"/>
            </w:tcMar>
          </w:tcPr>
          <w:p>
            <w:pPr>
              <w:spacing w:after="0" w:line="240"/>
              <w:jc w:val="center"/>
            </w:pPr>
            <w:r>
              <w:rPr>
                <w:b w:val="false"/>
                <w:bCs w:val="false"/>
                <w:color w:val="222222"/>
                <w:sz w:val="19"/>
                <w:szCs w:val="19"/>
              </w:rPr>
              <w:t xml:space="preserve">Elegir y comprar novillos (330–360 kg); acondicionar corral, comedero, bebederos y sombra; conseguir grano, fibra, proteico y núcleo con aditivos.</w:t>
            </w:r>
          </w:p>
        </w:tc>
      </w:tr>
      <w:tr>
        <w:tc>
          <w:tcPr>
            <w:tcW w:type="dxa" w:w="2400"/>
            <w:shd w:fill="F2F2F2" w:color="auto" w:val="clear"/>
            <w:tcMar>
              <w:top w:type="dxa" w:w="40"/>
              <w:left w:type="dxa" w:w="90"/>
              <w:bottom w:type="dxa" w:w="40"/>
              <w:right w:type="dxa" w:w="90"/>
            </w:tcMar>
          </w:tcPr>
          <w:p>
            <w:pPr>
              <w:spacing w:after="0" w:line="240"/>
              <w:jc w:val="left"/>
            </w:pPr>
            <w:r>
              <w:rPr>
                <w:b/>
                <w:bCs/>
                <w:color w:val="222222"/>
                <w:sz w:val="19"/>
                <w:szCs w:val="19"/>
              </w:rPr>
              <w:t xml:space="preserve">Día 0 (ingreso)</w:t>
            </w:r>
          </w:p>
        </w:tc>
        <w:tc>
          <w:tcPr>
            <w:tcW w:type="dxa" w:w="7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Pesada, desparasitación, vacunas, toma de temperatura, despunte de guampas; encierre con agua y sombra.</w:t>
            </w:r>
          </w:p>
        </w:tc>
      </w:tr>
      <w:tr>
        <w:tc>
          <w:tcPr>
            <w:tcW w:type="dxa" w:w="2400"/>
            <w:tcMar>
              <w:top w:type="dxa" w:w="40"/>
              <w:left w:type="dxa" w:w="90"/>
              <w:bottom w:type="dxa" w:w="40"/>
              <w:right w:type="dxa" w:w="90"/>
            </w:tcMar>
          </w:tcPr>
          <w:p>
            <w:pPr>
              <w:spacing w:after="0" w:line="240"/>
              <w:jc w:val="left"/>
            </w:pPr>
            <w:r>
              <w:rPr>
                <w:b/>
                <w:bCs/>
                <w:color w:val="222222"/>
                <w:sz w:val="19"/>
                <w:szCs w:val="19"/>
              </w:rPr>
              <w:t xml:space="preserve">Días 1–17</w:t>
            </w:r>
          </w:p>
        </w:tc>
        <w:tc>
          <w:tcPr>
            <w:tcW w:type="dxa" w:w="7000"/>
            <w:tcMar>
              <w:top w:type="dxa" w:w="40"/>
              <w:left w:type="dxa" w:w="90"/>
              <w:bottom w:type="dxa" w:w="40"/>
              <w:right w:type="dxa" w:w="90"/>
            </w:tcMar>
          </w:tcPr>
          <w:p>
            <w:pPr>
              <w:spacing w:after="0" w:line="240"/>
              <w:jc w:val="center"/>
            </w:pPr>
            <w:r>
              <w:rPr>
                <w:b w:val="false"/>
                <w:bCs w:val="false"/>
                <w:color w:val="222222"/>
                <w:sz w:val="19"/>
                <w:szCs w:val="19"/>
              </w:rPr>
              <w:t xml:space="preserve">Período de adaptación escalonado (step-up); score respiratorio 2×/día; vigilar consumo y bosta.</w:t>
            </w:r>
          </w:p>
        </w:tc>
      </w:tr>
      <w:tr>
        <w:tc>
          <w:tcPr>
            <w:tcW w:type="dxa" w:w="2400"/>
            <w:shd w:fill="F2F2F2" w:color="auto" w:val="clear"/>
            <w:tcMar>
              <w:top w:type="dxa" w:w="40"/>
              <w:left w:type="dxa" w:w="90"/>
              <w:bottom w:type="dxa" w:w="40"/>
              <w:right w:type="dxa" w:w="90"/>
            </w:tcMar>
          </w:tcPr>
          <w:p>
            <w:pPr>
              <w:spacing w:after="0" w:line="240"/>
              <w:jc w:val="left"/>
            </w:pPr>
            <w:r>
              <w:rPr>
                <w:b/>
                <w:bCs/>
                <w:color w:val="222222"/>
                <w:sz w:val="19"/>
                <w:szCs w:val="19"/>
              </w:rPr>
              <w:t xml:space="preserve">Días 18–100</w:t>
            </w:r>
          </w:p>
        </w:tc>
        <w:tc>
          <w:tcPr>
            <w:tcW w:type="dxa" w:w="7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Ración plena de terminación; alimentación en horarios fijos; lectura de comederos; pesada intermedia (~día 55).</w:t>
            </w:r>
          </w:p>
        </w:tc>
      </w:tr>
      <w:tr>
        <w:tc>
          <w:tcPr>
            <w:tcW w:type="dxa" w:w="2400"/>
            <w:tcMar>
              <w:top w:type="dxa" w:w="40"/>
              <w:left w:type="dxa" w:w="90"/>
              <w:bottom w:type="dxa" w:w="40"/>
              <w:right w:type="dxa" w:w="90"/>
            </w:tcMar>
          </w:tcPr>
          <w:p>
            <w:pPr>
              <w:spacing w:after="0" w:line="240"/>
              <w:jc w:val="left"/>
            </w:pPr>
            <w:r>
              <w:rPr>
                <w:b/>
                <w:bCs/>
                <w:color w:val="222222"/>
                <w:sz w:val="19"/>
                <w:szCs w:val="19"/>
              </w:rPr>
              <w:t xml:space="preserve">Días 100–120</w:t>
            </w:r>
          </w:p>
        </w:tc>
        <w:tc>
          <w:tcPr>
            <w:tcW w:type="dxa" w:w="7000"/>
            <w:tcMar>
              <w:top w:type="dxa" w:w="40"/>
              <w:left w:type="dxa" w:w="90"/>
              <w:bottom w:type="dxa" w:w="40"/>
              <w:right w:type="dxa" w:w="90"/>
            </w:tcMar>
          </w:tcPr>
          <w:p>
            <w:pPr>
              <w:spacing w:after="0" w:line="240"/>
              <w:jc w:val="center"/>
            </w:pPr>
            <w:r>
              <w:rPr>
                <w:b w:val="false"/>
                <w:bCs w:val="false"/>
                <w:color w:val="222222"/>
                <w:sz w:val="19"/>
                <w:szCs w:val="19"/>
              </w:rPr>
              <w:t xml:space="preserve">Control de grado de terminación (engrasamiento); pesada de salida; decisión y coordinación de venta/faena.</w:t>
            </w:r>
          </w:p>
        </w:tc>
      </w:tr>
      <w:tr>
        <w:tc>
          <w:tcPr>
            <w:tcW w:type="dxa" w:w="2400"/>
            <w:shd w:fill="F2F2F2" w:color="auto" w:val="clear"/>
            <w:tcMar>
              <w:top w:type="dxa" w:w="40"/>
              <w:left w:type="dxa" w:w="90"/>
              <w:bottom w:type="dxa" w:w="40"/>
              <w:right w:type="dxa" w:w="90"/>
            </w:tcMar>
          </w:tcPr>
          <w:p>
            <w:pPr>
              <w:spacing w:after="0" w:line="240"/>
              <w:jc w:val="left"/>
            </w:pPr>
            <w:r>
              <w:rPr>
                <w:b/>
                <w:bCs/>
                <w:color w:val="222222"/>
                <w:sz w:val="19"/>
                <w:szCs w:val="19"/>
              </w:rPr>
              <w:t xml:space="preserve">Cierre</w:t>
            </w:r>
          </w:p>
        </w:tc>
        <w:tc>
          <w:tcPr>
            <w:tcW w:type="dxa" w:w="7000"/>
            <w:shd w:fill="F2F2F2" w:color="auto" w:val="clear"/>
            <w:tcMar>
              <w:top w:type="dxa" w:w="40"/>
              <w:left w:type="dxa" w:w="90"/>
              <w:bottom w:type="dxa" w:w="40"/>
              <w:right w:type="dxa" w:w="90"/>
            </w:tcMar>
          </w:tcPr>
          <w:p>
            <w:pPr>
              <w:spacing w:after="0" w:line="240"/>
              <w:jc w:val="center"/>
            </w:pPr>
            <w:r>
              <w:rPr>
                <w:b w:val="false"/>
                <w:bCs w:val="false"/>
                <w:color w:val="222222"/>
                <w:sz w:val="19"/>
                <w:szCs w:val="19"/>
              </w:rPr>
              <w:t xml:space="preserve">Cálculo de GMD, conversión, consumo y margen reales por corral; ajustes para el próximo ciclo.</w:t>
            </w:r>
          </w:p>
        </w:tc>
      </w:tr>
    </w:tbl>
    <w:p>
      <w:r>
        <w:br w:type="page"/>
      </w:r>
    </w:p>
    <w:p>
      <w:pPr>
        <w:pStyle w:val="Heading1"/>
        <w:spacing w:after="140" w:before="320"/>
      </w:pPr>
      <w:r>
        <w:rPr>
          <w:b/>
          <w:bCs/>
          <w:color w:val="1F3A5F"/>
          <w:sz w:val="30"/>
          <w:szCs w:val="30"/>
        </w:rPr>
        <w:t xml:space="preserve">9. Fuentes AgroRag utilizadas</w:t>
      </w:r>
    </w:p>
    <w:p>
      <w:pPr>
        <w:spacing w:after="120" w:line="276"/>
        <w:jc w:val="both"/>
      </w:pPr>
      <w:r>
        <w:rPr>
          <w:color w:val="222222"/>
          <w:sz w:val="21"/>
          <w:szCs w:val="21"/>
        </w:rPr>
        <w:t xml:space="preserve">Este plan se construyó consultando el corpus AgroRag (bibliografía agropecuaria uruguaya y regional). Documentos y análisis principales:</w:t>
      </w:r>
    </w:p>
    <w:p>
      <w:pPr>
        <w:pStyle w:val="ListParagraph"/>
        <w:numPr>
          <w:ilvl w:val="0"/>
          <w:numId w:val="2"/>
        </w:numPr>
        <w:spacing w:after="70" w:line="264"/>
      </w:pPr>
      <w:r>
        <w:rPr>
          <w:color w:val="222222"/>
          <w:sz w:val="21"/>
          <w:szCs w:val="21"/>
        </w:rPr>
        <w:t xml:space="preserve">UPIC – Compendio 2004–2025, cap. 9 «El engorde a corral (feedlot) en los sistemas pastoriles» y «Restricción del consumo para mejorar la eficiencia de conversión» (Simeone, Beretta y col.).</w:t>
      </w:r>
    </w:p>
    <w:p>
      <w:pPr>
        <w:pStyle w:val="ListParagraph"/>
        <w:numPr>
          <w:ilvl w:val="0"/>
          <w:numId w:val="2"/>
        </w:numPr>
        <w:spacing w:after="70" w:line="264"/>
      </w:pPr>
      <w:r>
        <w:rPr>
          <w:color w:val="222222"/>
          <w:sz w:val="21"/>
          <w:szCs w:val="21"/>
        </w:rPr>
        <w:t xml:space="preserve">Feedlot – Pordomingo (libro completo): novillos, concentrado proteico, comederos, bebederos, enfermedades respiratorias, neumonías, Histophilus somnus.</w:t>
      </w:r>
    </w:p>
    <w:p>
      <w:pPr>
        <w:pStyle w:val="ListParagraph"/>
        <w:numPr>
          <w:ilvl w:val="0"/>
          <w:numId w:val="2"/>
        </w:numPr>
        <w:spacing w:after="70" w:line="264"/>
      </w:pPr>
      <w:r>
        <w:rPr>
          <w:color w:val="222222"/>
          <w:sz w:val="21"/>
          <w:szCs w:val="21"/>
        </w:rPr>
        <w:t xml:space="preserve">INTA – Feedlot 2013 y Curso de Nutrición Animal Aplicada 2014: novillos, feedlot de terminación, premezclas con monensina, manejo de mortalidad.</w:t>
      </w:r>
    </w:p>
    <w:p>
      <w:pPr>
        <w:pStyle w:val="ListParagraph"/>
        <w:numPr>
          <w:ilvl w:val="0"/>
          <w:numId w:val="2"/>
        </w:numPr>
        <w:spacing w:after="70" w:line="264"/>
      </w:pPr>
      <w:r>
        <w:rPr>
          <w:color w:val="222222"/>
          <w:sz w:val="21"/>
          <w:szCs w:val="21"/>
        </w:rPr>
        <w:t xml:space="preserve">«Estudio comparativo de la producción de ganado vacuno con la producción en base a feedlot» – UdelaR 2009: diseño de corral, dieta, acidosis, economía y sanidad.</w:t>
      </w:r>
    </w:p>
    <w:p>
      <w:pPr>
        <w:pStyle w:val="ListParagraph"/>
        <w:numPr>
          <w:ilvl w:val="0"/>
          <w:numId w:val="2"/>
        </w:numPr>
        <w:spacing w:after="70" w:line="264"/>
      </w:pPr>
      <w:r>
        <w:rPr>
          <w:color w:val="222222"/>
          <w:sz w:val="21"/>
          <w:szCs w:val="21"/>
        </w:rPr>
        <w:t xml:space="preserve">RECRÍA Y ENGORDE – ST-269-2024 (INIA): desempeño y eficiencia por sistema y estación; efecto de instalaciones.</w:t>
      </w:r>
    </w:p>
    <w:p>
      <w:pPr>
        <w:pStyle w:val="ListParagraph"/>
        <w:numPr>
          <w:ilvl w:val="0"/>
          <w:numId w:val="2"/>
        </w:numPr>
        <w:spacing w:after="70" w:line="264"/>
      </w:pPr>
      <w:r>
        <w:rPr>
          <w:color w:val="222222"/>
          <w:sz w:val="21"/>
          <w:szCs w:val="21"/>
        </w:rPr>
        <w:t xml:space="preserve">Invernada 365 (INIA); Clase 2 «Pastoreo y suplementación» y Clase 3 «Alimentación a corral»: calendario de acostumbramiento y parámetros de consumo/conversión.</w:t>
      </w:r>
    </w:p>
    <w:p>
      <w:pPr>
        <w:pStyle w:val="ListParagraph"/>
        <w:numPr>
          <w:ilvl w:val="0"/>
          <w:numId w:val="2"/>
        </w:numPr>
        <w:spacing w:after="70" w:line="264"/>
      </w:pPr>
      <w:r>
        <w:rPr>
          <w:color w:val="222222"/>
          <w:sz w:val="21"/>
          <w:szCs w:val="21"/>
        </w:rPr>
        <w:t xml:space="preserve">«La acidosis ruminal subaguda es un problema», Seminario Rumenología 2012 y artículos asociados: prevención de SARA.</w:t>
      </w:r>
    </w:p>
    <w:p>
      <w:pPr>
        <w:pStyle w:val="ListParagraph"/>
        <w:numPr>
          <w:ilvl w:val="0"/>
          <w:numId w:val="2"/>
        </w:numPr>
        <w:spacing w:after="70" w:line="264"/>
      </w:pPr>
      <w:r>
        <w:rPr>
          <w:color w:val="222222"/>
          <w:sz w:val="21"/>
          <w:szCs w:val="21"/>
        </w:rPr>
        <w:t xml:space="preserve">Guía de Buenas Prácticas Ambientales y Sanitarias de establecimientos de engorde a corral; «Normas de medición en corral»: score respiratorio, indicadores; «Gestión ambiental en el feedlot»: comederos.</w:t>
      </w:r>
    </w:p>
    <w:p>
      <w:pPr>
        <w:spacing w:after="80"/>
      </w:pPr>
    </w:p>
    <w:p>
      <w:pPr>
        <w:pBdr>
          <w:top w:val="single" w:color="C4A44A" w:sz="6" w:space="8"/>
        </w:pBdr>
        <w:spacing w:before="160"/>
      </w:pPr>
      <w:r>
        <w:rPr>
          <w:i/>
          <w:iCs/>
          <w:color w:val="777777"/>
          <w:sz w:val="18"/>
          <w:szCs w:val="18"/>
        </w:rPr>
        <w:t xml:space="preserve">Advertencia: las cifras de precios (USD/kg de reposición, gordo y granos) son orientativas y de fuentes de distintos años; deben actualizarse al mercado uruguayo del momento. Todo protocolo sanitario y uso de antibióticos debe validarse con el veterinario asesor y la normativa vigente en Uruguay.</w:t>
      </w:r>
    </w:p>
    <w:sectPr>
      <w:headerReference w:type="default" r:id="rId7"/>
      <w:footerReference w:type="default" r:id="rId8"/>
      <w:pgSz w:w="12240" w:h="15840"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999999"/>
        <w:sz w:val="16"/>
        <w:szCs w:val="16"/>
      </w:rPr>
      <w:t xml:space="preserve">Elaborado sobre corpus AgroRag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Plan de Feedlot · 100 novillos · Uruguay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Feedlot – 100 novillos</dc:title>
  <dc:creator>AgroRag Plan</dc:creator>
  <cp:lastModifiedBy>Un-named</cp:lastModifiedBy>
  <cp:revision>1</cp:revision>
  <dcterms:created xsi:type="dcterms:W3CDTF">2026-07-20T19:41:08.131Z</dcterms:created>
  <dcterms:modified xsi:type="dcterms:W3CDTF">2026-07-20T19:41:08.146Z</dcterms:modified>
</cp:coreProperties>
</file>

<file path=docProps/custom.xml><?xml version="1.0" encoding="utf-8"?>
<Properties xmlns="http://schemas.openxmlformats.org/officeDocument/2006/custom-properties" xmlns:vt="http://schemas.openxmlformats.org/officeDocument/2006/docPropsVTypes"/>
</file>