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8C92E" w14:textId="77777777" w:rsidR="00B42137" w:rsidRDefault="00B42137">
      <w:pPr>
        <w:spacing w:before="1200"/>
      </w:pPr>
    </w:p>
    <w:p w14:paraId="23CAC859" w14:textId="77777777" w:rsidR="00B42137" w:rsidRDefault="00000000">
      <w:pPr>
        <w:spacing w:after="120"/>
        <w:jc w:val="center"/>
      </w:pPr>
      <w:r>
        <w:rPr>
          <w:b/>
          <w:bCs/>
          <w:color w:val="6B2D5C"/>
          <w:sz w:val="64"/>
          <w:szCs w:val="64"/>
        </w:rPr>
        <w:t>Inkriff</w:t>
      </w:r>
    </w:p>
    <w:p w14:paraId="3574C19E" w14:textId="77777777" w:rsidR="00B42137" w:rsidRDefault="00000000">
      <w:pPr>
        <w:spacing w:after="60"/>
        <w:jc w:val="center"/>
      </w:pPr>
      <w:r>
        <w:rPr>
          <w:b/>
          <w:bCs/>
          <w:color w:val="3D1A35"/>
          <w:sz w:val="34"/>
          <w:szCs w:val="34"/>
        </w:rPr>
        <w:t>Metodología y Resultados</w:t>
      </w:r>
    </w:p>
    <w:p w14:paraId="5B34A895" w14:textId="77777777" w:rsidR="00B42137" w:rsidRDefault="00000000">
      <w:pPr>
        <w:spacing w:after="600"/>
        <w:jc w:val="center"/>
      </w:pPr>
      <w:r>
        <w:rPr>
          <w:i/>
          <w:iCs/>
          <w:color w:val="555555"/>
          <w:sz w:val="24"/>
          <w:szCs w:val="24"/>
        </w:rPr>
        <w:t>Recomendador bidireccional entre música rock/metal y literatura fantástica/romántica</w:t>
      </w:r>
    </w:p>
    <w:p w14:paraId="0E344256" w14:textId="77777777" w:rsidR="00B42137" w:rsidRDefault="00000000">
      <w:pPr>
        <w:spacing w:after="80"/>
        <w:jc w:val="center"/>
      </w:pPr>
      <w:r>
        <w:t>Trabajo Final — Diplomado en Ciencia de Datos, FES Acatlán, UNAM</w:t>
      </w:r>
    </w:p>
    <w:p w14:paraId="05E1876E" w14:textId="73D60C0C" w:rsidR="00B42137" w:rsidRDefault="00000000">
      <w:pPr>
        <w:spacing w:after="900"/>
        <w:jc w:val="center"/>
      </w:pPr>
      <w:r>
        <w:t>Autora: Viridiana Cassales</w:t>
      </w:r>
    </w:p>
    <w:p w14:paraId="3815448E" w14:textId="77777777" w:rsidR="00B42137" w:rsidRDefault="00000000">
      <w:r>
        <w:t xml:space="preserve"> </w:t>
      </w:r>
    </w:p>
    <w:p w14:paraId="22F3BAE7" w14:textId="77777777" w:rsidR="00B42137" w:rsidRDefault="00000000">
      <w:pPr>
        <w:pStyle w:val="Heading1"/>
      </w:pPr>
      <w:r>
        <w:t>Resumen ejecutivo</w:t>
      </w:r>
    </w:p>
    <w:p w14:paraId="7B55F60C" w14:textId="77777777" w:rsidR="00B42137" w:rsidRDefault="00000000">
      <w:pPr>
        <w:spacing w:after="160"/>
        <w:jc w:val="both"/>
      </w:pPr>
      <w:r>
        <w:t xml:space="preserve">Inkriff es una empresa ficticia que propone un recomendador bidireccional entre música de rock/metal (y sus subgéneros) y literatura de fantasía/romance: dado un libro, recomendar bandas afines; dado una banda, recomendar libros afines. Este documento resume la metodología completa del proyecto — desde la extracción de datos vía APIs públicas hasta el modelo final — y reporta los resultados obtenidos, incluyendo un problema real detectado durante la validación (concentración de recomendaciones en unos pocos libros, o “hubs”) y la corrección aplicada.</w:t>
      </w:r>
    </w:p>
    <w:p w14:paraId="2BCD2B2A" w14:textId="77777777" w:rsidR="00B42137" w:rsidRDefault="00000000">
      <w:pPr>
        <w:spacing w:after="160"/>
        <w:jc w:val="both"/>
      </w:pPr>
      <w:r>
        <w:t xml:space="preserve">El universo de datos se construyó con 81 bandas de rock/metal repartidas en 24 subgéneros y 112 libros de fantasía/romance repartidos en 15 categorías, extraídos vía MusicBrainz, la API oficial de Genius y Open Library/Google Books. Sobre ese universo, se curaron a mano 105 pares libro↔banda (con base en criterio de fandom, no en ningún dataset preexistente) que sirven como ancla de evaluación — no de entrenamiento — para el modelo final.</w:t>
      </w:r>
    </w:p>
    <w:p w14:paraId="78FDA706" w14:textId="77777777" w:rsidR="00B42137" w:rsidRDefault="00000000">
      <w:pPr>
        <w:spacing w:after="160"/>
        <w:jc w:val="both"/>
      </w:pPr>
      <w:r>
        <w:t xml:space="preserve">Dado el tamaño reducido de esas 105 anclas, se descartó entrenar una red desde cero (alto riesgo de memorización) y se optó por un recomendador de similitud de contenido: cada libro y cada banda se representan como un vector en un espacio semántico compartido, y la recomendación es la similitud coseno más alta del otro lado. Se compararon tres variantes — TF-IDF, embeddings de oración pre-entrenados multilingües, y una corrección de “hubness” sobre esos embeddings — y la última resultó mejor tanto en las métricas de evaluación (rank promedio, Recall@5, Recall@10, MRR) como en la calidad práctica de las recomendaciones.</w:t>
      </w:r>
    </w:p>
    <w:p>
      <w:pPr>
        <w:pStyle w:val="Heading1"/>
      </w:pPr>
      <w:r>
        <w:t xml:space="preserve">1. Introducción</w:t>
      </w:r>
    </w:p>
    <w:p>
      <w:pPr>
        <w:spacing w:after="160"/>
        <w:jc w:val="both"/>
      </w:pPr>
      <w:r>
        <w:t xml:space="preserve">¿Qué banda sonaría de fondo en la batalla final de tu saga favorita? ¿Qué novela tiene la misma atmósfera que el disco que no dejas de escuchar? Quienes leen fantasía y romance y quienes escuchan rock y metal comparten más de lo que parece: dragones, mitología nórdica, vampiros, reinos en guerra, amores imposibles y una estética oscura y épica que aparece tanto en las portadas de los libros como en las letras y los álbumes. Hay bandas que han dedicado discos completos a sagas literarias — Blind Guardian, por ejemplo, basó </w:t>
      </w:r>
      <w:r>
        <w:rPr>
          <w:i/>
          <w:iCs/>
        </w:rPr>
        <w:t xml:space="preserve">Nightfall in Middle-Earth</w:t>
      </w:r>
      <w:r>
        <w:t xml:space="preserve"> en </w:t>
      </w:r>
      <w:r>
        <w:rPr>
          <w:i/>
          <w:iCs/>
        </w:rPr>
        <w:t xml:space="preserve">El Silmarillion</w:t>
      </w:r>
      <w:r>
        <w:t xml:space="preserve"> de Tolkien —, pero no existe una herramienta que conecte ambos mundos de forma sistemática.</w:t>
      </w:r>
    </w:p>
    <w:p>
      <w:pPr>
        <w:spacing w:after="160"/>
        <w:jc w:val="both"/>
      </w:pPr>
      <w:r>
        <w:rPr>
          <w:b/>
          <w:bCs/>
        </w:rPr>
        <w:t xml:space="preserve">Inkriff</w:t>
      </w:r>
      <w:r>
        <w:t xml:space="preserve"> es una empresa ficticia de inteligencia artificial que construye ese puente. Su producto es un asistente conversacional: escribes, con tus propias palabras, el nombre de una banda o de un libro, y recibes cinco recomendaciones del otro mundo, cada una con una explicación en lenguaje natural de por qué encajan (tono, temática, atmósfera), un reproductor para escuchar a la banda al momento y enlaces para conseguir el libro.</w:t>
      </w:r>
    </w:p>
    <w:p>
      <w:pPr>
        <w:spacing w:after="160"/>
        <w:jc w:val="both"/>
      </w:pPr>
      <w:r>
        <w:t xml:space="preserve">Este documento recorre el proyecto completo: cómo se construyeron los datos a partir de APIs públicas, qué se encontró al explorarlos, cómo se prepararon, qué modelo se eligió y por qué, cómo se evaluó contra 105 pares libro↔banda curados a mano, y cómo todo se integra en una interfaz sencilla en Gradio. También reporta con honestidad lo que no funcionó a la primera — un modelo base que no superaba al azar y un sesgo de “hubs” que se detectó y se corrigió — porque esas decisiones explican el resultado final.</w:t>
      </w:r>
    </w:p>
    <w:p w14:paraId="35FD76EF" w14:textId="77777777" w:rsidR="00B42137" w:rsidRDefault="00000000">
      <w:pPr>
        <w:pStyle w:val="Heading1"/>
      </w:pPr>
      <w:r>
        <w:t>2. Planteamiento del problema</w:t>
      </w:r>
    </w:p>
    <w:p w14:paraId="57C87C13" w14:textId="4B6561CE" w:rsidR="00B42137" w:rsidRDefault="00000000">
      <w:pPr>
        <w:spacing w:after="160"/>
        <w:jc w:val="both"/>
      </w:pPr>
      <w:r>
        <w:t xml:space="preserve">El reto de negocio de Inkriff es conectar dos fandoms que comparten estética y sensibilidad — el metal/rock y la fantasía/romance — pero que no tienen, hoy, ningún puente de recomendación cruzada. Un usuario que ama Sarah J. Maas no tiene una manera sistemática de encontrar la banda de power metal que “le queda” a su libro favorito, y viceversa.</w:t>
      </w:r>
    </w:p>
    <w:p w14:paraId="414CC928" w14:textId="1624CF3A" w:rsidR="00B42137" w:rsidRDefault="00000000">
      <w:pPr>
        <w:spacing w:after="160"/>
        <w:jc w:val="both"/>
      </w:pPr>
      <w:r>
        <w:lastRenderedPageBreak/>
        <w:t xml:space="preserve">El proyecto se restringió deliberadamente a dos condiciones específicas: los datos deben venir de APIs o scraping, y el proyecto debe poder correr con recursos gratuitos (Google Colab, APIs sin costo). Estas dos restricciones determinaron gran parte de las decisiones metodológicas descritas abajo.</w:t>
      </w:r>
    </w:p>
    <w:p>
      <w:pPr>
        <w:pStyle w:val="Heading1"/>
      </w:pPr>
      <w:r>
        <w:t xml:space="preserve">3. Estrategia</w:t>
      </w:r>
    </w:p>
    <w:p>
      <w:pPr>
        <w:spacing w:after="160"/>
        <w:jc w:val="both"/>
      </w:pPr>
      <w:r>
        <w:t xml:space="preserve">Esta sección define a quién sirve Inkriff, en qué nicho compite, cómo se usa la solución y qué acciones concretas se desprenden de los resultados del proyecto.</w:t>
      </w:r>
    </w:p>
    <w:p>
      <w:pPr>
        <w:pStyle w:val="Heading2"/>
      </w:pPr>
      <w:r>
        <w:t xml:space="preserve">3.1 Descripción de usuarios</w:t>
      </w:r>
    </w:p>
    <w:p>
      <w:pPr>
        <w:spacing w:after="160"/>
        <w:jc w:val="both"/>
      </w:pPr>
      <w:r>
        <w:t xml:space="preserve">Se identificaron cuatro tipos de usuario objetivo. Los tres primeros son personas que usan la interfaz directamente; el cuarto es un actor de negocio que se beneficia del tráfico que genera.</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700"/>
        <w:gridCol w:w="2700"/>
      </w:tblGrid>
      <w:tr>
        <w:tblPrEx>
          <w:tblCellMar>
            <w:top w:w="0" w:type="dxa"/>
            <w:bottom w:w="0" w:type="dxa"/>
          </w:tblCellMar>
        </w:tblPrEx>
        <w:trPr>
          <w:jc w:val="center"/>
        </w:trPr>
        <w:tc>
          <w:tcPr>
            <w:tcW w:w="19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Usuario</w:t>
            </w:r>
          </w:p>
        </w:tc>
        <w:tc>
          <w:tcPr>
            <w:tcW w:w="27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Quién es</w:t>
            </w:r>
          </w:p>
        </w:tc>
        <w:tc>
          <w:tcPr>
            <w:tcW w:w="27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Necesidad específica</w:t>
            </w:r>
          </w:p>
        </w:tc>
        <w:tc>
          <w:tcPr>
            <w:tcW w:w="27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Cómo la atiende Inkriff</w:t>
            </w:r>
          </w:p>
        </w:tc>
      </w:tr>
      <w:tr>
        <w:tblPrEx>
          <w:tblCellMar>
            <w:top w:w="0" w:type="dxa"/>
            <w:bottom w:w="0" w:type="dxa"/>
          </w:tblCellMar>
        </w:tblPrEx>
        <w:trPr>
          <w:jc w:val="center"/>
        </w:trPr>
        <w:tc>
          <w:tcPr>
            <w:tcW w:w="1900" w:type="dxa"/>
            <w:tcMar>
              <w:top w:w="80" w:type="dxa"/>
              <w:left w:w="100" w:type="dxa"/>
              <w:bottom w:w="80" w:type="dxa"/>
              <w:right w:w="100" w:type="dxa"/>
            </w:tcMar>
          </w:tcPr>
          <w:p>
            <w:r>
              <w:rPr>
                <w:color w:val="000000"/>
                <w:sz w:val="20"/>
                <w:szCs w:val="20"/>
              </w:rPr>
              <w:t xml:space="preserve">Lector(a) de fantasía y romance</w:t>
            </w:r>
          </w:p>
        </w:tc>
        <w:tc>
          <w:tcPr>
            <w:tcW w:w="2700" w:type="dxa"/>
            <w:tcMar>
              <w:top w:w="80" w:type="dxa"/>
              <w:left w:w="100" w:type="dxa"/>
              <w:bottom w:w="80" w:type="dxa"/>
              <w:right w:w="100" w:type="dxa"/>
            </w:tcMar>
          </w:tcPr>
          <w:p>
            <w:r>
              <w:rPr>
                <w:color w:val="000000"/>
                <w:sz w:val="20"/>
                <w:szCs w:val="20"/>
              </w:rPr>
              <w:t xml:space="preserve">Lee sagas de fantasía épica, oscura o </w:t>
            </w:r>
            <w:r>
              <w:rPr>
                <w:color w:val="000000"/>
                <w:sz w:val="20"/>
                <w:szCs w:val="20"/>
                <w:i/>
                <w:iCs/>
              </w:rPr>
              <w:t xml:space="preserve">romantasy</w:t>
            </w:r>
            <w:r>
              <w:rPr>
                <w:color w:val="000000"/>
                <w:sz w:val="20"/>
                <w:szCs w:val="20"/>
              </w:rPr>
              <w:t xml:space="preserve"> (p. ej. Una Corte de Rosas y Espinas, Fourth Wing, Trono de Cristal)</w:t>
            </w:r>
          </w:p>
        </w:tc>
        <w:tc>
          <w:tcPr>
            <w:tcW w:w="2700" w:type="dxa"/>
            <w:tcMar>
              <w:top w:w="80" w:type="dxa"/>
              <w:left w:w="100" w:type="dxa"/>
              <w:bottom w:w="80" w:type="dxa"/>
              <w:right w:w="100" w:type="dxa"/>
            </w:tcMar>
          </w:tcPr>
          <w:p>
            <w:r>
              <w:rPr>
                <w:color w:val="000000"/>
                <w:sz w:val="20"/>
                <w:szCs w:val="20"/>
              </w:rPr>
              <w:t xml:space="preserve">Música que acompañe la atmósfera de lo que lee, sin tener que conocer subgéneros de metal</w:t>
            </w:r>
          </w:p>
        </w:tc>
        <w:tc>
          <w:tcPr>
            <w:tcW w:w="2700" w:type="dxa"/>
            <w:tcMar>
              <w:top w:w="80" w:type="dxa"/>
              <w:left w:w="100" w:type="dxa"/>
              <w:bottom w:w="80" w:type="dxa"/>
              <w:right w:w="100" w:type="dxa"/>
            </w:tcMar>
          </w:tcPr>
          <w:p>
            <w:r>
              <w:rPr>
                <w:color w:val="000000"/>
                <w:sz w:val="20"/>
                <w:szCs w:val="20"/>
              </w:rPr>
              <w:t xml:space="preserve">Herramienta bandas_para_libro + reproductor de Spotify dentro del chat</w:t>
            </w:r>
          </w:p>
        </w:tc>
      </w:tr>
      <w:tr>
        <w:tblPrEx>
          <w:tblCellMar>
            <w:top w:w="0" w:type="dxa"/>
            <w:bottom w:w="0" w:type="dxa"/>
          </w:tblCellMar>
        </w:tblPrEx>
        <w:trPr>
          <w:jc w:val="center"/>
        </w:trPr>
        <w:tc>
          <w:tcPr>
            <w:tcW w:w="1900" w:type="dxa"/>
            <w:tcMar>
              <w:top w:w="80" w:type="dxa"/>
              <w:left w:w="100" w:type="dxa"/>
              <w:bottom w:w="80" w:type="dxa"/>
              <w:right w:w="100" w:type="dxa"/>
            </w:tcMar>
          </w:tcPr>
          <w:p>
            <w:r>
              <w:rPr>
                <w:color w:val="000000"/>
                <w:sz w:val="20"/>
                <w:szCs w:val="20"/>
              </w:rPr>
              <w:t xml:space="preserve">Fan de rock y metal</w:t>
            </w:r>
          </w:p>
        </w:tc>
        <w:tc>
          <w:tcPr>
            <w:tcW w:w="2700" w:type="dxa"/>
            <w:tcMar>
              <w:top w:w="80" w:type="dxa"/>
              <w:left w:w="100" w:type="dxa"/>
              <w:bottom w:w="80" w:type="dxa"/>
              <w:right w:w="100" w:type="dxa"/>
            </w:tcMar>
          </w:tcPr>
          <w:p>
            <w:r>
              <w:rPr>
                <w:color w:val="000000"/>
                <w:sz w:val="20"/>
                <w:szCs w:val="20"/>
              </w:rPr>
              <w:t xml:space="preserve">Escucha bandas como Nightwish, Ghost o Bring Me The Horizon</w:t>
            </w:r>
          </w:p>
        </w:tc>
        <w:tc>
          <w:tcPr>
            <w:tcW w:w="2700" w:type="dxa"/>
            <w:tcMar>
              <w:top w:w="80" w:type="dxa"/>
              <w:left w:w="100" w:type="dxa"/>
              <w:bottom w:w="80" w:type="dxa"/>
              <w:right w:w="100" w:type="dxa"/>
            </w:tcMar>
          </w:tcPr>
          <w:p>
            <w:r>
              <w:rPr>
                <w:color w:val="000000"/>
                <w:sz w:val="20"/>
                <w:szCs w:val="20"/>
              </w:rPr>
              <w:t xml:space="preserve">Lecturas con la misma estética que su música (épica, gótica, oscura)</w:t>
            </w:r>
          </w:p>
        </w:tc>
        <w:tc>
          <w:tcPr>
            <w:tcW w:w="2700" w:type="dxa"/>
            <w:tcMar>
              <w:top w:w="80" w:type="dxa"/>
              <w:left w:w="100" w:type="dxa"/>
              <w:bottom w:w="80" w:type="dxa"/>
              <w:right w:w="100" w:type="dxa"/>
            </w:tcMar>
          </w:tcPr>
          <w:p>
            <w:r>
              <w:rPr>
                <w:color w:val="000000"/>
                <w:sz w:val="20"/>
                <w:szCs w:val="20"/>
              </w:rPr>
              <w:t xml:space="preserve">Herramienta libros_para_banda + sinopsis + enlaces de compra</w:t>
            </w:r>
          </w:p>
        </w:tc>
      </w:tr>
      <w:tr>
        <w:tblPrEx>
          <w:tblCellMar>
            <w:top w:w="0" w:type="dxa"/>
            <w:bottom w:w="0" w:type="dxa"/>
          </w:tblCellMar>
        </w:tblPrEx>
        <w:trPr>
          <w:jc w:val="center"/>
        </w:trPr>
        <w:tc>
          <w:tcPr>
            <w:tcW w:w="1900" w:type="dxa"/>
            <w:tcMar>
              <w:top w:w="80" w:type="dxa"/>
              <w:left w:w="100" w:type="dxa"/>
              <w:bottom w:w="80" w:type="dxa"/>
              <w:right w:w="100" w:type="dxa"/>
            </w:tcMar>
          </w:tcPr>
          <w:p>
            <w:r>
              <w:rPr>
                <w:color w:val="000000"/>
                <w:sz w:val="20"/>
                <w:szCs w:val="20"/>
              </w:rPr>
              <w:t xml:space="preserve">Creador(a) de contenido</w:t>
            </w:r>
          </w:p>
        </w:tc>
        <w:tc>
          <w:tcPr>
            <w:tcW w:w="2700" w:type="dxa"/>
            <w:tcMar>
              <w:top w:w="80" w:type="dxa"/>
              <w:left w:w="100" w:type="dxa"/>
              <w:bottom w:w="80" w:type="dxa"/>
              <w:right w:w="100" w:type="dxa"/>
            </w:tcMar>
          </w:tcPr>
          <w:p>
            <w:r>
              <w:rPr>
                <w:color w:val="000000"/>
                <w:sz w:val="20"/>
                <w:szCs w:val="20"/>
              </w:rPr>
              <w:t xml:space="preserve">Reseña libros o arma playlists temáticas en redes sociales</w:t>
            </w:r>
          </w:p>
        </w:tc>
        <w:tc>
          <w:tcPr>
            <w:tcW w:w="2700" w:type="dxa"/>
            <w:tcMar>
              <w:top w:w="80" w:type="dxa"/>
              <w:left w:w="100" w:type="dxa"/>
              <w:bottom w:w="80" w:type="dxa"/>
              <w:right w:w="100" w:type="dxa"/>
            </w:tcMar>
          </w:tcPr>
          <w:p>
            <w:r>
              <w:rPr>
                <w:color w:val="000000"/>
                <w:sz w:val="20"/>
                <w:szCs w:val="20"/>
              </w:rPr>
              <w:t xml:space="preserve">Combinaciones libro–banda con un argumento que pueda compartir</w:t>
            </w:r>
          </w:p>
        </w:tc>
        <w:tc>
          <w:tcPr>
            <w:tcW w:w="2700" w:type="dxa"/>
            <w:tcMar>
              <w:top w:w="80" w:type="dxa"/>
              <w:left w:w="100" w:type="dxa"/>
              <w:bottom w:w="80" w:type="dxa"/>
              <w:right w:w="100" w:type="dxa"/>
            </w:tcMar>
          </w:tcPr>
          <w:p>
            <w:r>
              <w:rPr>
                <w:color w:val="000000"/>
                <w:sz w:val="20"/>
                <w:szCs w:val="20"/>
              </w:rPr>
              <w:t xml:space="preserve">Explicación generada para cada pareja, sección “Parejas destacadas” y catálogo navegable</w:t>
            </w:r>
          </w:p>
        </w:tc>
      </w:tr>
      <w:tr>
        <w:tblPrEx>
          <w:tblCellMar>
            <w:top w:w="0" w:type="dxa"/>
            <w:bottom w:w="0" w:type="dxa"/>
          </w:tblCellMar>
        </w:tblPrEx>
        <w:trPr>
          <w:jc w:val="center"/>
        </w:trPr>
        <w:tc>
          <w:tcPr>
            <w:tcW w:w="1900" w:type="dxa"/>
            <w:tcMar>
              <w:top w:w="80" w:type="dxa"/>
              <w:left w:w="100" w:type="dxa"/>
              <w:bottom w:w="80" w:type="dxa"/>
              <w:right w:w="100" w:type="dxa"/>
            </w:tcMar>
          </w:tcPr>
          <w:p>
            <w:r>
              <w:rPr>
                <w:color w:val="000000"/>
                <w:sz w:val="20"/>
                <w:szCs w:val="20"/>
              </w:rPr>
              <w:t xml:space="preserve">Librerías y tiendas (actor de negocio)</w:t>
            </w:r>
          </w:p>
        </w:tc>
        <w:tc>
          <w:tcPr>
            <w:tcW w:w="2700" w:type="dxa"/>
            <w:tcMar>
              <w:top w:w="80" w:type="dxa"/>
              <w:left w:w="100" w:type="dxa"/>
              <w:bottom w:w="80" w:type="dxa"/>
              <w:right w:w="100" w:type="dxa"/>
            </w:tcMar>
          </w:tcPr>
          <w:p>
            <w:r>
              <w:rPr>
                <w:color w:val="000000"/>
                <w:sz w:val="20"/>
                <w:szCs w:val="20"/>
              </w:rPr>
              <w:t xml:space="preserve">Amazon México, Gandhi, El Sótano, Sanborns, Porrúa</w:t>
            </w:r>
          </w:p>
        </w:tc>
        <w:tc>
          <w:tcPr>
            <w:tcW w:w="2700" w:type="dxa"/>
            <w:tcMar>
              <w:top w:w="80" w:type="dxa"/>
              <w:left w:w="100" w:type="dxa"/>
              <w:bottom w:w="80" w:type="dxa"/>
              <w:right w:w="100" w:type="dxa"/>
            </w:tcMar>
          </w:tcPr>
          <w:p>
            <w:r>
              <w:rPr>
                <w:color w:val="000000"/>
                <w:sz w:val="20"/>
                <w:szCs w:val="20"/>
              </w:rPr>
              <w:t xml:space="preserve">Lectores que llegan con intención de compra</w:t>
            </w:r>
          </w:p>
        </w:tc>
        <w:tc>
          <w:tcPr>
            <w:tcW w:w="2700" w:type="dxa"/>
            <w:tcMar>
              <w:top w:w="80" w:type="dxa"/>
              <w:left w:w="100" w:type="dxa"/>
              <w:bottom w:w="80" w:type="dxa"/>
              <w:right w:w="100" w:type="dxa"/>
            </w:tcMar>
          </w:tcPr>
          <w:p>
            <w:r>
              <w:rPr>
                <w:color w:val="000000"/>
                <w:sz w:val="20"/>
                <w:szCs w:val="20"/>
              </w:rPr>
              <w:t xml:space="preserve">Cada libro recomendado incluye enlaces de búsqueda directa en esas tiendas</w:t>
            </w:r>
          </w:p>
        </w:tc>
      </w:tr>
    </w:tbl>
    <w:p>
      <w:pPr>
        <w:spacing w:after="240"/>
      </w:pPr>
      <w:r>
        <w:rPr>
          <w:i/>
          <w:iCs/>
          <w:color w:val="555555"/>
          <w:sz w:val="18"/>
          <w:szCs w:val="18"/>
        </w:rPr>
        <w:t xml:space="preserve">Tabla 1. Usuarios objetivo de Inkriff y sus necesidades.</w:t>
      </w:r>
    </w:p>
    <w:p>
      <w:pPr>
        <w:spacing w:after="160"/>
        <w:jc w:val="both"/>
      </w:pPr>
      <w:r>
        <w:t xml:space="preserve">Ninguno de estos usuarios necesita conocimientos técnicos ni crear una cuenta: la interfaz es conversacional, en español, y acepta nombres escritos de forma aproximada o en inglés.</w:t>
      </w:r>
    </w:p>
    <w:p>
      <w:pPr>
        <w:pStyle w:val="Heading2"/>
      </w:pPr>
      <w:r>
        <w:t xml:space="preserve">3.2 Nicho y propuesta de valor</w:t>
      </w:r>
    </w:p>
    <w:p>
      <w:pPr>
        <w:spacing w:after="160"/>
        <w:jc w:val="both"/>
      </w:pPr>
      <w:r>
        <w:t xml:space="preserve">Los servicios de recomendación de uso común trabajan dentro de un mismo dominio: los de música recomiendan música y los de libros recomiendan libros. El cruce entre ambos dominios — el problema descrito en la sección 2 — es el nicho de Inkriff. Su propuesta de valor combina tres elementos: (1) recomendación cruzada en ambos sentidos, (2) una explicación del porqué de cada recomendación, nunca solo un puntaje, y (3) la posibilidad de actuar de inmediato: escuchar la banda o buscar el libro en una tienda, sin salir del chat.</w:t>
      </w:r>
    </w:p>
    <w:p>
      <w:pPr>
        <w:spacing w:after="160"/>
        <w:jc w:val="both"/>
      </w:pPr>
      <w:r>
        <w:t xml:space="preserve">Como empresa ficticia, el modelo de negocio planteado es hipotético: los enlaces de compra podrían convertirse en acuerdos de afiliación con librerías, las “Parejas destacadas” en contenido para redes sociales, y el formulario de sugerencias en una vía para que la comunidad amplíe el catálogo.</w:t>
      </w:r>
    </w:p>
    <w:p>
      <w:pPr>
        <w:pStyle w:val="Heading2"/>
      </w:pPr>
      <w:r>
        <w:t xml:space="preserve">3.3 Usabilidad del modelo</w:t>
      </w:r>
    </w:p>
    <w:p>
      <w:pPr>
        <w:spacing w:after="160"/>
        <w:jc w:val="both"/>
      </w:pPr>
      <w:r>
        <w:t xml:space="preserve">El modelo se pensó para que su uso no requiera explicación. Las decisiones de diseño que lo hacen posible son:</w:t>
      </w:r>
    </w:p>
    <w:p>
      <w:pPr>
        <w:pStyle w:val="ListParagraph"/>
        <w:numPr>
          <w:ilvl w:val="0"/>
          <w:numId w:val="2"/>
        </w:numPr>
        <w:spacing w:after="80"/>
        <w:jc w:val="both"/>
      </w:pPr>
      <w:r>
        <w:rPr>
          <w:b/>
          <w:bCs/>
        </w:rPr>
        <w:t xml:space="preserve">Lenguaje natural en lugar de formularios.</w:t>
      </w:r>
      <w:r>
        <w:t xml:space="preserve"> La primera versión de la interfaz usaba listas desplegables; la versión final es un chat donde basta escribir “me encanta Nightwish, ¿qué leo?”.</w:t>
      </w:r>
    </w:p>
    <w:p>
      <w:pPr>
        <w:pStyle w:val="ListParagraph"/>
        <w:numPr>
          <w:ilvl w:val="0"/>
          <w:numId w:val="2"/>
        </w:numPr>
        <w:spacing w:after="80"/>
        <w:jc w:val="both"/>
      </w:pPr>
      <w:r>
        <w:rPr>
          <w:b/>
          <w:bCs/>
        </w:rPr>
        <w:t xml:space="preserve">Tolerancia a errores.</w:t>
      </w:r>
      <w:r>
        <w:t xml:space="preserve"> Los nombres se reconocen aunque estén mal escritos (coincidencia de texto ≥ 0.82) o en inglés (alias como </w:t>
      </w:r>
      <w:r>
        <w:rPr>
          <w:i/>
          <w:iCs/>
        </w:rPr>
        <w:t xml:space="preserve">A Court of Thorns and Roses</w:t>
      </w:r>
      <w:r>
        <w:t xml:space="preserve"> o </w:t>
      </w:r>
      <w:r>
        <w:rPr>
          <w:i/>
          <w:iCs/>
        </w:rPr>
        <w:t xml:space="preserve">SOAD</w:t>
      </w:r>
      <w:r>
        <w:t xml:space="preserve">); si el LLM elige la herramienta equivocada, el código la corrige.</w:t>
      </w:r>
    </w:p>
    <w:p>
      <w:pPr>
        <w:pStyle w:val="ListParagraph"/>
        <w:numPr>
          <w:ilvl w:val="0"/>
          <w:numId w:val="2"/>
        </w:numPr>
        <w:spacing w:after="80"/>
        <w:jc w:val="both"/>
      </w:pPr>
      <w:r>
        <w:rPr>
          <w:b/>
          <w:bCs/>
        </w:rPr>
        <w:t xml:space="preserve">Funciona fuera del catálogo.</w:t>
      </w:r>
      <w:r>
        <w:t xml:space="preserve"> Si la banda o el libro no están entre los 81 y 112 del catálogo, se buscan en vivo y se recomiendan con el mismo modelo.</w:t>
      </w:r>
    </w:p>
    <w:p>
      <w:pPr>
        <w:pStyle w:val="ListParagraph"/>
        <w:numPr>
          <w:ilvl w:val="0"/>
          <w:numId w:val="2"/>
        </w:numPr>
        <w:spacing w:after="80"/>
        <w:jc w:val="both"/>
      </w:pPr>
      <w:r>
        <w:rPr>
          <w:b/>
          <w:bCs/>
        </w:rPr>
        <w:t xml:space="preserve">Memoria de conversación.</w:t>
      </w:r>
      <w:r>
        <w:t xml:space="preserve"> Se puede preguntar “¿qué otros libros le quedan?” o “¿quién escribió el segundo?” sin repetir el contexto.</w:t>
      </w:r>
    </w:p>
    <w:p>
      <w:pPr>
        <w:pStyle w:val="ListParagraph"/>
        <w:numPr>
          <w:ilvl w:val="0"/>
          <w:numId w:val="2"/>
        </w:numPr>
        <w:spacing w:after="80"/>
        <w:jc w:val="both"/>
      </w:pPr>
      <w:r>
        <w:rPr>
          <w:b/>
          <w:bCs/>
        </w:rPr>
        <w:t xml:space="preserve">Resultados accionables y visuales.</w:t>
      </w:r>
      <w:r>
        <w:t xml:space="preserve"> Cada recomendación se muestra como tarjeta con portada o foto, reproductor de Spotify y enlaces de compra; el catálogo se puede explorar sin escribir nada.</w:t>
      </w:r>
    </w:p>
    <w:p>
      <w:pPr>
        <w:pStyle w:val="ListParagraph"/>
        <w:numPr>
          <w:ilvl w:val="0"/>
          <w:numId w:val="2"/>
        </w:numPr>
        <w:spacing w:after="80"/>
        <w:jc w:val="both"/>
      </w:pPr>
      <w:r>
        <w:rPr>
          <w:b/>
          <w:bCs/>
        </w:rPr>
        <w:t xml:space="preserve">Respaldo sin LLM.</w:t>
      </w:r>
      <w:r>
        <w:t xml:space="preserve"> Si el proveedor del LLM falla, el chat igual muestra las recomendaciones de lo que se mencionó.</w:t>
      </w:r>
    </w:p>
    <w:p>
      <w:pPr>
        <w:spacing w:after="160"/>
        <w:jc w:val="both"/>
      </w:pPr>
      <w:r>
        <w:t xml:space="preserve">El uso paso a paso de la interfaz se describe en la sección 8.2.</w:t>
      </w:r>
    </w:p>
    <w:p>
      <w:pPr>
        <w:pStyle w:val="Heading2"/>
      </w:pPr>
      <w:r>
        <w:t xml:space="preserve">3.4 Accionables</w:t>
      </w:r>
    </w:p>
    <w:p>
      <w:pPr>
        <w:spacing w:after="160"/>
        <w:jc w:val="both"/>
      </w:pPr>
      <w:r>
        <w:t xml:space="preserve">A partir de los resultados del proyecto se desprenden las siguientes acciones concretas:</w:t>
      </w:r>
    </w:p>
    <w:p>
      <w:pPr>
        <w:pStyle w:val="ListParagraph"/>
        <w:numPr>
          <w:ilvl w:val="0"/>
          <w:numId w:val="2"/>
        </w:numPr>
        <w:spacing w:after="80"/>
        <w:jc w:val="both"/>
      </w:pPr>
      <w:r>
        <w:rPr>
          <w:b/>
          <w:bCs/>
        </w:rPr>
        <w:t xml:space="preserve">Priorizar en la comunicación los subgéneros donde el modelo es más coherente.</w:t>
      </w:r>
      <w:r>
        <w:t xml:space="preserve"> La revisión cualitativa (sección 7.6) muestra recomendaciones consistentes para el metal gótico, el black metal y el power/heavy metal; son los mejores casos para presentar el producto.</w:t>
      </w:r>
    </w:p>
    <w:p>
      <w:pPr>
        <w:pStyle w:val="ListParagraph"/>
        <w:numPr>
          <w:ilvl w:val="0"/>
          <w:numId w:val="2"/>
        </w:numPr>
        <w:spacing w:after="80"/>
        <w:jc w:val="both"/>
      </w:pPr>
      <w:r>
        <w:rPr>
          <w:b/>
          <w:bCs/>
        </w:rPr>
        <w:t xml:space="preserve">Completar las sinopsis de los 15 libros que no la tienen.</w:t>
      </w:r>
      <w:r>
        <w:t xml:space="preserve"> Hoy están excluidos como candidatos (sección 7.5); recuperarlos devuelve el 13.4% del catálogo de libros al recomendador.</w:t>
      </w:r>
    </w:p>
    <w:p>
      <w:pPr>
        <w:pStyle w:val="ListParagraph"/>
        <w:numPr>
          <w:ilvl w:val="0"/>
          <w:numId w:val="2"/>
        </w:numPr>
        <w:spacing w:after="80"/>
        <w:jc w:val="both"/>
      </w:pPr>
      <w:r>
        <w:rPr>
          <w:b/>
          <w:bCs/>
        </w:rPr>
        <w:t xml:space="preserve">Convertir las sugerencias de la comunidad en nuevos pares de evaluación.</w:t>
      </w:r>
      <w:r>
        <w:t xml:space="preserve"> El tamaño de los 105 pares es la principal limitación para medir el modelo (sección 9); cada sugerencia validada puede agregar un par.</w:t>
      </w:r>
    </w:p>
    <w:p>
      <w:pPr>
        <w:pStyle w:val="ListParagraph"/>
        <w:numPr>
          <w:ilvl w:val="0"/>
          <w:numId w:val="2"/>
        </w:numPr>
        <w:spacing w:after="80"/>
        <w:jc w:val="both"/>
      </w:pPr>
      <w:r>
        <w:rPr>
          <w:b/>
          <w:bCs/>
        </w:rPr>
        <w:t xml:space="preserve">Vigilar la concentración de hubs al crecer el catálogo.</w:t>
      </w:r>
      <w:r>
        <w:t xml:space="preserve"> La corrección redujo al libro top-1 más repetido del 38.3% al 7.4% de las bandas (sección 7.5); esa cifra debe recalcularse cada vez que se agreguen bandas o libros.</w:t>
      </w:r>
    </w:p>
    <w:p>
      <w:pPr>
        <w:pStyle w:val="ListParagraph"/>
        <w:numPr>
          <w:ilvl w:val="0"/>
          <w:numId w:val="2"/>
        </w:numPr>
        <w:spacing w:after="80"/>
        <w:jc w:val="both"/>
      </w:pPr>
      <w:r>
        <w:rPr>
          <w:b/>
          <w:bCs/>
        </w:rPr>
        <w:t xml:space="preserve">Formalizar los enlaces de compra.</w:t>
      </w:r>
      <w:r>
        <w:t xml:space="preserve"> Cada libro recomendado ya lleva enlaces a cinco tiendas; el siguiente paso de negocio sería negociar comisiones de afiliación.</w:t>
      </w:r>
    </w:p>
    <w:p>
      <w:pPr>
        <w:pStyle w:val="ListParagraph"/>
        <w:numPr>
          <w:ilvl w:val="0"/>
          <w:numId w:val="2"/>
        </w:numPr>
        <w:spacing w:after="80"/>
        <w:jc w:val="both"/>
      </w:pPr>
      <w:r>
        <w:rPr>
          <w:b/>
          <w:bCs/>
        </w:rPr>
        <w:t xml:space="preserve">Mantener el respaldo gratuito del LLM.</w:t>
      </w:r>
      <w:r>
        <w:t xml:space="preserve"> El chat usa OpenAI como proveedor principal y Groq como respaldo automático, lo que permite operar aunque se agote la cuota de pago.</w:t>
      </w:r>
    </w:p>
    <w:p w14:paraId="39CDDEB8" w14:textId="77777777" w:rsidR="00B42137" w:rsidRDefault="00000000">
      <w:pPr>
        <w:pStyle w:val="Heading1"/>
      </w:pPr>
      <w:r>
        <w:t>4. Descripción de los datos: fuentes y extracción</w:t>
      </w:r>
    </w:p>
    <w:p w14:paraId="29E614DB" w14:textId="77777777" w:rsidR="00B42137" w:rsidRDefault="00000000" w:rsidP="00EF23A9">
      <w:pPr>
        <w:spacing w:after="160"/>
        <w:jc w:val="both"/>
      </w:pPr>
      <w:r>
        <w:t>Se usaron tres fuentes, todas vía API pública, validadas primero en un notebook piloto (inkriff_pilot_extraccion.ipynb) sobre una muestra pequeña antes de escalar al universo completo (inkriff_extraccion_completa.ipynb):</w:t>
      </w:r>
    </w:p>
    <w:p w14:paraId="7ABAF17E" w14:textId="1D2EAB08" w:rsidR="00B42137" w:rsidRDefault="00000000" w:rsidP="00EF23A9">
      <w:pPr>
        <w:pStyle w:val="ListParagraph"/>
        <w:numPr>
          <w:ilvl w:val="0"/>
          <w:numId w:val="2"/>
        </w:numPr>
        <w:spacing w:after="80"/>
        <w:jc w:val="both"/>
      </w:pPr>
      <w:r>
        <w:t xml:space="preserve">MusicBrainz — metadatos y tags/géneros de cada banda (país, tags ordenados por frecuencia, enlace a Spotify). No requiere API key; su límite de tasa (~1 solicitud/segundo) provoca errores 503 frecuentes, resueltos con reintento automático y backoff exponencial (1, 2, 4, 8, 16 segundos).</w:t>
      </w:r>
    </w:p>
    <w:p w14:paraId="70CF6A1A" w14:textId="77777777" w:rsidR="00B42137" w:rsidRDefault="00000000" w:rsidP="00EF23A9">
      <w:pPr>
        <w:pStyle w:val="ListParagraph"/>
        <w:numPr>
          <w:ilvl w:val="0"/>
          <w:numId w:val="2"/>
        </w:numPr>
        <w:spacing w:after="80"/>
        <w:jc w:val="both"/>
      </w:pPr>
      <w:r>
        <w:t xml:space="preserve">Genius — API oficial, solo metadatos (título de la canción más popular, artista, “pageviews” como proxy de popularidad). Se intentó inicialmente obtener letras completas con la librería lyricsgenius, pero Genius bloquea ese scraping con un reto de Cloudflare/reCAPTCHA (error 403) y, además, iba contra sus Términos de Servicio. Se descartó por completo el uso de letras; los tags de MusicBrainz quedaron como la única señal de “mood” musical.</w:t>
      </w:r>
    </w:p>
    <w:p w14:paraId="6026670C" w14:textId="54E88CD3" w:rsidR="00B42137" w:rsidRDefault="00000000" w:rsidP="00EF23A9">
      <w:pPr>
        <w:pStyle w:val="ListParagraph"/>
        <w:numPr>
          <w:ilvl w:val="0"/>
          <w:numId w:val="2"/>
        </w:numPr>
        <w:spacing w:after="80"/>
        <w:jc w:val="both"/>
      </w:pPr>
      <w:r>
        <w:t>Open Library, con Google Books como respaldo — título, autor, año de publicación y, en una fase posterior, la sinopsis de cada libro.</w:t>
      </w:r>
    </w:p>
    <w:p w14:paraId="3C4C1E16" w14:textId="77777777" w:rsidR="00B42137" w:rsidRDefault="00000000">
      <w:pPr>
        <w:pStyle w:val="Heading2"/>
      </w:pPr>
      <w:r>
        <w:t>4.1 Universo semilla</w:t>
      </w:r>
    </w:p>
    <w:p w14:paraId="4F2B0CF4" w14:textId="2FD0899D" w:rsidR="00B42137" w:rsidRDefault="00000000">
      <w:pPr>
        <w:spacing w:after="160"/>
        <w:jc w:val="both"/>
      </w:pPr>
      <w:r>
        <w:t xml:space="preserve">El universo semilla se definió a mano por y se amplió iterativamente hasta cubrir también las bandas y libros mencionados en los 105 pares de evaluación, verificando programáticamente que no quedara ningún nombre fuera de cobertura:</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200"/>
        <w:gridCol w:w="1600"/>
      </w:tblGrid>
      <w:tr w:rsidR="00B42137" w14:paraId="54C84920" w14:textId="77777777" w:rsidTr="00297B29">
        <w:tblPrEx>
          <w:tblCellMar>
            <w:top w:w="0" w:type="dxa"/>
            <w:bottom w:w="0" w:type="dxa"/>
          </w:tblCellMar>
        </w:tblPrEx>
        <w:trPr>
          <w:jc w:val="center"/>
        </w:trPr>
        <w:tc>
          <w:tcPr>
            <w:tcW w:w="3200" w:type="dxa"/>
            <w:shd w:val="clear" w:color="auto" w:fill="6B2D5C"/>
            <w:tcMar>
              <w:top w:w="80" w:type="dxa"/>
              <w:left w:w="100" w:type="dxa"/>
              <w:bottom w:w="80" w:type="dxa"/>
              <w:right w:w="100" w:type="dxa"/>
            </w:tcMar>
            <w:vAlign w:val="center"/>
          </w:tcPr>
          <w:p w14:paraId="419CDA1C" w14:textId="77777777" w:rsidR="00B42137" w:rsidRDefault="00000000" w:rsidP="00297B29">
            <w:pPr>
              <w:jc w:val="center"/>
            </w:pPr>
            <w:r>
              <w:rPr>
                <w:b/>
                <w:bCs/>
                <w:color w:val="FFFFFF"/>
                <w:sz w:val="20"/>
                <w:szCs w:val="20"/>
              </w:rPr>
              <w:t>Lado</w:t>
            </w:r>
          </w:p>
        </w:tc>
        <w:tc>
          <w:tcPr>
            <w:tcW w:w="5200" w:type="dxa"/>
            <w:shd w:val="clear" w:color="auto" w:fill="6B2D5C"/>
            <w:tcMar>
              <w:top w:w="80" w:type="dxa"/>
              <w:left w:w="100" w:type="dxa"/>
              <w:bottom w:w="80" w:type="dxa"/>
              <w:right w:w="100" w:type="dxa"/>
            </w:tcMar>
            <w:vAlign w:val="center"/>
          </w:tcPr>
          <w:p w14:paraId="39684C79" w14:textId="77777777" w:rsidR="00B42137" w:rsidRDefault="00000000" w:rsidP="00297B29">
            <w:pPr>
              <w:jc w:val="center"/>
            </w:pPr>
            <w:r>
              <w:rPr>
                <w:b/>
                <w:bCs/>
                <w:color w:val="FFFFFF"/>
                <w:sz w:val="20"/>
                <w:szCs w:val="20"/>
              </w:rPr>
              <w:t>Categorías / subgéneros</w:t>
            </w:r>
          </w:p>
        </w:tc>
        <w:tc>
          <w:tcPr>
            <w:tcW w:w="1600" w:type="dxa"/>
            <w:shd w:val="clear" w:color="auto" w:fill="6B2D5C"/>
            <w:tcMar>
              <w:top w:w="80" w:type="dxa"/>
              <w:left w:w="100" w:type="dxa"/>
              <w:bottom w:w="80" w:type="dxa"/>
              <w:right w:w="100" w:type="dxa"/>
            </w:tcMar>
            <w:vAlign w:val="center"/>
          </w:tcPr>
          <w:p w14:paraId="714A91CD" w14:textId="77777777" w:rsidR="00B42137" w:rsidRDefault="00000000" w:rsidP="00297B29">
            <w:pPr>
              <w:jc w:val="center"/>
            </w:pPr>
            <w:r>
              <w:rPr>
                <w:b/>
                <w:bCs/>
                <w:color w:val="FFFFFF"/>
                <w:sz w:val="20"/>
                <w:szCs w:val="20"/>
              </w:rPr>
              <w:t>Elementos</w:t>
            </w:r>
          </w:p>
        </w:tc>
      </w:tr>
      <w:tr w:rsidR="00B42137" w14:paraId="663004D4" w14:textId="77777777" w:rsidTr="00297B29">
        <w:tblPrEx>
          <w:tblCellMar>
            <w:top w:w="0" w:type="dxa"/>
            <w:bottom w:w="0" w:type="dxa"/>
          </w:tblCellMar>
        </w:tblPrEx>
        <w:trPr>
          <w:jc w:val="center"/>
        </w:trPr>
        <w:tc>
          <w:tcPr>
            <w:tcW w:w="3200" w:type="dxa"/>
            <w:tcMar>
              <w:top w:w="80" w:type="dxa"/>
              <w:left w:w="100" w:type="dxa"/>
              <w:bottom w:w="80" w:type="dxa"/>
              <w:right w:w="100" w:type="dxa"/>
            </w:tcMar>
            <w:vAlign w:val="center"/>
          </w:tcPr>
          <w:p w14:paraId="22AA40F2" w14:textId="77777777" w:rsidR="00B42137" w:rsidRPr="00297B29" w:rsidRDefault="00000000" w:rsidP="00297B29">
            <w:pPr>
              <w:jc w:val="center"/>
              <w:rPr>
                <w:b/>
                <w:bCs/>
              </w:rPr>
            </w:pPr>
            <w:r>
              <w:rPr>
                <w:b/>
                <w:bCs/>
                <w:color w:val="000000"/>
                <w:sz w:val="20"/>
                <w:szCs w:val="20"/>
              </w:rPr>
              <w:t>Bandas</w:t>
            </w:r>
          </w:p>
        </w:tc>
        <w:tc>
          <w:tcPr>
            <w:tcW w:w="5200" w:type="dxa"/>
            <w:tcMar>
              <w:top w:w="80" w:type="dxa"/>
              <w:left w:w="100" w:type="dxa"/>
              <w:bottom w:w="80" w:type="dxa"/>
              <w:right w:w="100" w:type="dxa"/>
            </w:tcMar>
            <w:vAlign w:val="center"/>
          </w:tcPr>
          <w:p w14:paraId="788A421A" w14:textId="77777777" w:rsidR="00B42137" w:rsidRPr="00297B29" w:rsidRDefault="00000000" w:rsidP="00297B29">
            <w:pPr>
              <w:jc w:val="center"/>
              <w:rPr>
                <w:lang w:val="en-US"/>
              </w:rPr>
            </w:pPr>
            <w:r>
              <w:rPr>
                <w:b/>
                <w:bCs/>
                <w:color w:val="000000"/>
                <w:sz w:val="20"/>
                <w:szCs w:val="20"/>
                <w:lang w:val="en-US"/>
              </w:rPr>
              <w:t xml:space="preserve">24 subgéneros</w:t>
            </w:r>
            <w:r>
              <w:rPr>
                <w:color w:val="000000"/>
                <w:sz w:val="20"/>
                <w:szCs w:val="20"/>
                <w:lang w:val="en-US"/>
              </w:rPr>
              <w:t xml:space="preserve"> (hard rock, heavy metal, power metal, symphonic metal, folk metal, gothic metal, progressive metal, death metal, black metal, metalcore, deathcore, nu metal, doom/stoner, post-metal, melodic death metal, blackened death metal, post-hardcore, alternative metal, emo/alt rock, pop punk, alternative rock, gothic rock, occult rock, punk rock)</w:t>
            </w:r>
          </w:p>
        </w:tc>
        <w:tc>
          <w:tcPr>
            <w:tcW w:w="1600" w:type="dxa"/>
            <w:tcMar>
              <w:top w:w="80" w:type="dxa"/>
              <w:left w:w="100" w:type="dxa"/>
              <w:bottom w:w="80" w:type="dxa"/>
              <w:right w:w="100" w:type="dxa"/>
            </w:tcMar>
            <w:vAlign w:val="center"/>
          </w:tcPr>
          <w:p w14:paraId="6B16D681" w14:textId="77777777" w:rsidR="00B42137" w:rsidRDefault="00000000" w:rsidP="00297B29">
            <w:pPr>
              <w:jc w:val="center"/>
            </w:pPr>
            <w:r>
              <w:rPr>
                <w:color w:val="000000"/>
                <w:sz w:val="20"/>
                <w:szCs w:val="20"/>
              </w:rPr>
              <w:t>81 bandas</w:t>
            </w:r>
          </w:p>
        </w:tc>
      </w:tr>
      <w:tr w:rsidR="00B42137" w14:paraId="7FCC2EAB" w14:textId="77777777" w:rsidTr="00297B29">
        <w:tblPrEx>
          <w:tblCellMar>
            <w:top w:w="0" w:type="dxa"/>
            <w:bottom w:w="0" w:type="dxa"/>
          </w:tblCellMar>
        </w:tblPrEx>
        <w:trPr>
          <w:jc w:val="center"/>
        </w:trPr>
        <w:tc>
          <w:tcPr>
            <w:tcW w:w="3200" w:type="dxa"/>
            <w:tcMar>
              <w:top w:w="80" w:type="dxa"/>
              <w:left w:w="100" w:type="dxa"/>
              <w:bottom w:w="80" w:type="dxa"/>
              <w:right w:w="100" w:type="dxa"/>
            </w:tcMar>
            <w:vAlign w:val="center"/>
          </w:tcPr>
          <w:p w14:paraId="5B361D7E" w14:textId="77777777" w:rsidR="00B42137" w:rsidRPr="00297B29" w:rsidRDefault="00000000" w:rsidP="00297B29">
            <w:pPr>
              <w:jc w:val="center"/>
              <w:rPr>
                <w:b/>
                <w:bCs/>
              </w:rPr>
            </w:pPr>
            <w:r>
              <w:rPr>
                <w:b/>
                <w:bCs/>
                <w:color w:val="000000"/>
                <w:sz w:val="20"/>
                <w:szCs w:val="20"/>
              </w:rPr>
              <w:t>Libros</w:t>
            </w:r>
          </w:p>
        </w:tc>
        <w:tc>
          <w:tcPr>
            <w:tcW w:w="5200" w:type="dxa"/>
            <w:tcMar>
              <w:top w:w="80" w:type="dxa"/>
              <w:left w:w="100" w:type="dxa"/>
              <w:bottom w:w="80" w:type="dxa"/>
              <w:right w:w="100" w:type="dxa"/>
            </w:tcMar>
            <w:vAlign w:val="center"/>
          </w:tcPr>
          <w:p w14:paraId="46165ADE" w14:textId="77777777" w:rsidR="00B42137" w:rsidRDefault="00000000" w:rsidP="00297B29">
            <w:pPr>
              <w:jc w:val="center"/>
            </w:pPr>
            <w:r>
              <w:rPr>
                <w:b/>
                <w:bCs/>
                <w:color w:val="000000"/>
                <w:sz w:val="20"/>
                <w:szCs w:val="20"/>
              </w:rPr>
              <w:t>15 categorías</w:t>
            </w:r>
            <w:r>
              <w:rPr>
                <w:color w:val="000000"/>
                <w:sz w:val="20"/>
                <w:szCs w:val="20"/>
              </w:rPr>
              <w:t xml:space="preserve"> (alta fantasía/épica, romantasy, fantasía oscura/gótica, romance histórico/gótico, fantasía urbana, mitología, fae fantasy, fantasía clásica/juvenil, grimdark, dark academia, gótico clásico/vampiros, distopía juvenil, romance juvenil/coming-of-age, fantasía de cuento de hadas, cozy fantasy/sobrenatural)</w:t>
            </w:r>
          </w:p>
        </w:tc>
        <w:tc>
          <w:tcPr>
            <w:tcW w:w="1600" w:type="dxa"/>
            <w:tcMar>
              <w:top w:w="80" w:type="dxa"/>
              <w:left w:w="100" w:type="dxa"/>
              <w:bottom w:w="80" w:type="dxa"/>
              <w:right w:w="100" w:type="dxa"/>
            </w:tcMar>
            <w:vAlign w:val="center"/>
          </w:tcPr>
          <w:p w14:paraId="62A8C64C" w14:textId="77777777" w:rsidR="00B42137" w:rsidRDefault="00000000" w:rsidP="00297B29">
            <w:pPr>
              <w:jc w:val="center"/>
            </w:pPr>
            <w:r>
              <w:rPr>
                <w:color w:val="000000"/>
                <w:sz w:val="20"/>
                <w:szCs w:val="20"/>
              </w:rPr>
              <w:t>112 libros</w:t>
            </w:r>
          </w:p>
        </w:tc>
      </w:tr>
    </w:tbl>
    <w:p w14:paraId="572746E3" w14:textId="77777777" w:rsidR="00B42137" w:rsidRDefault="00000000">
      <w:pPr>
        <w:spacing w:after="240"/>
      </w:pPr>
      <w:r>
        <w:rPr>
          <w:i/>
          <w:iCs/>
          <w:color w:val="555555"/>
          <w:sz w:val="18"/>
          <w:szCs w:val="18"/>
        </w:rPr>
        <w:t>Tabla 2. Universo semilla final usado en la extracción completa.</w:t>
      </w:r>
    </w:p>
    <w:p w14:paraId="18D75A8B" w14:textId="77777777" w:rsidR="00B42137" w:rsidRDefault="00000000">
      <w:pPr>
        <w:pStyle w:val="Heading2"/>
      </w:pPr>
      <w:r>
        <w:t xml:space="preserve">4.2 Anclas de evaluación: 105 pares libro↔banda</w:t>
      </w:r>
    </w:p>
    <w:p w14:paraId="18B94570" w14:textId="0C0E6DD9" w:rsidR="00B42137" w:rsidRDefault="00297B29">
      <w:pPr>
        <w:spacing w:after="160"/>
        <w:jc w:val="both"/>
      </w:pPr>
      <w:r>
        <w:t xml:space="preserve">Se curó a mano 105 pares libro↔banda/subgénero a partir de su propio criterio de fandom (qué banda “le queda” a qué libro y por qué), un proceso independiente de cualquier API o dataset. Estos pares cubren 45 categorías de libro distintas y 37 subgéneros de banda descritos en texto libre, y se usan exclusivamente para evaluar el recomendador — nunca para entrenarlo.</w:t>
      </w:r>
    </w:p>
    <w:p w14:paraId="2254CD5B" w14:textId="77777777" w:rsidR="00297B29" w:rsidRDefault="00297B29">
      <w:pPr>
        <w:spacing w:after="160"/>
        <w:jc w:val="both"/>
      </w:pPr>
    </w:p>
    <w:p w14:paraId="16A9A358" w14:textId="77777777" w:rsidR="00B42137" w:rsidRDefault="00000000">
      <w:pPr>
        <w:pStyle w:val="Heading2"/>
      </w:pPr>
      <w:r>
        <w:lastRenderedPageBreak/>
        <w:t>4.3 Control de calidad de los datos extraídos</w:t>
      </w:r>
    </w:p>
    <w:p w14:paraId="04EC2FA7" w14:textId="77777777" w:rsidR="00B42137" w:rsidRDefault="00000000">
      <w:pPr>
        <w:spacing w:after="160"/>
        <w:jc w:val="both"/>
      </w:pPr>
      <w:r>
        <w:t xml:space="preserve">Al revisar los metadatos de Genius se encontró que, para nombres de banda genéricos o ambiguos, la búsqueda por texto a veces regresa una canción de un artista completamente distinto (por ejemplo, buscar “Death” regresa una canción de Arctic Monkeys). Se cuantificó este problema con una métrica de similitud de cadena (difflib.SequenceMatcher) entre el nombre de banda buscado y el artista que Genius realmente devolvió:</w:t>
      </w:r>
    </w:p>
    <w:p w14:paraId="73ECD47C" w14:textId="77777777" w:rsidR="00B42137" w:rsidRDefault="00000000">
      <w:pPr>
        <w:spacing w:after="160"/>
        <w:jc w:val="both"/>
      </w:pPr>
      <w:r>
        <w:rPr>
          <w:b/>
          <w:bCs/>
          <w:lang w:val="en-US"/>
        </w:rPr>
        <w:t xml:space="preserve">10 de 81 bandas (12.3%)</w:t>
      </w:r>
      <w:r>
        <w:rPr>
          <w:lang w:val="en-US"/>
        </w:rPr>
        <w:t xml:space="preserve"> tuvieron un match de Genius poco confiable (similitud &lt; 0.5): Death→Arctic Monkeys, Sleep→Drake, Ghost→Kanye West, Paradise Lost→Gemitaiz, Emperor→Panic! at the Disco, The Cure→Olivia Rodrigo, HIM→G-Eazy, Florence + The Machine→Taylor Swift, All Time Low→Jon Bellion y Sleeping With Sirens→Pierce the Veil. </w:t>
      </w:r>
      <w:r>
        <w:t xml:space="preserve">Estas 10 bandas quedan marcadas (columna genius_confiable) y su “pageviews” de Genius no se trata como señal confiable de popularidad.</w:t>
      </w:r>
    </w:p>
    <w:p w14:paraId="5FA08970" w14:textId="77777777" w:rsidR="00B42137" w:rsidRDefault="00000000">
      <w:pPr>
        <w:spacing w:after="160"/>
        <w:jc w:val="both"/>
      </w:pPr>
      <w:r>
        <w:t xml:space="preserve">Del lado de los libros, 111 de 112 títulos (99.1%) encontraron un registro bibliográfico válido en Open Library o Google Books; el mismo control de calidad sobre libros (con un umbral de similitud más laxo, 0.25, dado que muchas coincidencias legítimas son traducciones de título) arrojó mayormente falsos positivos esperables (por ejemplo “El Nombre del Viento”→“The Name of the Wind”), salvo un caso real de libro no encontrado bajo su título en español.</w:t>
      </w:r>
    </w:p>
    <w:p>
      <w:pPr>
        <w:pStyle w:val="Heading2"/>
      </w:pPr>
      <w:r>
        <w:t xml:space="preserve">4.4 Descripción de los archivos de datos y su relevancia</w:t>
      </w:r>
    </w:p>
    <w:p>
      <w:pPr>
        <w:spacing w:after="160"/>
        <w:jc w:val="both"/>
      </w:pPr>
      <w:r>
        <w:t xml:space="preserve">La Tabla 3 resume los archivos finales del proyecto, su tamaño, sus variables principales y su papel en la solución.</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00"/>
        <w:gridCol w:w="3500"/>
        <w:gridCol w:w="3000"/>
      </w:tblGrid>
      <w:tr>
        <w:tblPrEx>
          <w:tblCellMar>
            <w:top w:w="0" w:type="dxa"/>
            <w:bottom w:w="0" w:type="dxa"/>
          </w:tblCellMar>
        </w:tblPrEx>
        <w:trPr>
          <w:jc w:val="center"/>
        </w:trPr>
        <w:tc>
          <w:tcPr>
            <w:tcW w:w="23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Archivo</w:t>
            </w:r>
          </w:p>
        </w:tc>
        <w:tc>
          <w:tcPr>
            <w:tcW w:w="12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Registros</w:t>
            </w:r>
          </w:p>
        </w:tc>
        <w:tc>
          <w:tcPr>
            <w:tcW w:w="35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Variables principales</w:t>
            </w:r>
          </w:p>
        </w:tc>
        <w:tc>
          <w:tcPr>
            <w:tcW w:w="30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Relevancia para el problema</w:t>
            </w:r>
          </w:p>
        </w:tc>
      </w:tr>
      <w:tr>
        <w:tblPrEx>
          <w:tblCellMar>
            <w:top w:w="0" w:type="dxa"/>
            <w:bottom w:w="0" w:type="dxa"/>
          </w:tblCellMar>
        </w:tblPrEx>
        <w:trPr>
          <w:jc w:val="center"/>
        </w:trPr>
        <w:tc>
          <w:tcPr>
            <w:tcW w:w="2300" w:type="dxa"/>
            <w:tcMar>
              <w:top w:w="80" w:type="dxa"/>
              <w:left w:w="100" w:type="dxa"/>
              <w:bottom w:w="80" w:type="dxa"/>
              <w:right w:w="100" w:type="dxa"/>
            </w:tcMar>
          </w:tcPr>
          <w:p>
            <w:r>
              <w:rPr>
                <w:color w:val="000000"/>
                <w:sz w:val="20"/>
                <w:szCs w:val="20"/>
              </w:rPr>
              <w:t xml:space="preserve">bandas_completo.csv</w:t>
            </w:r>
          </w:p>
        </w:tc>
        <w:tc>
          <w:tcPr>
            <w:tcW w:w="1200" w:type="dxa"/>
            <w:tcMar>
              <w:top w:w="80" w:type="dxa"/>
              <w:left w:w="100" w:type="dxa"/>
              <w:bottom w:w="80" w:type="dxa"/>
              <w:right w:w="100" w:type="dxa"/>
            </w:tcMar>
          </w:tcPr>
          <w:p>
            <w:r>
              <w:rPr>
                <w:color w:val="000000"/>
                <w:sz w:val="20"/>
                <w:szCs w:val="20"/>
              </w:rPr>
              <w:t xml:space="preserve">81 bandas</w:t>
            </w:r>
          </w:p>
        </w:tc>
        <w:tc>
          <w:tcPr>
            <w:tcW w:w="3500" w:type="dxa"/>
            <w:tcMar>
              <w:top w:w="80" w:type="dxa"/>
              <w:left w:w="100" w:type="dxa"/>
              <w:bottom w:w="80" w:type="dxa"/>
              <w:right w:w="100" w:type="dxa"/>
            </w:tcMar>
          </w:tcPr>
          <w:p>
            <w:r>
              <w:rPr>
                <w:color w:val="000000"/>
                <w:sz w:val="20"/>
                <w:szCs w:val="20"/>
              </w:rPr>
              <w:t xml:space="preserve">banda, subgenero_semilla, mbid, pais, tags_top, spotify_url, titulo_top, artista_genius, pageviews</w:t>
            </w:r>
          </w:p>
        </w:tc>
        <w:tc>
          <w:tcPr>
            <w:tcW w:w="3000" w:type="dxa"/>
            <w:tcMar>
              <w:top w:w="80" w:type="dxa"/>
              <w:left w:w="100" w:type="dxa"/>
              <w:bottom w:w="80" w:type="dxa"/>
              <w:right w:w="100" w:type="dxa"/>
            </w:tcMar>
          </w:tcPr>
          <w:p>
            <w:r>
              <w:rPr>
                <w:color w:val="000000"/>
                <w:sz w:val="20"/>
                <w:szCs w:val="20"/>
              </w:rPr>
              <w:t xml:space="preserve">Los tags de MusicBrainz son la señal de “mood” musical; spotify_url alimenta el reproductor</w:t>
            </w:r>
          </w:p>
        </w:tc>
      </w:tr>
      <w:tr>
        <w:tblPrEx>
          <w:tblCellMar>
            <w:top w:w="0" w:type="dxa"/>
            <w:bottom w:w="0" w:type="dxa"/>
          </w:tblCellMar>
        </w:tblPrEx>
        <w:trPr>
          <w:jc w:val="center"/>
        </w:trPr>
        <w:tc>
          <w:tcPr>
            <w:tcW w:w="2300" w:type="dxa"/>
            <w:tcMar>
              <w:top w:w="80" w:type="dxa"/>
              <w:left w:w="100" w:type="dxa"/>
              <w:bottom w:w="80" w:type="dxa"/>
              <w:right w:w="100" w:type="dxa"/>
            </w:tcMar>
          </w:tcPr>
          <w:p>
            <w:r>
              <w:rPr>
                <w:color w:val="000000"/>
                <w:sz w:val="20"/>
                <w:szCs w:val="20"/>
              </w:rPr>
              <w:t xml:space="preserve">libros_con_sinopsis.csv</w:t>
            </w:r>
          </w:p>
        </w:tc>
        <w:tc>
          <w:tcPr>
            <w:tcW w:w="1200" w:type="dxa"/>
            <w:tcMar>
              <w:top w:w="80" w:type="dxa"/>
              <w:left w:w="100" w:type="dxa"/>
              <w:bottom w:w="80" w:type="dxa"/>
              <w:right w:w="100" w:type="dxa"/>
            </w:tcMar>
          </w:tcPr>
          <w:p>
            <w:r>
              <w:rPr>
                <w:color w:val="000000"/>
                <w:sz w:val="20"/>
                <w:szCs w:val="20"/>
              </w:rPr>
              <w:t xml:space="preserve">112 libros</w:t>
            </w:r>
          </w:p>
        </w:tc>
        <w:tc>
          <w:tcPr>
            <w:tcW w:w="3500" w:type="dxa"/>
            <w:tcMar>
              <w:top w:w="80" w:type="dxa"/>
              <w:left w:w="100" w:type="dxa"/>
              <w:bottom w:w="80" w:type="dxa"/>
              <w:right w:w="100" w:type="dxa"/>
            </w:tcMar>
          </w:tcPr>
          <w:p>
            <w:r>
              <w:rPr>
                <w:color w:val="000000"/>
                <w:sz w:val="20"/>
                <w:szCs w:val="20"/>
              </w:rPr>
              <w:t xml:space="preserve">titulo_buscado, categoria_semilla, titulo, autor, anio, decada, sinopsis, fuente_sinopsis</w:t>
            </w:r>
          </w:p>
        </w:tc>
        <w:tc>
          <w:tcPr>
            <w:tcW w:w="3000" w:type="dxa"/>
            <w:tcMar>
              <w:top w:w="80" w:type="dxa"/>
              <w:left w:w="100" w:type="dxa"/>
              <w:bottom w:w="80" w:type="dxa"/>
              <w:right w:w="100" w:type="dxa"/>
            </w:tcMar>
          </w:tcPr>
          <w:p>
            <w:r>
              <w:rPr>
                <w:color w:val="000000"/>
                <w:sz w:val="20"/>
                <w:szCs w:val="20"/>
              </w:rPr>
              <w:t xml:space="preserve">La sinopsis es la señal temática del libro</w:t>
            </w:r>
          </w:p>
        </w:tc>
      </w:tr>
      <w:tr>
        <w:tblPrEx>
          <w:tblCellMar>
            <w:top w:w="0" w:type="dxa"/>
            <w:bottom w:w="0" w:type="dxa"/>
          </w:tblCellMar>
        </w:tblPrEx>
        <w:trPr>
          <w:jc w:val="center"/>
        </w:trPr>
        <w:tc>
          <w:tcPr>
            <w:tcW w:w="2300" w:type="dxa"/>
            <w:tcMar>
              <w:top w:w="80" w:type="dxa"/>
              <w:left w:w="100" w:type="dxa"/>
              <w:bottom w:w="80" w:type="dxa"/>
              <w:right w:w="100" w:type="dxa"/>
            </w:tcMar>
          </w:tcPr>
          <w:p>
            <w:r>
              <w:rPr>
                <w:color w:val="000000"/>
                <w:sz w:val="20"/>
                <w:szCs w:val="20"/>
              </w:rPr>
              <w:t xml:space="preserve">pares_semilla_final.csv</w:t>
            </w:r>
          </w:p>
        </w:tc>
        <w:tc>
          <w:tcPr>
            <w:tcW w:w="1200" w:type="dxa"/>
            <w:tcMar>
              <w:top w:w="80" w:type="dxa"/>
              <w:left w:w="100" w:type="dxa"/>
              <w:bottom w:w="80" w:type="dxa"/>
              <w:right w:w="100" w:type="dxa"/>
            </w:tcMar>
          </w:tcPr>
          <w:p>
            <w:r>
              <w:rPr>
                <w:color w:val="000000"/>
                <w:sz w:val="20"/>
                <w:szCs w:val="20"/>
              </w:rPr>
              <w:t xml:space="preserve">105 pares</w:t>
            </w:r>
          </w:p>
        </w:tc>
        <w:tc>
          <w:tcPr>
            <w:tcW w:w="3500" w:type="dxa"/>
            <w:tcMar>
              <w:top w:w="80" w:type="dxa"/>
              <w:left w:w="100" w:type="dxa"/>
              <w:bottom w:w="80" w:type="dxa"/>
              <w:right w:w="100" w:type="dxa"/>
            </w:tcMar>
          </w:tcPr>
          <w:p>
            <w:r>
              <w:rPr>
                <w:color w:val="000000"/>
                <w:sz w:val="20"/>
                <w:szCs w:val="20"/>
              </w:rPr>
              <w:t xml:space="preserve">libro, categoria_libro, banda_subgenero, razon</w:t>
            </w:r>
          </w:p>
        </w:tc>
        <w:tc>
          <w:tcPr>
            <w:tcW w:w="3000" w:type="dxa"/>
            <w:tcMar>
              <w:top w:w="80" w:type="dxa"/>
              <w:left w:w="100" w:type="dxa"/>
              <w:bottom w:w="80" w:type="dxa"/>
              <w:right w:w="100" w:type="dxa"/>
            </w:tcMar>
          </w:tcPr>
          <w:p>
            <w:r>
              <w:rPr>
                <w:color w:val="000000"/>
                <w:sz w:val="20"/>
                <w:szCs w:val="20"/>
              </w:rPr>
              <w:t xml:space="preserve">Referencia curada a mano para evaluar el modelo</w:t>
            </w:r>
          </w:p>
        </w:tc>
      </w:tr>
      <w:tr>
        <w:tblPrEx>
          <w:tblCellMar>
            <w:top w:w="0" w:type="dxa"/>
            <w:bottom w:w="0" w:type="dxa"/>
          </w:tblCellMar>
        </w:tblPrEx>
        <w:trPr>
          <w:jc w:val="center"/>
        </w:trPr>
        <w:tc>
          <w:tcPr>
            <w:tcW w:w="2300" w:type="dxa"/>
            <w:tcMar>
              <w:top w:w="80" w:type="dxa"/>
              <w:left w:w="100" w:type="dxa"/>
              <w:bottom w:w="80" w:type="dxa"/>
              <w:right w:w="100" w:type="dxa"/>
            </w:tcMar>
          </w:tcPr>
          <w:p>
            <w:r>
              <w:rPr>
                <w:color w:val="000000"/>
                <w:sz w:val="20"/>
                <w:szCs w:val="20"/>
              </w:rPr>
              <w:t xml:space="preserve">recomendaciones_banda_a_libro.csv / recomendaciones_libro_a_banda.csv</w:t>
            </w:r>
          </w:p>
        </w:tc>
        <w:tc>
          <w:tcPr>
            <w:tcW w:w="1200" w:type="dxa"/>
            <w:tcMar>
              <w:top w:w="80" w:type="dxa"/>
              <w:left w:w="100" w:type="dxa"/>
              <w:bottom w:w="80" w:type="dxa"/>
              <w:right w:w="100" w:type="dxa"/>
            </w:tcMar>
          </w:tcPr>
          <w:p>
            <w:r>
              <w:rPr>
                <w:color w:val="000000"/>
                <w:sz w:val="20"/>
                <w:szCs w:val="20"/>
              </w:rPr>
              <w:t xml:space="preserve">405 / 560</w:t>
            </w:r>
          </w:p>
        </w:tc>
        <w:tc>
          <w:tcPr>
            <w:tcW w:w="3500" w:type="dxa"/>
            <w:tcMar>
              <w:top w:w="80" w:type="dxa"/>
              <w:left w:w="100" w:type="dxa"/>
              <w:bottom w:w="80" w:type="dxa"/>
              <w:right w:w="100" w:type="dxa"/>
            </w:tcMar>
          </w:tcPr>
          <w:p>
            <w:r>
              <w:rPr>
                <w:color w:val="000000"/>
                <w:sz w:val="20"/>
                <w:szCs w:val="20"/>
              </w:rPr>
              <w:t xml:space="preserve">ítem de consulta, rank, ítem recomendado, categoría o subgénero, similitud</w:t>
            </w:r>
          </w:p>
        </w:tc>
        <w:tc>
          <w:tcPr>
            <w:tcW w:w="3000" w:type="dxa"/>
            <w:tcMar>
              <w:top w:w="80" w:type="dxa"/>
              <w:left w:w="100" w:type="dxa"/>
              <w:bottom w:w="80" w:type="dxa"/>
              <w:right w:w="100" w:type="dxa"/>
            </w:tcMar>
          </w:tcPr>
          <w:p>
            <w:r>
              <w:rPr>
                <w:color w:val="000000"/>
                <w:sz w:val="20"/>
                <w:szCs w:val="20"/>
              </w:rPr>
              <w:t xml:space="preserve">Salida precalculada (top-5 por ítem) que consume la interfaz</w:t>
            </w:r>
          </w:p>
        </w:tc>
      </w:tr>
      <w:tr>
        <w:tblPrEx>
          <w:tblCellMar>
            <w:top w:w="0" w:type="dxa"/>
            <w:bottom w:w="0" w:type="dxa"/>
          </w:tblCellMar>
        </w:tblPrEx>
        <w:trPr>
          <w:jc w:val="center"/>
        </w:trPr>
        <w:tc>
          <w:tcPr>
            <w:tcW w:w="2300" w:type="dxa"/>
            <w:tcMar>
              <w:top w:w="80" w:type="dxa"/>
              <w:left w:w="100" w:type="dxa"/>
              <w:bottom w:w="80" w:type="dxa"/>
              <w:right w:w="100" w:type="dxa"/>
            </w:tcMar>
          </w:tcPr>
          <w:p>
            <w:r>
              <w:rPr>
                <w:color w:val="000000"/>
                <w:sz w:val="20"/>
                <w:szCs w:val="20"/>
              </w:rPr>
              <w:t xml:space="preserve">embeddings_referencia.npz</w:t>
            </w:r>
          </w:p>
        </w:tc>
        <w:tc>
          <w:tcPr>
            <w:tcW w:w="1200" w:type="dxa"/>
            <w:tcMar>
              <w:top w:w="80" w:type="dxa"/>
              <w:left w:w="100" w:type="dxa"/>
              <w:bottom w:w="80" w:type="dxa"/>
              <w:right w:w="100" w:type="dxa"/>
            </w:tcMar>
          </w:tcPr>
          <w:p>
            <w:r>
              <w:rPr>
                <w:color w:val="000000"/>
                <w:sz w:val="20"/>
                <w:szCs w:val="20"/>
              </w:rPr>
              <w:t xml:space="preserve">81 × 384 y 112 × 384</w:t>
            </w:r>
          </w:p>
        </w:tc>
        <w:tc>
          <w:tcPr>
            <w:tcW w:w="3500" w:type="dxa"/>
            <w:tcMar>
              <w:top w:w="80" w:type="dxa"/>
              <w:left w:w="100" w:type="dxa"/>
              <w:bottom w:w="80" w:type="dxa"/>
              <w:right w:w="100" w:type="dxa"/>
            </w:tcMar>
          </w:tcPr>
          <w:p>
            <w:r>
              <w:rPr>
                <w:color w:val="000000"/>
                <w:sz w:val="20"/>
                <w:szCs w:val="20"/>
              </w:rPr>
              <w:t xml:space="preserve">vectores de bandas y libros + medias para la corrección de hubness</w:t>
            </w:r>
          </w:p>
        </w:tc>
        <w:tc>
          <w:tcPr>
            <w:tcW w:w="3000" w:type="dxa"/>
            <w:tcMar>
              <w:top w:w="80" w:type="dxa"/>
              <w:left w:w="100" w:type="dxa"/>
              <w:bottom w:w="80" w:type="dxa"/>
              <w:right w:w="100" w:type="dxa"/>
            </w:tcMar>
          </w:tcPr>
          <w:p>
            <w:r>
              <w:rPr>
                <w:color w:val="000000"/>
                <w:sz w:val="20"/>
                <w:szCs w:val="20"/>
              </w:rPr>
              <w:t xml:space="preserve">Permite recomendar en vivo bandas o libros fuera del catálogo</w:t>
            </w:r>
          </w:p>
        </w:tc>
      </w:tr>
      <w:tr>
        <w:tblPrEx>
          <w:tblCellMar>
            <w:top w:w="0" w:type="dxa"/>
            <w:bottom w:w="0" w:type="dxa"/>
          </w:tblCellMar>
        </w:tblPrEx>
        <w:trPr>
          <w:jc w:val="center"/>
        </w:trPr>
        <w:tc>
          <w:tcPr>
            <w:tcW w:w="2300" w:type="dxa"/>
            <w:tcMar>
              <w:top w:w="80" w:type="dxa"/>
              <w:left w:w="100" w:type="dxa"/>
              <w:bottom w:w="80" w:type="dxa"/>
              <w:right w:w="100" w:type="dxa"/>
            </w:tcMar>
          </w:tcPr>
          <w:p>
            <w:r>
              <w:rPr>
                <w:color w:val="000000"/>
                <w:sz w:val="20"/>
                <w:szCs w:val="20"/>
              </w:rPr>
              <w:t xml:space="preserve">portadas_libros.csv / fotos_bandas.csv</w:t>
            </w:r>
          </w:p>
        </w:tc>
        <w:tc>
          <w:tcPr>
            <w:tcW w:w="1200" w:type="dxa"/>
            <w:tcMar>
              <w:top w:w="80" w:type="dxa"/>
              <w:left w:w="100" w:type="dxa"/>
              <w:bottom w:w="80" w:type="dxa"/>
              <w:right w:w="100" w:type="dxa"/>
            </w:tcMar>
          </w:tcPr>
          <w:p>
            <w:r>
              <w:rPr>
                <w:color w:val="000000"/>
                <w:sz w:val="20"/>
                <w:szCs w:val="20"/>
              </w:rPr>
              <w:t xml:space="preserve">112 / 81</w:t>
            </w:r>
          </w:p>
        </w:tc>
        <w:tc>
          <w:tcPr>
            <w:tcW w:w="3500" w:type="dxa"/>
            <w:tcMar>
              <w:top w:w="80" w:type="dxa"/>
              <w:left w:w="100" w:type="dxa"/>
              <w:bottom w:w="80" w:type="dxa"/>
              <w:right w:w="100" w:type="dxa"/>
            </w:tcMar>
          </w:tcPr>
          <w:p>
            <w:r>
              <w:rPr>
                <w:color w:val="000000"/>
                <w:sz w:val="20"/>
                <w:szCs w:val="20"/>
              </w:rPr>
              <w:t xml:space="preserve">URL de la portada o de la foto</w:t>
            </w:r>
          </w:p>
        </w:tc>
        <w:tc>
          <w:tcPr>
            <w:tcW w:w="3000" w:type="dxa"/>
            <w:tcMar>
              <w:top w:w="80" w:type="dxa"/>
              <w:left w:w="100" w:type="dxa"/>
              <w:bottom w:w="80" w:type="dxa"/>
              <w:right w:w="100" w:type="dxa"/>
            </w:tcMar>
          </w:tcPr>
          <w:p>
            <w:r>
              <w:rPr>
                <w:color w:val="000000"/>
                <w:sz w:val="20"/>
                <w:szCs w:val="20"/>
              </w:rPr>
              <w:t xml:space="preserve">Presentación visual en la interfaz</w:t>
            </w:r>
          </w:p>
        </w:tc>
      </w:tr>
    </w:tbl>
    <w:p>
      <w:pPr>
        <w:spacing w:after="240"/>
      </w:pPr>
      <w:r>
        <w:rPr>
          <w:i/>
          <w:iCs/>
          <w:color w:val="555555"/>
          <w:sz w:val="18"/>
          <w:szCs w:val="18"/>
        </w:rPr>
        <w:t xml:space="preserve">Tabla 3. Archivos de datos finales del proyecto.</w:t>
      </w:r>
    </w:p>
    <w:p>
      <w:pPr>
        <w:spacing w:after="160"/>
        <w:jc w:val="both"/>
      </w:pPr>
      <w:r>
        <w:t xml:space="preserve">No existe un conjunto de datos público que relacione libros con música, así que los datos se construyeron a partir de dos catálogos independientes y de fuentes reconocidas por sus comunidades (MetaBrainz Foundation, s.f.; Genius, s.f.; Internet Archive, s.f.; Google, s.f.), más un conjunto de pares curados a mano que funciona como referencia. En cuanto a calidad (sección 4.3): el 12.3% de las coincidencias de Genius resultó poco confiable y se marcó, el 99.1% de los libros encontró ficha bibliográfica y el 86.6% obtuvo sinopsis utilizable.</w:t>
      </w:r>
    </w:p>
    <w:p w14:paraId="2CC57936" w14:textId="77777777" w:rsidR="00B42137" w:rsidRDefault="00000000">
      <w:pPr>
        <w:pStyle w:val="Heading1"/>
      </w:pPr>
      <w:r>
        <w:t>5. Análisis exploratorio de datos (EDA)</w:t>
      </w:r>
    </w:p>
    <w:p w14:paraId="2EC7D932" w14:textId="77777777" w:rsidR="00B42137" w:rsidRDefault="00000000">
      <w:pPr>
        <w:spacing w:after="160"/>
        <w:jc w:val="both"/>
      </w:pPr>
      <w:r>
        <w:t xml:space="preserve">El notebook inkriff_eda_ingenieria.ipynb documenta la distribución del universo de datos y, sobre la marcha, dos hallazgos relevantes para las fases siguientes.</w:t>
      </w:r>
    </w:p>
    <w:p w14:paraId="43E41F11" w14:textId="77777777" w:rsidR="00B42137" w:rsidRDefault="00000000">
      <w:pPr>
        <w:pStyle w:val="Heading2"/>
      </w:pPr>
      <w:r>
        <w:t>5.1 Bandas</w:t>
      </w:r>
    </w:p>
    <w:p w14:paraId="2188A918" w14:textId="77777777" w:rsidR="00B42137" w:rsidRDefault="00000000">
      <w:pPr>
        <w:spacing w:after="160"/>
        <w:jc w:val="both"/>
      </w:pPr>
      <w:r>
        <w:t xml:space="preserve">Sobre las 81 bandas se identificaron 111 tags distintos de MusicBrainz. Los quince más frecuentes son:</w:t>
      </w:r>
    </w:p>
    <w:tbl>
      <w:tblPr>
        <w:tblW w:w="33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275"/>
      </w:tblGrid>
      <w:tr w:rsidR="00B42137" w14:paraId="437BF8E2" w14:textId="77777777" w:rsidTr="00F93117">
        <w:tblPrEx>
          <w:tblCellMar>
            <w:top w:w="0" w:type="dxa"/>
            <w:bottom w:w="0" w:type="dxa"/>
          </w:tblCellMar>
        </w:tblPrEx>
        <w:trPr>
          <w:jc w:val="center"/>
        </w:trPr>
        <w:tc>
          <w:tcPr>
            <w:tcW w:w="2122" w:type="dxa"/>
            <w:shd w:val="clear" w:color="auto" w:fill="6B2D5C"/>
            <w:tcMar>
              <w:top w:w="80" w:type="dxa"/>
              <w:left w:w="100" w:type="dxa"/>
              <w:bottom w:w="80" w:type="dxa"/>
              <w:right w:w="100" w:type="dxa"/>
            </w:tcMar>
          </w:tcPr>
          <w:p w14:paraId="12CBB000" w14:textId="77777777" w:rsidR="00B42137" w:rsidRDefault="00000000" w:rsidP="00F93117">
            <w:pPr>
              <w:jc w:val="center"/>
            </w:pPr>
            <w:r>
              <w:rPr>
                <w:b/>
                <w:bCs/>
                <w:color w:val="FFFFFF"/>
                <w:sz w:val="20"/>
                <w:szCs w:val="20"/>
              </w:rPr>
              <w:t>Tag</w:t>
            </w:r>
          </w:p>
        </w:tc>
        <w:tc>
          <w:tcPr>
            <w:tcW w:w="1275" w:type="dxa"/>
            <w:shd w:val="clear" w:color="auto" w:fill="6B2D5C"/>
            <w:tcMar>
              <w:top w:w="80" w:type="dxa"/>
              <w:left w:w="100" w:type="dxa"/>
              <w:bottom w:w="80" w:type="dxa"/>
              <w:right w:w="100" w:type="dxa"/>
            </w:tcMar>
          </w:tcPr>
          <w:p w14:paraId="2B2B9EE8" w14:textId="77777777" w:rsidR="00B42137" w:rsidRDefault="00000000" w:rsidP="00F93117">
            <w:pPr>
              <w:jc w:val="center"/>
            </w:pPr>
            <w:r>
              <w:rPr>
                <w:b/>
                <w:bCs/>
                <w:color w:val="FFFFFF"/>
                <w:sz w:val="20"/>
                <w:szCs w:val="20"/>
              </w:rPr>
              <w:t>Bandas</w:t>
            </w:r>
          </w:p>
        </w:tc>
      </w:tr>
      <w:tr w:rsidR="00B42137" w14:paraId="75A789CA"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0607BE56" w14:textId="77777777" w:rsidR="00B42137" w:rsidRDefault="00000000">
            <w:r>
              <w:rPr>
                <w:color w:val="000000"/>
                <w:sz w:val="20"/>
                <w:szCs w:val="20"/>
              </w:rPr>
              <w:t>metal</w:t>
            </w:r>
          </w:p>
        </w:tc>
        <w:tc>
          <w:tcPr>
            <w:tcW w:w="1275" w:type="dxa"/>
            <w:tcMar>
              <w:top w:w="80" w:type="dxa"/>
              <w:left w:w="100" w:type="dxa"/>
              <w:bottom w:w="80" w:type="dxa"/>
              <w:right w:w="100" w:type="dxa"/>
            </w:tcMar>
          </w:tcPr>
          <w:p w14:paraId="721DA09D" w14:textId="77777777" w:rsidR="00B42137" w:rsidRDefault="00000000" w:rsidP="00F93117">
            <w:pPr>
              <w:jc w:val="center"/>
            </w:pPr>
            <w:r>
              <w:rPr>
                <w:color w:val="000000"/>
                <w:sz w:val="20"/>
                <w:szCs w:val="20"/>
              </w:rPr>
              <w:t>41</w:t>
            </w:r>
          </w:p>
        </w:tc>
      </w:tr>
      <w:tr w:rsidR="00B42137" w14:paraId="1CCABBC2"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375DF3CF" w14:textId="77777777" w:rsidR="00B42137" w:rsidRDefault="00000000">
            <w:r>
              <w:rPr>
                <w:color w:val="000000"/>
                <w:sz w:val="20"/>
                <w:szCs w:val="20"/>
              </w:rPr>
              <w:t>alternative rock</w:t>
            </w:r>
          </w:p>
        </w:tc>
        <w:tc>
          <w:tcPr>
            <w:tcW w:w="1275" w:type="dxa"/>
            <w:tcMar>
              <w:top w:w="80" w:type="dxa"/>
              <w:left w:w="100" w:type="dxa"/>
              <w:bottom w:w="80" w:type="dxa"/>
              <w:right w:w="100" w:type="dxa"/>
            </w:tcMar>
          </w:tcPr>
          <w:p w14:paraId="2A5F158E" w14:textId="77777777" w:rsidR="00B42137" w:rsidRDefault="00000000" w:rsidP="00F93117">
            <w:pPr>
              <w:jc w:val="center"/>
            </w:pPr>
            <w:r>
              <w:rPr>
                <w:color w:val="000000"/>
                <w:sz w:val="20"/>
                <w:szCs w:val="20"/>
              </w:rPr>
              <w:t>28</w:t>
            </w:r>
          </w:p>
        </w:tc>
      </w:tr>
      <w:tr w:rsidR="00B42137" w14:paraId="04574DB0"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2891CCC8" w14:textId="77777777" w:rsidR="00B42137" w:rsidRDefault="00000000">
            <w:r>
              <w:rPr>
                <w:color w:val="000000"/>
                <w:sz w:val="20"/>
                <w:szCs w:val="20"/>
              </w:rPr>
              <w:t>heavy metal</w:t>
            </w:r>
          </w:p>
        </w:tc>
        <w:tc>
          <w:tcPr>
            <w:tcW w:w="1275" w:type="dxa"/>
            <w:tcMar>
              <w:top w:w="80" w:type="dxa"/>
              <w:left w:w="100" w:type="dxa"/>
              <w:bottom w:w="80" w:type="dxa"/>
              <w:right w:w="100" w:type="dxa"/>
            </w:tcMar>
          </w:tcPr>
          <w:p w14:paraId="7C69DD2F" w14:textId="77777777" w:rsidR="00B42137" w:rsidRDefault="00000000" w:rsidP="00F93117">
            <w:pPr>
              <w:jc w:val="center"/>
            </w:pPr>
            <w:r>
              <w:rPr>
                <w:color w:val="000000"/>
                <w:sz w:val="20"/>
                <w:szCs w:val="20"/>
              </w:rPr>
              <w:t>17</w:t>
            </w:r>
          </w:p>
        </w:tc>
      </w:tr>
      <w:tr w:rsidR="00B42137" w14:paraId="3C493109"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244C04EC" w14:textId="77777777" w:rsidR="00B42137" w:rsidRDefault="00000000">
            <w:r>
              <w:rPr>
                <w:color w:val="000000"/>
                <w:sz w:val="20"/>
                <w:szCs w:val="20"/>
              </w:rPr>
              <w:t>alternative metal</w:t>
            </w:r>
          </w:p>
        </w:tc>
        <w:tc>
          <w:tcPr>
            <w:tcW w:w="1275" w:type="dxa"/>
            <w:tcMar>
              <w:top w:w="80" w:type="dxa"/>
              <w:left w:w="100" w:type="dxa"/>
              <w:bottom w:w="80" w:type="dxa"/>
              <w:right w:w="100" w:type="dxa"/>
            </w:tcMar>
          </w:tcPr>
          <w:p w14:paraId="13659D1E" w14:textId="77777777" w:rsidR="00B42137" w:rsidRDefault="00000000" w:rsidP="00F93117">
            <w:pPr>
              <w:jc w:val="center"/>
            </w:pPr>
            <w:r>
              <w:rPr>
                <w:color w:val="000000"/>
                <w:sz w:val="20"/>
                <w:szCs w:val="20"/>
              </w:rPr>
              <w:t>16</w:t>
            </w:r>
          </w:p>
        </w:tc>
      </w:tr>
      <w:tr w:rsidR="00B42137" w14:paraId="62FB287E"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5EEAF564" w14:textId="77777777" w:rsidR="00B42137" w:rsidRDefault="00000000">
            <w:r>
              <w:rPr>
                <w:color w:val="000000"/>
                <w:sz w:val="20"/>
                <w:szCs w:val="20"/>
              </w:rPr>
              <w:t>rock</w:t>
            </w:r>
          </w:p>
        </w:tc>
        <w:tc>
          <w:tcPr>
            <w:tcW w:w="1275" w:type="dxa"/>
            <w:tcMar>
              <w:top w:w="80" w:type="dxa"/>
              <w:left w:w="100" w:type="dxa"/>
              <w:bottom w:w="80" w:type="dxa"/>
              <w:right w:w="100" w:type="dxa"/>
            </w:tcMar>
          </w:tcPr>
          <w:p w14:paraId="76D4F656" w14:textId="77777777" w:rsidR="00B42137" w:rsidRDefault="00000000" w:rsidP="00F93117">
            <w:pPr>
              <w:jc w:val="center"/>
            </w:pPr>
            <w:r>
              <w:rPr>
                <w:color w:val="000000"/>
                <w:sz w:val="20"/>
                <w:szCs w:val="20"/>
              </w:rPr>
              <w:t>14</w:t>
            </w:r>
          </w:p>
        </w:tc>
      </w:tr>
      <w:tr w:rsidR="00B42137" w14:paraId="6B751316"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584D4F4D" w14:textId="77777777" w:rsidR="00B42137" w:rsidRDefault="00000000">
            <w:r>
              <w:rPr>
                <w:color w:val="000000"/>
                <w:sz w:val="20"/>
                <w:szCs w:val="20"/>
              </w:rPr>
              <w:t>pop punk</w:t>
            </w:r>
          </w:p>
        </w:tc>
        <w:tc>
          <w:tcPr>
            <w:tcW w:w="1275" w:type="dxa"/>
            <w:tcMar>
              <w:top w:w="80" w:type="dxa"/>
              <w:left w:w="100" w:type="dxa"/>
              <w:bottom w:w="80" w:type="dxa"/>
              <w:right w:w="100" w:type="dxa"/>
            </w:tcMar>
          </w:tcPr>
          <w:p w14:paraId="28E81B89" w14:textId="77777777" w:rsidR="00B42137" w:rsidRDefault="00000000" w:rsidP="00F93117">
            <w:pPr>
              <w:jc w:val="center"/>
            </w:pPr>
            <w:r>
              <w:rPr>
                <w:color w:val="000000"/>
                <w:sz w:val="20"/>
                <w:szCs w:val="20"/>
              </w:rPr>
              <w:t>13</w:t>
            </w:r>
          </w:p>
        </w:tc>
      </w:tr>
      <w:tr w:rsidR="00B42137" w14:paraId="4A919EC2"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056A154D" w14:textId="77777777" w:rsidR="00B42137" w:rsidRDefault="00000000">
            <w:r>
              <w:rPr>
                <w:color w:val="000000"/>
                <w:sz w:val="20"/>
                <w:szCs w:val="20"/>
              </w:rPr>
              <w:t xml:space="preserve">hard rock</w:t>
            </w:r>
          </w:p>
        </w:tc>
        <w:tc>
          <w:tcPr>
            <w:tcW w:w="1275" w:type="dxa"/>
            <w:tcMar>
              <w:top w:w="80" w:type="dxa"/>
              <w:left w:w="100" w:type="dxa"/>
              <w:bottom w:w="80" w:type="dxa"/>
              <w:right w:w="100" w:type="dxa"/>
            </w:tcMar>
          </w:tcPr>
          <w:p w14:paraId="51BFEA70" w14:textId="77777777" w:rsidR="00B42137" w:rsidRDefault="00000000" w:rsidP="00F93117">
            <w:pPr>
              <w:jc w:val="center"/>
            </w:pPr>
            <w:r>
              <w:rPr>
                <w:color w:val="000000"/>
                <w:sz w:val="20"/>
                <w:szCs w:val="20"/>
              </w:rPr>
              <w:t>12</w:t>
            </w:r>
          </w:p>
        </w:tc>
      </w:tr>
      <w:tr w:rsidR="00B42137" w14:paraId="04DFCAA1"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4F844AAC" w14:textId="77777777" w:rsidR="00B42137" w:rsidRDefault="00000000">
            <w:r>
              <w:rPr>
                <w:color w:val="000000"/>
                <w:sz w:val="20"/>
                <w:szCs w:val="20"/>
              </w:rPr>
              <w:t xml:space="preserve">progressive metal</w:t>
            </w:r>
          </w:p>
        </w:tc>
        <w:tc>
          <w:tcPr>
            <w:tcW w:w="1275" w:type="dxa"/>
            <w:tcMar>
              <w:top w:w="80" w:type="dxa"/>
              <w:left w:w="100" w:type="dxa"/>
              <w:bottom w:w="80" w:type="dxa"/>
              <w:right w:w="100" w:type="dxa"/>
            </w:tcMar>
          </w:tcPr>
          <w:p w14:paraId="21318C4B" w14:textId="77777777" w:rsidR="00B42137" w:rsidRDefault="00000000" w:rsidP="00F93117">
            <w:pPr>
              <w:jc w:val="center"/>
            </w:pPr>
            <w:r>
              <w:rPr>
                <w:color w:val="000000"/>
                <w:sz w:val="20"/>
                <w:szCs w:val="20"/>
              </w:rPr>
              <w:t>9</w:t>
            </w:r>
          </w:p>
        </w:tc>
      </w:tr>
      <w:tr w:rsidR="00B42137" w14:paraId="529EFD89"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186D2A81" w14:textId="77777777" w:rsidR="00B42137" w:rsidRDefault="00000000">
            <w:r>
              <w:rPr>
                <w:color w:val="000000"/>
                <w:sz w:val="20"/>
                <w:szCs w:val="20"/>
              </w:rPr>
              <w:t xml:space="preserve">death metal</w:t>
            </w:r>
          </w:p>
        </w:tc>
        <w:tc>
          <w:tcPr>
            <w:tcW w:w="1275" w:type="dxa"/>
            <w:tcMar>
              <w:top w:w="80" w:type="dxa"/>
              <w:left w:w="100" w:type="dxa"/>
              <w:bottom w:w="80" w:type="dxa"/>
              <w:right w:w="100" w:type="dxa"/>
            </w:tcMar>
          </w:tcPr>
          <w:p w14:paraId="2F044A31" w14:textId="77777777" w:rsidR="00B42137" w:rsidRDefault="00000000" w:rsidP="00F93117">
            <w:pPr>
              <w:jc w:val="center"/>
            </w:pPr>
            <w:r>
              <w:rPr>
                <w:color w:val="000000"/>
                <w:sz w:val="20"/>
                <w:szCs w:val="20"/>
              </w:rPr>
              <w:t>9</w:t>
            </w:r>
          </w:p>
        </w:tc>
      </w:tr>
      <w:tr w:rsidR="00B42137" w14:paraId="4DDC51FD"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38715267" w14:textId="77777777" w:rsidR="00B42137" w:rsidRDefault="00000000">
            <w:r>
              <w:rPr>
                <w:color w:val="000000"/>
                <w:sz w:val="20"/>
                <w:szCs w:val="20"/>
              </w:rPr>
              <w:t xml:space="preserve">power metal</w:t>
            </w:r>
          </w:p>
        </w:tc>
        <w:tc>
          <w:tcPr>
            <w:tcW w:w="1275" w:type="dxa"/>
            <w:tcMar>
              <w:top w:w="80" w:type="dxa"/>
              <w:left w:w="100" w:type="dxa"/>
              <w:bottom w:w="80" w:type="dxa"/>
              <w:right w:w="100" w:type="dxa"/>
            </w:tcMar>
          </w:tcPr>
          <w:p w14:paraId="6E7306E4" w14:textId="77777777" w:rsidR="00B42137" w:rsidRDefault="00000000" w:rsidP="00F93117">
            <w:pPr>
              <w:jc w:val="center"/>
            </w:pPr>
            <w:r>
              <w:rPr>
                <w:color w:val="000000"/>
                <w:sz w:val="20"/>
                <w:szCs w:val="20"/>
              </w:rPr>
              <w:t>7</w:t>
            </w:r>
          </w:p>
        </w:tc>
      </w:tr>
      <w:tr w:rsidR="00B42137" w14:paraId="7AE22F95"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184225D0" w14:textId="77777777" w:rsidR="00B42137" w:rsidRDefault="00000000">
            <w:r>
              <w:rPr>
                <w:color w:val="000000"/>
                <w:sz w:val="20"/>
                <w:szCs w:val="20"/>
              </w:rPr>
              <w:t xml:space="preserve">symphonic metal</w:t>
            </w:r>
          </w:p>
        </w:tc>
        <w:tc>
          <w:tcPr>
            <w:tcW w:w="1275" w:type="dxa"/>
            <w:tcMar>
              <w:top w:w="80" w:type="dxa"/>
              <w:left w:w="100" w:type="dxa"/>
              <w:bottom w:w="80" w:type="dxa"/>
              <w:right w:w="100" w:type="dxa"/>
            </w:tcMar>
          </w:tcPr>
          <w:p w14:paraId="3CB15A4E" w14:textId="77777777" w:rsidR="00B42137" w:rsidRDefault="00000000" w:rsidP="00F93117">
            <w:pPr>
              <w:jc w:val="center"/>
            </w:pPr>
            <w:r>
              <w:rPr>
                <w:color w:val="000000"/>
                <w:sz w:val="20"/>
                <w:szCs w:val="20"/>
              </w:rPr>
              <w:t>7</w:t>
            </w:r>
          </w:p>
        </w:tc>
      </w:tr>
      <w:tr w:rsidR="00B42137" w14:paraId="06A3AE29"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524871BF" w14:textId="77777777" w:rsidR="00B42137" w:rsidRDefault="00000000">
            <w:r>
              <w:rPr>
                <w:color w:val="000000"/>
                <w:sz w:val="20"/>
                <w:szCs w:val="20"/>
              </w:rPr>
              <w:t xml:space="preserve">gothic metal</w:t>
            </w:r>
          </w:p>
        </w:tc>
        <w:tc>
          <w:tcPr>
            <w:tcW w:w="1275" w:type="dxa"/>
            <w:tcMar>
              <w:top w:w="80" w:type="dxa"/>
              <w:left w:w="100" w:type="dxa"/>
              <w:bottom w:w="80" w:type="dxa"/>
              <w:right w:w="100" w:type="dxa"/>
            </w:tcMar>
          </w:tcPr>
          <w:p w14:paraId="404087BA" w14:textId="77777777" w:rsidR="00B42137" w:rsidRDefault="00000000" w:rsidP="00F93117">
            <w:pPr>
              <w:jc w:val="center"/>
            </w:pPr>
            <w:r>
              <w:rPr>
                <w:color w:val="000000"/>
                <w:sz w:val="20"/>
                <w:szCs w:val="20"/>
              </w:rPr>
              <w:t>7</w:t>
            </w:r>
          </w:p>
        </w:tc>
      </w:tr>
      <w:tr w:rsidR="00B42137" w14:paraId="63D40D6D"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505D083A" w14:textId="77777777" w:rsidR="00B42137" w:rsidRDefault="00000000">
            <w:r>
              <w:rPr>
                <w:color w:val="000000"/>
                <w:sz w:val="20"/>
                <w:szCs w:val="20"/>
              </w:rPr>
              <w:t xml:space="preserve">doom metal</w:t>
            </w:r>
          </w:p>
        </w:tc>
        <w:tc>
          <w:tcPr>
            <w:tcW w:w="1275" w:type="dxa"/>
            <w:tcMar>
              <w:top w:w="80" w:type="dxa"/>
              <w:left w:w="100" w:type="dxa"/>
              <w:bottom w:w="80" w:type="dxa"/>
              <w:right w:w="100" w:type="dxa"/>
            </w:tcMar>
          </w:tcPr>
          <w:p w14:paraId="1C116ECA" w14:textId="77777777" w:rsidR="00B42137" w:rsidRDefault="00000000" w:rsidP="00F93117">
            <w:pPr>
              <w:jc w:val="center"/>
            </w:pPr>
            <w:r>
              <w:rPr>
                <w:color w:val="000000"/>
                <w:sz w:val="20"/>
                <w:szCs w:val="20"/>
              </w:rPr>
              <w:t>7</w:t>
            </w:r>
          </w:p>
        </w:tc>
      </w:tr>
      <w:tr w:rsidR="00B42137" w14:paraId="4CE098A0"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59140AD4" w14:textId="77777777" w:rsidR="00B42137" w:rsidRDefault="00000000">
            <w:r>
              <w:rPr>
                <w:color w:val="000000"/>
                <w:sz w:val="20"/>
                <w:szCs w:val="20"/>
              </w:rPr>
              <w:t>metalcore</w:t>
            </w:r>
          </w:p>
        </w:tc>
        <w:tc>
          <w:tcPr>
            <w:tcW w:w="1275" w:type="dxa"/>
            <w:tcMar>
              <w:top w:w="80" w:type="dxa"/>
              <w:left w:w="100" w:type="dxa"/>
              <w:bottom w:w="80" w:type="dxa"/>
              <w:right w:w="100" w:type="dxa"/>
            </w:tcMar>
          </w:tcPr>
          <w:p w14:paraId="70F046FF" w14:textId="77777777" w:rsidR="00B42137" w:rsidRDefault="00000000" w:rsidP="00F93117">
            <w:pPr>
              <w:jc w:val="center"/>
            </w:pPr>
            <w:r>
              <w:rPr>
                <w:color w:val="000000"/>
                <w:sz w:val="20"/>
                <w:szCs w:val="20"/>
              </w:rPr>
              <w:t>7</w:t>
            </w:r>
          </w:p>
        </w:tc>
      </w:tr>
      <w:tr w:rsidR="00B42137" w14:paraId="2EF65AC0" w14:textId="77777777" w:rsidTr="00F93117">
        <w:tblPrEx>
          <w:tblCellMar>
            <w:top w:w="0" w:type="dxa"/>
            <w:bottom w:w="0" w:type="dxa"/>
          </w:tblCellMar>
        </w:tblPrEx>
        <w:trPr>
          <w:jc w:val="center"/>
        </w:trPr>
        <w:tc>
          <w:tcPr>
            <w:tcW w:w="2122" w:type="dxa"/>
            <w:tcMar>
              <w:top w:w="80" w:type="dxa"/>
              <w:left w:w="100" w:type="dxa"/>
              <w:bottom w:w="80" w:type="dxa"/>
              <w:right w:w="100" w:type="dxa"/>
            </w:tcMar>
          </w:tcPr>
          <w:p w14:paraId="5F4C12DB" w14:textId="77777777" w:rsidR="00B42137" w:rsidRDefault="00000000">
            <w:r>
              <w:rPr>
                <w:color w:val="000000"/>
                <w:sz w:val="20"/>
                <w:szCs w:val="20"/>
              </w:rPr>
              <w:lastRenderedPageBreak/>
              <w:t xml:space="preserve">black metal</w:t>
            </w:r>
          </w:p>
        </w:tc>
        <w:tc>
          <w:tcPr>
            <w:tcW w:w="1275" w:type="dxa"/>
            <w:tcMar>
              <w:top w:w="80" w:type="dxa"/>
              <w:left w:w="100" w:type="dxa"/>
              <w:bottom w:w="80" w:type="dxa"/>
              <w:right w:w="100" w:type="dxa"/>
            </w:tcMar>
          </w:tcPr>
          <w:p w14:paraId="047C4882" w14:textId="77777777" w:rsidR="00B42137" w:rsidRDefault="00000000" w:rsidP="00F93117">
            <w:pPr>
              <w:jc w:val="center"/>
            </w:pPr>
            <w:r>
              <w:rPr>
                <w:color w:val="000000"/>
                <w:sz w:val="20"/>
                <w:szCs w:val="20"/>
              </w:rPr>
              <w:t>6</w:t>
            </w:r>
          </w:p>
        </w:tc>
      </w:tr>
    </w:tbl>
    <w:p w14:paraId="3C044214" w14:textId="77777777" w:rsidR="00B42137" w:rsidRDefault="00000000">
      <w:pPr>
        <w:spacing w:after="240"/>
      </w:pPr>
      <w:r>
        <w:rPr>
          <w:i/>
          <w:iCs/>
          <w:color w:val="555555"/>
          <w:sz w:val="18"/>
          <w:szCs w:val="18"/>
        </w:rPr>
        <w:t xml:space="preserve">Tabla 4. Tags de MusicBrainz más frecuentes sobre las 81 bandas del universo.</w:t>
      </w:r>
    </w:p>
    <w:p w14:paraId="0A67DA4D" w14:textId="77777777" w:rsidR="00B42137" w:rsidRDefault="00000000">
      <w:pPr>
        <w:spacing w:after="160"/>
        <w:jc w:val="both"/>
      </w:pPr>
      <w:r>
        <w:t>La distribución de frecuencia de tags (y, más adelante, de palabras de sinopsis) sigue aproximadamente la Ley de Zipf: unos pocos tags/palabras concentran la mayoría de las apariciones y la mayoría del vocabulario aparece muy pocas veces — un patrón esperado en lenguaje natural que valida que el corpus se comporta como texto real y no como ruido.</w:t>
      </w:r>
    </w:p>
    <w:p w14:paraId="4D2E7811" w14:textId="77777777" w:rsidR="00B42137" w:rsidRDefault="00000000">
      <w:pPr>
        <w:pStyle w:val="Heading2"/>
      </w:pPr>
      <w:r>
        <w:t>5.2 Libros</w:t>
      </w:r>
    </w:p>
    <w:p w14:paraId="0AC0F195" w14:textId="16C38316" w:rsidR="00B42137" w:rsidRDefault="00000000">
      <w:pPr>
        <w:spacing w:after="160"/>
        <w:jc w:val="both"/>
      </w:pPr>
      <w:r>
        <w:t xml:space="preserve">Sobre los 112 libros, 111 (99.1%) tienen ficha bibliográfica completa (título, autor, año). En esta fase todavía no se contaba con la sinopsis de cada libro — un vacío que se resolvió en la siguiente sección, necesario para poder construir características de texto (TF-IDF, y más adelante embeddings) del lado de los libros.</w:t>
      </w:r>
    </w:p>
    <w:p w14:paraId="27008698" w14:textId="77777777" w:rsidR="00B42137" w:rsidRDefault="00000000">
      <w:pPr>
        <w:pStyle w:val="Heading2"/>
      </w:pPr>
      <w:r>
        <w:t>5.3 Extracción complementaria de sinopsis y limpieza de texto</w:t>
      </w:r>
    </w:p>
    <w:p w14:paraId="5A38482A" w14:textId="77777777" w:rsidR="00B42137" w:rsidRDefault="00000000">
      <w:pPr>
        <w:spacing w:after="160"/>
        <w:jc w:val="both"/>
      </w:pPr>
      <w:r>
        <w:t xml:space="preserve">Se agregó una extracción adicional (Open Library, con Google Books de respaldo) para obtener la sinopsis de cada libro, con reintento automático ante los frecuentes errores 429 (límite de tasa) de estas APIs. El resultado: 97 de 112 libros (86.6%) obtuvieron una sinopsis utilizable; los 15 restantes se quedaron sin sinopsis pese al reintento (algunos títulos no tienen ficha con descripción en ninguna de las dos fuentes).</w:t>
      </w:r>
    </w:p>
    <w:p w14:paraId="3C355005" w14:textId="77777777" w:rsidR="00B42137" w:rsidRPr="00297B29" w:rsidRDefault="00000000">
      <w:pPr>
        <w:spacing w:after="160"/>
        <w:jc w:val="both"/>
        <w:rPr>
          <w:lang w:val="en-US"/>
        </w:rPr>
      </w:pPr>
      <w:r>
        <w:t xml:space="preserve">Sobre esas 97 sinopsis se identificaron 3,593 palabras únicas tras limpieza. Durante esta limpieza se detectó y corrigió un problema real de calidad de datos: la sinopsis de Open Library a veces trae pegado texto que no es parte de la trama (URLs de la fuente, referencias tipo “[3]:”, créditos editoriales, menciones de “bestseller”, ISBN, nombres de dominio). La limpieza original no filtraba ese ruido y, además, usaba una lista de stopwords en inglés muy corta (~15 palabras a mano), lo que dejaba pasar puras palabras de “pegamento” gramatical (but, has, one, will...) como si fueran las más frecuentes del corpus. Se corrigió: (a) quitando URLs y referencias con expresiones regulares antes de tokenizar, (b) usando la lista completa de stopwords en inglés de scikit-learn (~320 palabras) en vez de la lista corta, y (c) agregando una lista de “ruido editorial” (isbn, bestseller, openlibrary, publisher, etc.). </w:t>
      </w:r>
      <w:r>
        <w:rPr>
          <w:lang w:val="en-US"/>
        </w:rPr>
        <w:t xml:space="preserve">Tras el fix, las 20 palabras más frecuentes ya son genuinamente temáticas: world, new, life, book, time, novel, power, war, love, young, magic, story, fantasy, year, just, ancient, dark, begins, man, years.</w:t>
      </w:r>
    </w:p>
    <w:p w14:paraId="644BA4B5" w14:textId="77777777" w:rsidR="00B42137" w:rsidRDefault="00000000">
      <w:pPr>
        <w:pStyle w:val="Heading1"/>
      </w:pPr>
      <w:r>
        <w:t>6. Procesamiento de datos e ingeniería de variables</w:t>
      </w:r>
    </w:p>
    <w:p w14:paraId="44FAAC3D" w14:textId="77777777" w:rsidR="00B42137" w:rsidRDefault="00000000">
      <w:pPr>
        <w:spacing w:after="160"/>
        <w:jc w:val="both"/>
      </w:pPr>
      <w:r>
        <w:t xml:space="preserve">A partir de los datos limpios se construyeron tres tablas de características, unidas por una llave normalizada (sin acentos, minúsculas, sin puntuación) para evitar que variantes de escritura ('El Señor de los Anillos' vs 'el senor de los anillos') rompieran el cruce:</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4967"/>
      </w:tblGrid>
      <w:tr w:rsidR="00B42137" w14:paraId="15D225B7" w14:textId="77777777" w:rsidTr="00C34F0F">
        <w:tblPrEx>
          <w:tblCellMar>
            <w:top w:w="0" w:type="dxa"/>
            <w:bottom w:w="0" w:type="dxa"/>
          </w:tblCellMar>
        </w:tblPrEx>
        <w:trPr>
          <w:jc w:val="center"/>
        </w:trPr>
        <w:tc>
          <w:tcPr>
            <w:tcW w:w="2600" w:type="dxa"/>
            <w:shd w:val="clear" w:color="auto" w:fill="6B2D5C"/>
            <w:tcMar>
              <w:top w:w="80" w:type="dxa"/>
              <w:left w:w="100" w:type="dxa"/>
              <w:bottom w:w="80" w:type="dxa"/>
              <w:right w:w="100" w:type="dxa"/>
            </w:tcMar>
          </w:tcPr>
          <w:p w14:paraId="5FAE7CFF" w14:textId="77777777" w:rsidR="00B42137" w:rsidRDefault="00000000" w:rsidP="00C34F0F">
            <w:pPr>
              <w:jc w:val="center"/>
            </w:pPr>
            <w:r>
              <w:rPr>
                <w:b/>
                <w:bCs/>
                <w:color w:val="FFFFFF"/>
                <w:sz w:val="20"/>
                <w:szCs w:val="20"/>
              </w:rPr>
              <w:t>Archivo</w:t>
            </w:r>
          </w:p>
        </w:tc>
        <w:tc>
          <w:tcPr>
            <w:tcW w:w="1500" w:type="dxa"/>
            <w:shd w:val="clear" w:color="auto" w:fill="6B2D5C"/>
            <w:tcMar>
              <w:top w:w="80" w:type="dxa"/>
              <w:left w:w="100" w:type="dxa"/>
              <w:bottom w:w="80" w:type="dxa"/>
              <w:right w:w="100" w:type="dxa"/>
            </w:tcMar>
          </w:tcPr>
          <w:p w14:paraId="43FE1E80" w14:textId="77777777" w:rsidR="00B42137" w:rsidRDefault="00000000" w:rsidP="00C34F0F">
            <w:pPr>
              <w:jc w:val="center"/>
            </w:pPr>
            <w:r>
              <w:rPr>
                <w:b/>
                <w:bCs/>
                <w:color w:val="FFFFFF"/>
                <w:sz w:val="20"/>
                <w:szCs w:val="20"/>
              </w:rPr>
              <w:t>Forma</w:t>
            </w:r>
          </w:p>
        </w:tc>
        <w:tc>
          <w:tcPr>
            <w:tcW w:w="4967" w:type="dxa"/>
            <w:shd w:val="clear" w:color="auto" w:fill="6B2D5C"/>
            <w:tcMar>
              <w:top w:w="80" w:type="dxa"/>
              <w:left w:w="100" w:type="dxa"/>
              <w:bottom w:w="80" w:type="dxa"/>
              <w:right w:w="100" w:type="dxa"/>
            </w:tcMar>
          </w:tcPr>
          <w:p w14:paraId="06E4E281" w14:textId="77777777" w:rsidR="00B42137" w:rsidRDefault="00000000" w:rsidP="00C34F0F">
            <w:pPr>
              <w:jc w:val="center"/>
            </w:pPr>
            <w:r>
              <w:rPr>
                <w:b/>
                <w:bCs/>
                <w:color w:val="FFFFFF"/>
                <w:sz w:val="20"/>
                <w:szCs w:val="20"/>
              </w:rPr>
              <w:t>Contenido</w:t>
            </w:r>
          </w:p>
        </w:tc>
      </w:tr>
      <w:tr w:rsidR="00B42137" w14:paraId="45593454" w14:textId="77777777" w:rsidTr="00C34F0F">
        <w:tblPrEx>
          <w:tblCellMar>
            <w:top w:w="0" w:type="dxa"/>
            <w:bottom w:w="0" w:type="dxa"/>
          </w:tblCellMar>
        </w:tblPrEx>
        <w:trPr>
          <w:jc w:val="center"/>
        </w:trPr>
        <w:tc>
          <w:tcPr>
            <w:tcW w:w="2600" w:type="dxa"/>
            <w:tcMar>
              <w:top w:w="80" w:type="dxa"/>
              <w:left w:w="100" w:type="dxa"/>
              <w:bottom w:w="80" w:type="dxa"/>
              <w:right w:w="100" w:type="dxa"/>
            </w:tcMar>
            <w:vAlign w:val="center"/>
          </w:tcPr>
          <w:p w14:paraId="39FD8F75" w14:textId="77777777" w:rsidR="00B42137" w:rsidRDefault="00000000" w:rsidP="00C34F0F">
            <w:pPr>
              <w:jc w:val="center"/>
            </w:pPr>
            <w:r>
              <w:rPr>
                <w:color w:val="000000"/>
                <w:sz w:val="20"/>
                <w:szCs w:val="20"/>
              </w:rPr>
              <w:t>bandas_features.csv</w:t>
            </w:r>
          </w:p>
        </w:tc>
        <w:tc>
          <w:tcPr>
            <w:tcW w:w="1500" w:type="dxa"/>
            <w:tcMar>
              <w:top w:w="80" w:type="dxa"/>
              <w:left w:w="100" w:type="dxa"/>
              <w:bottom w:w="80" w:type="dxa"/>
              <w:right w:w="100" w:type="dxa"/>
            </w:tcMar>
            <w:vAlign w:val="center"/>
          </w:tcPr>
          <w:p w14:paraId="4F755B43" w14:textId="77777777" w:rsidR="00B42137" w:rsidRDefault="00000000" w:rsidP="00C34F0F">
            <w:pPr>
              <w:jc w:val="center"/>
            </w:pPr>
            <w:r>
              <w:rPr>
                <w:color w:val="000000"/>
                <w:sz w:val="20"/>
                <w:szCs w:val="20"/>
              </w:rPr>
              <w:t>81 × 58</w:t>
            </w:r>
          </w:p>
        </w:tc>
        <w:tc>
          <w:tcPr>
            <w:tcW w:w="4967" w:type="dxa"/>
            <w:tcMar>
              <w:top w:w="80" w:type="dxa"/>
              <w:left w:w="100" w:type="dxa"/>
              <w:bottom w:w="80" w:type="dxa"/>
              <w:right w:w="100" w:type="dxa"/>
            </w:tcMar>
            <w:vAlign w:val="center"/>
          </w:tcPr>
          <w:p w14:paraId="643AF86C" w14:textId="77777777" w:rsidR="00B42137" w:rsidRDefault="00000000" w:rsidP="00C34F0F">
            <w:pPr>
              <w:jc w:val="center"/>
            </w:pPr>
            <w:r>
              <w:rPr>
                <w:color w:val="000000"/>
                <w:sz w:val="20"/>
                <w:szCs w:val="20"/>
              </w:rPr>
              <w:t xml:space="preserve">One-hot de subgénero semilla + multi-hot de los 30 tags de MusicBrainz más frecuentes (MultiLabelBinarizer)</w:t>
            </w:r>
          </w:p>
        </w:tc>
      </w:tr>
      <w:tr w:rsidR="00B42137" w14:paraId="35BF2A0B" w14:textId="77777777" w:rsidTr="00C34F0F">
        <w:tblPrEx>
          <w:tblCellMar>
            <w:top w:w="0" w:type="dxa"/>
            <w:bottom w:w="0" w:type="dxa"/>
          </w:tblCellMar>
        </w:tblPrEx>
        <w:trPr>
          <w:jc w:val="center"/>
        </w:trPr>
        <w:tc>
          <w:tcPr>
            <w:tcW w:w="2600" w:type="dxa"/>
            <w:tcMar>
              <w:top w:w="80" w:type="dxa"/>
              <w:left w:w="100" w:type="dxa"/>
              <w:bottom w:w="80" w:type="dxa"/>
              <w:right w:w="100" w:type="dxa"/>
            </w:tcMar>
            <w:vAlign w:val="center"/>
          </w:tcPr>
          <w:p w14:paraId="0A396657" w14:textId="77777777" w:rsidR="00B42137" w:rsidRDefault="00000000" w:rsidP="00C34F0F">
            <w:pPr>
              <w:jc w:val="center"/>
            </w:pPr>
            <w:r>
              <w:rPr>
                <w:color w:val="000000"/>
                <w:sz w:val="20"/>
                <w:szCs w:val="20"/>
              </w:rPr>
              <w:t>libros_features.csv</w:t>
            </w:r>
          </w:p>
        </w:tc>
        <w:tc>
          <w:tcPr>
            <w:tcW w:w="1500" w:type="dxa"/>
            <w:tcMar>
              <w:top w:w="80" w:type="dxa"/>
              <w:left w:w="100" w:type="dxa"/>
              <w:bottom w:w="80" w:type="dxa"/>
              <w:right w:w="100" w:type="dxa"/>
            </w:tcMar>
            <w:vAlign w:val="center"/>
          </w:tcPr>
          <w:p w14:paraId="5717D9B1" w14:textId="77777777" w:rsidR="00B42137" w:rsidRDefault="00000000" w:rsidP="00C34F0F">
            <w:pPr>
              <w:jc w:val="center"/>
            </w:pPr>
            <w:r>
              <w:rPr>
                <w:color w:val="000000"/>
                <w:sz w:val="20"/>
                <w:szCs w:val="20"/>
              </w:rPr>
              <w:t>112 × 318</w:t>
            </w:r>
          </w:p>
        </w:tc>
        <w:tc>
          <w:tcPr>
            <w:tcW w:w="4967" w:type="dxa"/>
            <w:tcMar>
              <w:top w:w="80" w:type="dxa"/>
              <w:left w:w="100" w:type="dxa"/>
              <w:bottom w:w="80" w:type="dxa"/>
              <w:right w:w="100" w:type="dxa"/>
            </w:tcMar>
            <w:vAlign w:val="center"/>
          </w:tcPr>
          <w:p w14:paraId="49073D15" w14:textId="77777777" w:rsidR="00B42137" w:rsidRDefault="00000000" w:rsidP="00C34F0F">
            <w:pPr>
              <w:jc w:val="center"/>
            </w:pPr>
            <w:r>
              <w:rPr>
                <w:color w:val="000000"/>
                <w:sz w:val="20"/>
                <w:szCs w:val="20"/>
              </w:rPr>
              <w:t xml:space="preserve">One-hot de categoría semilla + TF-IDF (máx. 300 términos, min_df=2) sobre la sinopsis limpia — 97 libros con vector TF-IDF real, 15 solo con categoría/década (sin sinopsis)</w:t>
            </w:r>
          </w:p>
        </w:tc>
      </w:tr>
      <w:tr w:rsidR="00B42137" w14:paraId="00DE626C" w14:textId="77777777" w:rsidTr="00C34F0F">
        <w:tblPrEx>
          <w:tblCellMar>
            <w:top w:w="0" w:type="dxa"/>
            <w:bottom w:w="0" w:type="dxa"/>
          </w:tblCellMar>
        </w:tblPrEx>
        <w:trPr>
          <w:jc w:val="center"/>
        </w:trPr>
        <w:tc>
          <w:tcPr>
            <w:tcW w:w="2600" w:type="dxa"/>
            <w:tcMar>
              <w:top w:w="80" w:type="dxa"/>
              <w:left w:w="100" w:type="dxa"/>
              <w:bottom w:w="80" w:type="dxa"/>
              <w:right w:w="100" w:type="dxa"/>
            </w:tcMar>
            <w:vAlign w:val="center"/>
          </w:tcPr>
          <w:p w14:paraId="01BCB28E" w14:textId="77777777" w:rsidR="00B42137" w:rsidRDefault="00000000" w:rsidP="00C34F0F">
            <w:pPr>
              <w:jc w:val="center"/>
            </w:pPr>
            <w:r>
              <w:rPr>
                <w:color w:val="000000"/>
                <w:sz w:val="20"/>
                <w:szCs w:val="20"/>
              </w:rPr>
              <w:t>pares_features.csv</w:t>
            </w:r>
          </w:p>
        </w:tc>
        <w:tc>
          <w:tcPr>
            <w:tcW w:w="1500" w:type="dxa"/>
            <w:tcMar>
              <w:top w:w="80" w:type="dxa"/>
              <w:left w:w="100" w:type="dxa"/>
              <w:bottom w:w="80" w:type="dxa"/>
              <w:right w:w="100" w:type="dxa"/>
            </w:tcMar>
            <w:vAlign w:val="center"/>
          </w:tcPr>
          <w:p w14:paraId="3F1A9ACC" w14:textId="77777777" w:rsidR="00B42137" w:rsidRDefault="00000000" w:rsidP="00C34F0F">
            <w:pPr>
              <w:jc w:val="center"/>
            </w:pPr>
            <w:r>
              <w:rPr>
                <w:color w:val="000000"/>
                <w:sz w:val="20"/>
                <w:szCs w:val="20"/>
              </w:rPr>
              <w:t>105 × 385</w:t>
            </w:r>
          </w:p>
        </w:tc>
        <w:tc>
          <w:tcPr>
            <w:tcW w:w="4967" w:type="dxa"/>
            <w:tcMar>
              <w:top w:w="80" w:type="dxa"/>
              <w:left w:w="100" w:type="dxa"/>
              <w:bottom w:w="80" w:type="dxa"/>
              <w:right w:w="100" w:type="dxa"/>
            </w:tcMar>
            <w:vAlign w:val="center"/>
          </w:tcPr>
          <w:p w14:paraId="7AB15A33" w14:textId="77777777" w:rsidR="00B42137" w:rsidRDefault="00000000" w:rsidP="00C34F0F">
            <w:pPr>
              <w:jc w:val="center"/>
            </w:pPr>
            <w:r>
              <w:rPr>
                <w:color w:val="000000"/>
                <w:sz w:val="20"/>
                <w:szCs w:val="20"/>
              </w:rPr>
              <w:t xml:space="preserve">Merge de los 105 pares de evaluación con las features de ambos lados; 0 pares quedaron sin match de features en ningún lado</w:t>
            </w:r>
          </w:p>
        </w:tc>
      </w:tr>
    </w:tbl>
    <w:p w14:paraId="6E728181" w14:textId="77777777" w:rsidR="00B42137" w:rsidRDefault="00000000">
      <w:pPr>
        <w:spacing w:after="240"/>
      </w:pPr>
      <w:r>
        <w:rPr>
          <w:i/>
          <w:iCs/>
          <w:color w:val="555555"/>
          <w:sz w:val="18"/>
          <w:szCs w:val="18"/>
        </w:rPr>
        <w:t>Tabla 5. Tablas de características generadas en la fase de ingeniería de variables.</w:t>
      </w:r>
    </w:p>
    <w:p>
      <w:pPr>
        <w:pStyle w:val="Heading2"/>
      </w:pPr>
      <w:r>
        <w:t xml:space="preserve">6.1 Justificación de las transformaciones</w:t>
      </w:r>
    </w:p>
    <w:p>
      <w:pPr>
        <w:spacing w:after="160"/>
        <w:jc w:val="both"/>
      </w:pPr>
      <w:r>
        <w:t xml:space="preserve">La Tabla 6 resume cada transformación aplicada y por qué se eligió, incluyendo el tratamiento de valores faltantes y extremos.</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4000"/>
      </w:tblGrid>
      <w:tr>
        <w:tblPrEx>
          <w:tblCellMar>
            <w:top w:w="0" w:type="dxa"/>
            <w:bottom w:w="0" w:type="dxa"/>
          </w:tblCellMar>
        </w:tblPrEx>
        <w:trPr>
          <w:jc w:val="center"/>
        </w:trPr>
        <w:tc>
          <w:tcPr>
            <w:tcW w:w="22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Transformación</w:t>
            </w:r>
          </w:p>
        </w:tc>
        <w:tc>
          <w:tcPr>
            <w:tcW w:w="38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Qué se hizo</w:t>
            </w:r>
          </w:p>
        </w:tc>
        <w:tc>
          <w:tcPr>
            <w:tcW w:w="40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Justificación</w:t>
            </w:r>
          </w:p>
        </w:tc>
      </w:tr>
      <w:tr>
        <w:tblPrEx>
          <w:tblCellMar>
            <w:top w:w="0" w:type="dxa"/>
            <w:bottom w:w="0" w:type="dxa"/>
          </w:tblCellMar>
        </w:tblPrEx>
        <w:trPr>
          <w:jc w:val="center"/>
        </w:trPr>
        <w:tc>
          <w:tcPr>
            <w:tcW w:w="2200" w:type="dxa"/>
            <w:tcMar>
              <w:top w:w="80" w:type="dxa"/>
              <w:left w:w="100" w:type="dxa"/>
              <w:bottom w:w="80" w:type="dxa"/>
              <w:right w:w="100" w:type="dxa"/>
            </w:tcMar>
          </w:tcPr>
          <w:p>
            <w:r>
              <w:rPr>
                <w:color w:val="000000"/>
                <w:sz w:val="20"/>
                <w:szCs w:val="20"/>
              </w:rPr>
              <w:t xml:space="preserve">Limpieza de texto</w:t>
            </w:r>
          </w:p>
        </w:tc>
        <w:tc>
          <w:tcPr>
            <w:tcW w:w="3800" w:type="dxa"/>
            <w:tcMar>
              <w:top w:w="80" w:type="dxa"/>
              <w:left w:w="100" w:type="dxa"/>
              <w:bottom w:w="80" w:type="dxa"/>
              <w:right w:w="100" w:type="dxa"/>
            </w:tcMar>
          </w:tcPr>
          <w:p>
            <w:r>
              <w:rPr>
                <w:color w:val="000000"/>
                <w:sz w:val="20"/>
                <w:szCs w:val="20"/>
              </w:rPr>
              <w:t xml:space="preserve">Eliminación de URLs, referencias tipo “[3]:” y ruido editorial; stopwords completas de scikit-learn (sección 5.3)</w:t>
            </w:r>
          </w:p>
        </w:tc>
        <w:tc>
          <w:tcPr>
            <w:tcW w:w="4000" w:type="dxa"/>
            <w:tcMar>
              <w:top w:w="80" w:type="dxa"/>
              <w:left w:w="100" w:type="dxa"/>
              <w:bottom w:w="80" w:type="dxa"/>
              <w:right w:w="100" w:type="dxa"/>
            </w:tcMar>
          </w:tcPr>
          <w:p>
            <w:r>
              <w:rPr>
                <w:color w:val="000000"/>
                <w:sz w:val="20"/>
                <w:szCs w:val="20"/>
              </w:rPr>
              <w:t xml:space="preserve">Sin ella, el TF-IDF quedaba dominado por palabras ajenas a la trama (Salton &amp; Buckley, 1988; Pedregosa et al., 2011)</w:t>
            </w:r>
          </w:p>
        </w:tc>
      </w:tr>
      <w:tr>
        <w:tblPrEx>
          <w:tblCellMar>
            <w:top w:w="0" w:type="dxa"/>
            <w:bottom w:w="0" w:type="dxa"/>
          </w:tblCellMar>
        </w:tblPrEx>
        <w:trPr>
          <w:jc w:val="center"/>
        </w:trPr>
        <w:tc>
          <w:tcPr>
            <w:tcW w:w="2200" w:type="dxa"/>
            <w:tcMar>
              <w:top w:w="80" w:type="dxa"/>
              <w:left w:w="100" w:type="dxa"/>
              <w:bottom w:w="80" w:type="dxa"/>
              <w:right w:w="100" w:type="dxa"/>
            </w:tcMar>
          </w:tcPr>
          <w:p>
            <w:r>
              <w:rPr>
                <w:color w:val="000000"/>
                <w:sz w:val="20"/>
                <w:szCs w:val="20"/>
              </w:rPr>
              <w:t xml:space="preserve">Llave de cruce normalizada</w:t>
            </w:r>
          </w:p>
        </w:tc>
        <w:tc>
          <w:tcPr>
            <w:tcW w:w="3800" w:type="dxa"/>
            <w:tcMar>
              <w:top w:w="80" w:type="dxa"/>
              <w:left w:w="100" w:type="dxa"/>
              <w:bottom w:w="80" w:type="dxa"/>
              <w:right w:w="100" w:type="dxa"/>
            </w:tcMar>
          </w:tcPr>
          <w:p>
            <w:r>
              <w:rPr>
                <w:color w:val="000000"/>
                <w:sz w:val="20"/>
                <w:szCs w:val="20"/>
              </w:rPr>
              <w:t xml:space="preserve">Minúsculas, sin acentos ni puntuación</w:t>
            </w:r>
          </w:p>
        </w:tc>
        <w:tc>
          <w:tcPr>
            <w:tcW w:w="4000" w:type="dxa"/>
            <w:tcMar>
              <w:top w:w="80" w:type="dxa"/>
              <w:left w:w="100" w:type="dxa"/>
              <w:bottom w:w="80" w:type="dxa"/>
              <w:right w:w="100" w:type="dxa"/>
            </w:tcMar>
          </w:tcPr>
          <w:p>
            <w:r>
              <w:rPr>
                <w:color w:val="000000"/>
                <w:sz w:val="20"/>
                <w:szCs w:val="20"/>
              </w:rPr>
              <w:t xml:space="preserve">Evita que variantes de escritura rompan el cruce entre tablas</w:t>
            </w:r>
          </w:p>
        </w:tc>
      </w:tr>
      <w:tr>
        <w:tblPrEx>
          <w:tblCellMar>
            <w:top w:w="0" w:type="dxa"/>
            <w:bottom w:w="0" w:type="dxa"/>
          </w:tblCellMar>
        </w:tblPrEx>
        <w:trPr>
          <w:jc w:val="center"/>
        </w:trPr>
        <w:tc>
          <w:tcPr>
            <w:tcW w:w="2200" w:type="dxa"/>
            <w:tcMar>
              <w:top w:w="80" w:type="dxa"/>
              <w:left w:w="100" w:type="dxa"/>
              <w:bottom w:w="80" w:type="dxa"/>
              <w:right w:w="100" w:type="dxa"/>
            </w:tcMar>
          </w:tcPr>
          <w:p>
            <w:r>
              <w:rPr>
                <w:color w:val="000000"/>
                <w:sz w:val="20"/>
                <w:szCs w:val="20"/>
              </w:rPr>
              <w:t xml:space="preserve">Codificación de categorías</w:t>
            </w:r>
          </w:p>
        </w:tc>
        <w:tc>
          <w:tcPr>
            <w:tcW w:w="3800" w:type="dxa"/>
            <w:tcMar>
              <w:top w:w="80" w:type="dxa"/>
              <w:left w:w="100" w:type="dxa"/>
              <w:bottom w:w="80" w:type="dxa"/>
              <w:right w:w="100" w:type="dxa"/>
            </w:tcMar>
          </w:tcPr>
          <w:p>
            <w:r>
              <w:rPr>
                <w:color w:val="000000"/>
                <w:sz w:val="20"/>
                <w:szCs w:val="20"/>
              </w:rPr>
              <w:t xml:space="preserve">One-hot de subgénero y categoría; multi-hot de los 30 tags más frecuentes</w:t>
            </w:r>
          </w:p>
        </w:tc>
        <w:tc>
          <w:tcPr>
            <w:tcW w:w="4000" w:type="dxa"/>
            <w:tcMar>
              <w:top w:w="80" w:type="dxa"/>
              <w:left w:w="100" w:type="dxa"/>
              <w:bottom w:w="80" w:type="dxa"/>
              <w:right w:w="100" w:type="dxa"/>
            </w:tcMar>
          </w:tcPr>
          <w:p>
            <w:r>
              <w:rPr>
                <w:color w:val="000000"/>
                <w:sz w:val="20"/>
                <w:szCs w:val="20"/>
              </w:rPr>
              <w:t xml:space="preserve">Una banda tiene varios tags a la vez; el multi-hot conserva esa información</w:t>
            </w:r>
          </w:p>
        </w:tc>
      </w:tr>
      <w:tr>
        <w:tblPrEx>
          <w:tblCellMar>
            <w:top w:w="0" w:type="dxa"/>
            <w:bottom w:w="0" w:type="dxa"/>
          </w:tblCellMar>
        </w:tblPrEx>
        <w:trPr>
          <w:jc w:val="center"/>
        </w:trPr>
        <w:tc>
          <w:tcPr>
            <w:tcW w:w="2200" w:type="dxa"/>
            <w:tcMar>
              <w:top w:w="80" w:type="dxa"/>
              <w:left w:w="100" w:type="dxa"/>
              <w:bottom w:w="80" w:type="dxa"/>
              <w:right w:w="100" w:type="dxa"/>
            </w:tcMar>
          </w:tcPr>
          <w:p>
            <w:r>
              <w:rPr>
                <w:color w:val="000000"/>
                <w:sz w:val="20"/>
                <w:szCs w:val="20"/>
              </w:rPr>
              <w:t xml:space="preserve">Reducción de vocabulario</w:t>
            </w:r>
          </w:p>
        </w:tc>
        <w:tc>
          <w:tcPr>
            <w:tcW w:w="3800" w:type="dxa"/>
            <w:tcMar>
              <w:top w:w="80" w:type="dxa"/>
              <w:left w:w="100" w:type="dxa"/>
              <w:bottom w:w="80" w:type="dxa"/>
              <w:right w:w="100" w:type="dxa"/>
            </w:tcMar>
          </w:tcPr>
          <w:p>
            <w:r>
              <w:rPr>
                <w:color w:val="000000"/>
                <w:sz w:val="20"/>
                <w:szCs w:val="20"/>
              </w:rPr>
              <w:t xml:space="preserve">TF-IDF de 300 términos con min_df = 2</w:t>
            </w:r>
          </w:p>
        </w:tc>
        <w:tc>
          <w:tcPr>
            <w:tcW w:w="4000" w:type="dxa"/>
            <w:tcMar>
              <w:top w:w="80" w:type="dxa"/>
              <w:left w:w="100" w:type="dxa"/>
              <w:bottom w:w="80" w:type="dxa"/>
              <w:right w:w="100" w:type="dxa"/>
            </w:tcMar>
          </w:tcPr>
          <w:p>
            <w:r>
              <w:rPr>
                <w:color w:val="000000"/>
                <w:sz w:val="20"/>
                <w:szCs w:val="20"/>
              </w:rPr>
              <w:t xml:space="preserve">Descarta términos que aparecen en un solo libro, ruido bajo una distribución tipo Zipf (Zipf, 1949)</w:t>
            </w:r>
          </w:p>
        </w:tc>
      </w:tr>
      <w:tr>
        <w:tblPrEx>
          <w:tblCellMar>
            <w:top w:w="0" w:type="dxa"/>
            <w:bottom w:w="0" w:type="dxa"/>
          </w:tblCellMar>
        </w:tblPrEx>
        <w:trPr>
          <w:jc w:val="center"/>
        </w:trPr>
        <w:tc>
          <w:tcPr>
            <w:tcW w:w="2200" w:type="dxa"/>
            <w:tcMar>
              <w:top w:w="80" w:type="dxa"/>
              <w:left w:w="100" w:type="dxa"/>
              <w:bottom w:w="80" w:type="dxa"/>
              <w:right w:w="100" w:type="dxa"/>
            </w:tcMar>
          </w:tcPr>
          <w:p>
            <w:r>
              <w:rPr>
                <w:color w:val="000000"/>
                <w:sz w:val="20"/>
                <w:szCs w:val="20"/>
              </w:rPr>
              <w:t xml:space="preserve">Valores extremos</w:t>
            </w:r>
          </w:p>
        </w:tc>
        <w:tc>
          <w:tcPr>
            <w:tcW w:w="3800" w:type="dxa"/>
            <w:tcMar>
              <w:top w:w="80" w:type="dxa"/>
              <w:left w:w="100" w:type="dxa"/>
              <w:bottom w:w="80" w:type="dxa"/>
              <w:right w:w="100" w:type="dxa"/>
            </w:tcMar>
          </w:tcPr>
          <w:p>
            <w:r>
              <w:rPr>
                <w:color w:val="000000"/>
                <w:sz w:val="20"/>
                <w:szCs w:val="20"/>
              </w:rPr>
              <w:t xml:space="preserve">Popularidad = log(1 + pageviews)</w:t>
            </w:r>
          </w:p>
        </w:tc>
        <w:tc>
          <w:tcPr>
            <w:tcW w:w="4000" w:type="dxa"/>
            <w:tcMar>
              <w:top w:w="80" w:type="dxa"/>
              <w:left w:w="100" w:type="dxa"/>
              <w:bottom w:w="80" w:type="dxa"/>
              <w:right w:w="100" w:type="dxa"/>
            </w:tcMar>
          </w:tcPr>
          <w:p>
            <w:r>
              <w:rPr>
                <w:color w:val="000000"/>
                <w:sz w:val="20"/>
                <w:szCs w:val="20"/>
              </w:rPr>
              <w:t xml:space="preserve">Entre las 71 bandas con coincidencia confiable, las pageviews van de 9,462 a 5,287,100 (559 veces); el logaritmo reduce la asimetría de 2.66 a 0.08</w:t>
            </w:r>
          </w:p>
        </w:tc>
      </w:tr>
      <w:tr>
        <w:tblPrEx>
          <w:tblCellMar>
            <w:top w:w="0" w:type="dxa"/>
            <w:bottom w:w="0" w:type="dxa"/>
          </w:tblCellMar>
        </w:tblPrEx>
        <w:trPr>
          <w:jc w:val="center"/>
        </w:trPr>
        <w:tc>
          <w:tcPr>
            <w:tcW w:w="2200" w:type="dxa"/>
            <w:tcMar>
              <w:top w:w="80" w:type="dxa"/>
              <w:left w:w="100" w:type="dxa"/>
              <w:bottom w:w="80" w:type="dxa"/>
              <w:right w:w="100" w:type="dxa"/>
            </w:tcMar>
          </w:tcPr>
          <w:p>
            <w:r>
              <w:rPr>
                <w:color w:val="000000"/>
                <w:sz w:val="20"/>
                <w:szCs w:val="20"/>
              </w:rPr>
              <w:t xml:space="preserve">Valores faltantes: popularidad</w:t>
            </w:r>
          </w:p>
        </w:tc>
        <w:tc>
          <w:tcPr>
            <w:tcW w:w="3800" w:type="dxa"/>
            <w:tcMar>
              <w:top w:w="80" w:type="dxa"/>
              <w:left w:w="100" w:type="dxa"/>
              <w:bottom w:w="80" w:type="dxa"/>
              <w:right w:w="100" w:type="dxa"/>
            </w:tcMar>
          </w:tcPr>
          <w:p>
            <w:r>
              <w:rPr>
                <w:color w:val="000000"/>
                <w:sz w:val="20"/>
                <w:szCs w:val="20"/>
              </w:rPr>
              <w:t xml:space="preserve">Se deja vacía (NaN) si la coincidencia de Genius no es confiable</w:t>
            </w:r>
          </w:p>
        </w:tc>
        <w:tc>
          <w:tcPr>
            <w:tcW w:w="4000" w:type="dxa"/>
            <w:tcMar>
              <w:top w:w="80" w:type="dxa"/>
              <w:left w:w="100" w:type="dxa"/>
              <w:bottom w:w="80" w:type="dxa"/>
              <w:right w:w="100" w:type="dxa"/>
            </w:tcMar>
          </w:tcPr>
          <w:p>
            <w:r>
              <w:rPr>
                <w:color w:val="000000"/>
                <w:sz w:val="20"/>
                <w:szCs w:val="20"/>
              </w:rPr>
              <w:t xml:space="preserve">Imputarla inventaría una popularidad que no corresponde a la banda</w:t>
            </w:r>
          </w:p>
        </w:tc>
      </w:tr>
      <w:tr>
        <w:tblPrEx>
          <w:tblCellMar>
            <w:top w:w="0" w:type="dxa"/>
            <w:bottom w:w="0" w:type="dxa"/>
          </w:tblCellMar>
        </w:tblPrEx>
        <w:trPr>
          <w:jc w:val="center"/>
        </w:trPr>
        <w:tc>
          <w:tcPr>
            <w:tcW w:w="2200" w:type="dxa"/>
            <w:tcMar>
              <w:top w:w="80" w:type="dxa"/>
              <w:left w:w="100" w:type="dxa"/>
              <w:bottom w:w="80" w:type="dxa"/>
              <w:right w:w="100" w:type="dxa"/>
            </w:tcMar>
          </w:tcPr>
          <w:p>
            <w:r>
              <w:rPr>
                <w:color w:val="000000"/>
                <w:sz w:val="20"/>
                <w:szCs w:val="20"/>
              </w:rPr>
              <w:t xml:space="preserve">Valores faltantes: sinopsis</w:t>
            </w:r>
          </w:p>
        </w:tc>
        <w:tc>
          <w:tcPr>
            <w:tcW w:w="3800" w:type="dxa"/>
            <w:tcMar>
              <w:top w:w="80" w:type="dxa"/>
              <w:left w:w="100" w:type="dxa"/>
              <w:bottom w:w="80" w:type="dxa"/>
              <w:right w:w="100" w:type="dxa"/>
            </w:tcMar>
          </w:tcPr>
          <w:p>
            <w:r>
              <w:rPr>
                <w:color w:val="000000"/>
                <w:sz w:val="20"/>
                <w:szCs w:val="20"/>
              </w:rPr>
              <w:t xml:space="preserve">No se imputa texto; el perfil queda solo con la categoría y el libro se excluye como candidato</w:t>
            </w:r>
          </w:p>
        </w:tc>
        <w:tc>
          <w:tcPr>
            <w:tcW w:w="4000" w:type="dxa"/>
            <w:tcMar>
              <w:top w:w="80" w:type="dxa"/>
              <w:left w:w="100" w:type="dxa"/>
              <w:bottom w:w="80" w:type="dxa"/>
              <w:right w:w="100" w:type="dxa"/>
            </w:tcMar>
          </w:tcPr>
          <w:p>
            <w:r>
              <w:rPr>
                <w:color w:val="000000"/>
                <w:sz w:val="20"/>
                <w:szCs w:val="20"/>
              </w:rPr>
              <w:t xml:space="preserve">Un texto inventado sesgaría la similitud; excluirlo evita perfiles degenerados (sección 7.4)</w:t>
            </w:r>
          </w:p>
        </w:tc>
      </w:tr>
      <w:tr>
        <w:tblPrEx>
          <w:tblCellMar>
            <w:top w:w="0" w:type="dxa"/>
            <w:bottom w:w="0" w:type="dxa"/>
          </w:tblCellMar>
        </w:tblPrEx>
        <w:trPr>
          <w:jc w:val="center"/>
        </w:trPr>
        <w:tc>
          <w:tcPr>
            <w:tcW w:w="2200" w:type="dxa"/>
            <w:tcMar>
              <w:top w:w="80" w:type="dxa"/>
              <w:left w:w="100" w:type="dxa"/>
              <w:bottom w:w="80" w:type="dxa"/>
              <w:right w:w="100" w:type="dxa"/>
            </w:tcMar>
          </w:tcPr>
          <w:p>
            <w:r>
              <w:rPr>
                <w:color w:val="000000"/>
                <w:sz w:val="20"/>
                <w:szCs w:val="20"/>
              </w:rPr>
              <w:t xml:space="preserve">Año de publicación</w:t>
            </w:r>
          </w:p>
        </w:tc>
        <w:tc>
          <w:tcPr>
            <w:tcW w:w="3800" w:type="dxa"/>
            <w:tcMar>
              <w:top w:w="80" w:type="dxa"/>
              <w:left w:w="100" w:type="dxa"/>
              <w:bottom w:w="80" w:type="dxa"/>
              <w:right w:w="100" w:type="dxa"/>
            </w:tcMar>
          </w:tcPr>
          <w:p>
            <w:r>
              <w:rPr>
                <w:color w:val="000000"/>
                <w:sz w:val="20"/>
                <w:szCs w:val="20"/>
              </w:rPr>
              <w:t xml:space="preserve">Agrupado por década</w:t>
            </w:r>
          </w:p>
        </w:tc>
        <w:tc>
          <w:tcPr>
            <w:tcW w:w="4000" w:type="dxa"/>
            <w:tcMar>
              <w:top w:w="80" w:type="dxa"/>
              <w:left w:w="100" w:type="dxa"/>
              <w:bottom w:w="80" w:type="dxa"/>
              <w:right w:w="100" w:type="dxa"/>
            </w:tcMar>
          </w:tcPr>
          <w:p>
            <w:r>
              <w:rPr>
                <w:color w:val="000000"/>
                <w:sz w:val="20"/>
                <w:szCs w:val="20"/>
              </w:rPr>
              <w:t xml:space="preserve">Reduce la dispersión de una variable con pocos libros por año</w:t>
            </w:r>
          </w:p>
        </w:tc>
      </w:tr>
      <w:tr>
        <w:tblPrEx>
          <w:tblCellMar>
            <w:top w:w="0" w:type="dxa"/>
            <w:bottom w:w="0" w:type="dxa"/>
          </w:tblCellMar>
        </w:tblPrEx>
        <w:trPr>
          <w:jc w:val="center"/>
        </w:trPr>
        <w:tc>
          <w:tcPr>
            <w:tcW w:w="2200" w:type="dxa"/>
            <w:tcMar>
              <w:top w:w="80" w:type="dxa"/>
              <w:left w:w="100" w:type="dxa"/>
              <w:bottom w:w="80" w:type="dxa"/>
              <w:right w:w="100" w:type="dxa"/>
            </w:tcMar>
          </w:tcPr>
          <w:p>
            <w:r>
              <w:rPr>
                <w:color w:val="000000"/>
                <w:sz w:val="20"/>
                <w:szCs w:val="20"/>
              </w:rPr>
              <w:t xml:space="preserve">Aumentación de datos</w:t>
            </w:r>
          </w:p>
        </w:tc>
        <w:tc>
          <w:tcPr>
            <w:tcW w:w="3800" w:type="dxa"/>
            <w:tcMar>
              <w:top w:w="80" w:type="dxa"/>
              <w:left w:w="100" w:type="dxa"/>
              <w:bottom w:w="80" w:type="dxa"/>
              <w:right w:w="100" w:type="dxa"/>
            </w:tcMar>
          </w:tcPr>
          <w:p>
            <w:r>
              <w:rPr>
                <w:color w:val="000000"/>
                <w:sz w:val="20"/>
                <w:szCs w:val="20"/>
              </w:rPr>
              <w:t xml:space="preserve">No se aplicó</w:t>
            </w:r>
          </w:p>
        </w:tc>
        <w:tc>
          <w:tcPr>
            <w:tcW w:w="4000" w:type="dxa"/>
            <w:tcMar>
              <w:top w:w="80" w:type="dxa"/>
              <w:left w:w="100" w:type="dxa"/>
              <w:bottom w:w="80" w:type="dxa"/>
              <w:right w:w="100" w:type="dxa"/>
            </w:tcMar>
          </w:tcPr>
          <w:p>
            <w:r>
              <w:rPr>
                <w:color w:val="000000"/>
                <w:sz w:val="20"/>
                <w:szCs w:val="20"/>
              </w:rPr>
              <w:t xml:space="preserve">Generar pares sintéticos contaminaría el único conjunto de evaluación (los 105 pares)</w:t>
            </w:r>
          </w:p>
        </w:tc>
      </w:tr>
    </w:tbl>
    <w:p>
      <w:pPr>
        <w:spacing w:after="240"/>
      </w:pPr>
      <w:r>
        <w:rPr>
          <w:i/>
          <w:iCs/>
          <w:color w:val="555555"/>
          <w:sz w:val="18"/>
          <w:szCs w:val="18"/>
        </w:rPr>
        <w:t xml:space="preserve">Tabla 6. Transformaciones aplicadas a los datos y su justificación.</w:t>
      </w:r>
    </w:p>
    <w:p w14:paraId="39DF1B84" w14:textId="77777777" w:rsidR="00B42137" w:rsidRDefault="00000000">
      <w:pPr>
        <w:pStyle w:val="Heading1"/>
      </w:pPr>
      <w:r>
        <w:lastRenderedPageBreak/>
        <w:t>7. Modelación no supervisada: recomendador por similitud de contenido</w:t>
      </w:r>
    </w:p>
    <w:p>
      <w:pPr>
        <w:spacing w:after="160"/>
        <w:jc w:val="both"/>
      </w:pPr>
      <w:r>
        <w:rPr>
          <w:b/>
          <w:bCs/>
        </w:rPr>
        <w:t xml:space="preserve">Tipo de modelación.</w:t>
      </w:r>
      <w:r>
        <w:t xml:space="preserve"> El modelo central es </w:t>
      </w:r>
      <w:r>
        <w:rPr>
          <w:b/>
          <w:bCs/>
        </w:rPr>
        <w:t xml:space="preserve">no supervisado</w:t>
      </w:r>
      <w:r>
        <w:t xml:space="preserve">: ningún parámetro se ajusta con etiquetas. Cada banda y cada libro se representan como un vector en un espacio semántico compartido, usando un modelo de embeddings de oración pre-entrenado (Reimers &amp; Gurevych, 2019, 2020; Wang et al., 2020), y la recomendación se obtiene por similitud coseno, el enfoque clásico de los recomendadores basados en contenido (Lops et al., 2011). Los 105 pares curados funcionan solo como conjunto de prueba y se evalúan con métricas de recuperación de información: rank promedio, Recall@k y MRR (Voorhees, 1999). La corrección de hubness se inspira en la literatura sobre vecinos “hub” en espacios de alta dimensión (Radovanović et al., 2010) y en el criterio CSLS (Conneau et al., 2018). Sobre este modelo central opera un modelo secundario </w:t>
      </w:r>
      <w:r>
        <w:rPr>
          <w:b/>
          <w:bCs/>
        </w:rPr>
        <w:t xml:space="preserve">generativo</w:t>
      </w:r>
      <w:r>
        <w:t xml:space="preserve">, un LLM, descrito en la sección 7.7.</w:t>
      </w:r>
    </w:p>
    <w:p w14:paraId="3F2F5A50" w14:textId="77777777" w:rsidR="00B42137" w:rsidRDefault="00000000">
      <w:pPr>
        <w:pStyle w:val="Heading2"/>
      </w:pPr>
      <w:r>
        <w:t>7.1 Decisión de diseño</w:t>
      </w:r>
    </w:p>
    <w:p w14:paraId="16A89438" w14:textId="77777777" w:rsidR="00B42137" w:rsidRDefault="00000000">
      <w:pPr>
        <w:spacing w:after="160"/>
        <w:jc w:val="both"/>
      </w:pPr>
      <w:r>
        <w:t xml:space="preserve">Con solo 105 pares etiquetados a mano, entrenar una red desde cero (por ejemplo, un dual encoder supervisado) tiene un riesgo alto de memorizar esos 105 casos en vez de aprender un patrón generalizable — no hay suficientes ejemplos para separar entrenamiento y validación de forma confiable. Se optó, en cambio, por un recomendador de similitud de contenido: representar cada libro y cada banda como un vector en un espacio semántico compartido, medir similitud coseno entre ambos lados, y usar los 105 pares únicamente para evaluar qué tan bien funciona esa similitud — nunca para ajustar parámetros de un modelo entrenado.</w:t>
      </w:r>
    </w:p>
    <w:p w14:paraId="5C4AE40F" w14:textId="77777777" w:rsidR="00B42137" w:rsidRDefault="00000000">
      <w:pPr>
        <w:spacing w:after="160"/>
        <w:jc w:val="both"/>
      </w:pPr>
      <w:r>
        <w:t xml:space="preserve">La evaluación, implementada en una función reusable (evalua()) en inkriff_modelado_similitud.ipynb, calcula para cada uno de los 105 pares conocidos en qué posición (rank) queda el elemento correcto del otro lado al ordenar todos los candidatos por similitud, y resume esto en cuatro métricas: rank promedio (comparado contra lo que daría el azar, n/2), Recall@5, Recall@10 y MRR (Mean Reciprocal Rank).</w:t>
      </w:r>
    </w:p>
    <w:p w14:paraId="401C0ABC" w14:textId="77777777" w:rsidR="00B42137" w:rsidRDefault="00000000">
      <w:pPr>
        <w:pStyle w:val="Heading2"/>
      </w:pPr>
      <w:r>
        <w:t>7.2 Enfoque 1 — TF-IDF (línea base)</w:t>
      </w:r>
    </w:p>
    <w:p w14:paraId="0ED4AEBC" w14:textId="77777777" w:rsidR="00B42137" w:rsidRDefault="00000000">
      <w:pPr>
        <w:spacing w:after="160"/>
        <w:jc w:val="both"/>
      </w:pPr>
      <w:r>
        <w:t xml:space="preserve">El primer intento representa el perfil de cada banda (subgénero repetido + sus tags de MusicBrainz) y el perfil de cada libro (categoría + sinopsis limpia) con un TF-IDF conjunto (500 términos, min_df=2), y mide similitud coseno. El resultado es prácticamente indistinguible del azar: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B42137" w14:paraId="70C1B0BE" w14:textId="77777777" w:rsidTr="00C34F0F">
        <w:tblPrEx>
          <w:tblCellMar>
            <w:top w:w="0" w:type="dxa"/>
            <w:bottom w:w="0" w:type="dxa"/>
          </w:tblCellMar>
        </w:tblPrEx>
        <w:trPr>
          <w:jc w:val="center"/>
        </w:trPr>
        <w:tc>
          <w:tcPr>
            <w:tcW w:w="3200" w:type="dxa"/>
            <w:shd w:val="clear" w:color="auto" w:fill="6B2D5C"/>
            <w:tcMar>
              <w:top w:w="80" w:type="dxa"/>
              <w:left w:w="100" w:type="dxa"/>
              <w:bottom w:w="80" w:type="dxa"/>
              <w:right w:w="100" w:type="dxa"/>
            </w:tcMar>
            <w:vAlign w:val="center"/>
          </w:tcPr>
          <w:p w14:paraId="10400D02" w14:textId="77777777" w:rsidR="00B42137" w:rsidRDefault="00000000" w:rsidP="00C34F0F">
            <w:pPr>
              <w:jc w:val="center"/>
            </w:pPr>
            <w:r>
              <w:rPr>
                <w:b/>
                <w:bCs/>
                <w:color w:val="FFFFFF"/>
                <w:sz w:val="20"/>
                <w:szCs w:val="20"/>
              </w:rPr>
              <w:t>Métrica</w:t>
            </w:r>
          </w:p>
        </w:tc>
        <w:tc>
          <w:tcPr>
            <w:tcW w:w="2900" w:type="dxa"/>
            <w:shd w:val="clear" w:color="auto" w:fill="6B2D5C"/>
            <w:tcMar>
              <w:top w:w="80" w:type="dxa"/>
              <w:left w:w="100" w:type="dxa"/>
              <w:bottom w:w="80" w:type="dxa"/>
              <w:right w:w="100" w:type="dxa"/>
            </w:tcMar>
            <w:vAlign w:val="center"/>
          </w:tcPr>
          <w:p w14:paraId="043FCDBD" w14:textId="77777777" w:rsidR="00B42137" w:rsidRDefault="00000000" w:rsidP="00C34F0F">
            <w:pPr>
              <w:jc w:val="center"/>
            </w:pPr>
            <w:r>
              <w:rPr>
                <w:b/>
                <w:bCs/>
                <w:color w:val="FFFFFF"/>
                <w:sz w:val="20"/>
                <w:szCs w:val="20"/>
              </w:rPr>
              <w:t>Banda correcta</w:t>
            </w:r>
          </w:p>
        </w:tc>
        <w:tc>
          <w:tcPr>
            <w:tcW w:w="2900" w:type="dxa"/>
            <w:shd w:val="clear" w:color="auto" w:fill="6B2D5C"/>
            <w:tcMar>
              <w:top w:w="80" w:type="dxa"/>
              <w:left w:w="100" w:type="dxa"/>
              <w:bottom w:w="80" w:type="dxa"/>
              <w:right w:w="100" w:type="dxa"/>
            </w:tcMar>
            <w:vAlign w:val="center"/>
          </w:tcPr>
          <w:p w14:paraId="1EC46E21" w14:textId="77777777" w:rsidR="00B42137" w:rsidRDefault="00000000" w:rsidP="00C34F0F">
            <w:pPr>
              <w:jc w:val="center"/>
            </w:pPr>
            <w:r>
              <w:rPr>
                <w:b/>
                <w:bCs/>
                <w:color w:val="FFFFFF"/>
                <w:sz w:val="20"/>
                <w:szCs w:val="20"/>
              </w:rPr>
              <w:t>Libro correcto</w:t>
            </w:r>
          </w:p>
        </w:tc>
      </w:tr>
      <w:tr w:rsidR="00B42137" w14:paraId="1D4CDC94" w14:textId="77777777" w:rsidTr="00C34F0F">
        <w:tblPrEx>
          <w:tblCellMar>
            <w:top w:w="0" w:type="dxa"/>
            <w:bottom w:w="0" w:type="dxa"/>
          </w:tblCellMar>
        </w:tblPrEx>
        <w:trPr>
          <w:jc w:val="center"/>
        </w:trPr>
        <w:tc>
          <w:tcPr>
            <w:tcW w:w="3200" w:type="dxa"/>
            <w:tcMar>
              <w:top w:w="80" w:type="dxa"/>
              <w:left w:w="100" w:type="dxa"/>
              <w:bottom w:w="80" w:type="dxa"/>
              <w:right w:w="100" w:type="dxa"/>
            </w:tcMar>
            <w:vAlign w:val="center"/>
          </w:tcPr>
          <w:p w14:paraId="51A6512C" w14:textId="77777777" w:rsidR="00B42137" w:rsidRDefault="00000000" w:rsidP="00C34F0F">
            <w:pPr>
              <w:jc w:val="center"/>
            </w:pPr>
            <w:r>
              <w:rPr>
                <w:color w:val="000000"/>
                <w:sz w:val="20"/>
                <w:szCs w:val="20"/>
              </w:rPr>
              <w:t>Rank promedio (azar)</w:t>
            </w:r>
          </w:p>
        </w:tc>
        <w:tc>
          <w:tcPr>
            <w:tcW w:w="2900" w:type="dxa"/>
            <w:tcMar>
              <w:top w:w="80" w:type="dxa"/>
              <w:left w:w="100" w:type="dxa"/>
              <w:bottom w:w="80" w:type="dxa"/>
              <w:right w:w="100" w:type="dxa"/>
            </w:tcMar>
            <w:vAlign w:val="center"/>
          </w:tcPr>
          <w:p w14:paraId="7484F167" w14:textId="77777777" w:rsidR="00B42137" w:rsidRDefault="00000000" w:rsidP="00C34F0F">
            <w:pPr>
              <w:jc w:val="center"/>
            </w:pPr>
            <w:r>
              <w:rPr>
                <w:color w:val="000000"/>
                <w:sz w:val="20"/>
                <w:szCs w:val="20"/>
              </w:rPr>
              <w:t>44.4 (azar 40.5)</w:t>
            </w:r>
          </w:p>
        </w:tc>
        <w:tc>
          <w:tcPr>
            <w:tcW w:w="2900" w:type="dxa"/>
            <w:tcMar>
              <w:top w:w="80" w:type="dxa"/>
              <w:left w:w="100" w:type="dxa"/>
              <w:bottom w:w="80" w:type="dxa"/>
              <w:right w:w="100" w:type="dxa"/>
            </w:tcMar>
            <w:vAlign w:val="center"/>
          </w:tcPr>
          <w:p w14:paraId="2B2DF641" w14:textId="77777777" w:rsidR="00B42137" w:rsidRDefault="00000000" w:rsidP="00C34F0F">
            <w:pPr>
              <w:jc w:val="center"/>
            </w:pPr>
            <w:r>
              <w:rPr>
                <w:color w:val="000000"/>
                <w:sz w:val="20"/>
                <w:szCs w:val="20"/>
              </w:rPr>
              <w:t>54.5 (azar 56.0)</w:t>
            </w:r>
          </w:p>
        </w:tc>
      </w:tr>
      <w:tr w:rsidR="00B42137" w14:paraId="32D30FE5" w14:textId="77777777" w:rsidTr="00C34F0F">
        <w:tblPrEx>
          <w:tblCellMar>
            <w:top w:w="0" w:type="dxa"/>
            <w:bottom w:w="0" w:type="dxa"/>
          </w:tblCellMar>
        </w:tblPrEx>
        <w:trPr>
          <w:jc w:val="center"/>
        </w:trPr>
        <w:tc>
          <w:tcPr>
            <w:tcW w:w="3200" w:type="dxa"/>
            <w:tcMar>
              <w:top w:w="80" w:type="dxa"/>
              <w:left w:w="100" w:type="dxa"/>
              <w:bottom w:w="80" w:type="dxa"/>
              <w:right w:w="100" w:type="dxa"/>
            </w:tcMar>
            <w:vAlign w:val="center"/>
          </w:tcPr>
          <w:p w14:paraId="28B6DFC0" w14:textId="77777777" w:rsidR="00B42137" w:rsidRDefault="00000000" w:rsidP="00C34F0F">
            <w:pPr>
              <w:jc w:val="center"/>
            </w:pPr>
            <w:r>
              <w:rPr>
                <w:color w:val="000000"/>
                <w:sz w:val="20"/>
                <w:szCs w:val="20"/>
              </w:rPr>
              <w:t>Recall@5</w:t>
            </w:r>
          </w:p>
        </w:tc>
        <w:tc>
          <w:tcPr>
            <w:tcW w:w="2900" w:type="dxa"/>
            <w:tcMar>
              <w:top w:w="80" w:type="dxa"/>
              <w:left w:w="100" w:type="dxa"/>
              <w:bottom w:w="80" w:type="dxa"/>
              <w:right w:w="100" w:type="dxa"/>
            </w:tcMar>
            <w:vAlign w:val="center"/>
          </w:tcPr>
          <w:p w14:paraId="0AB29541" w14:textId="77777777" w:rsidR="00B42137" w:rsidRDefault="00000000" w:rsidP="00C34F0F">
            <w:pPr>
              <w:jc w:val="center"/>
            </w:pPr>
            <w:r>
              <w:rPr>
                <w:color w:val="000000"/>
                <w:sz w:val="20"/>
                <w:szCs w:val="20"/>
              </w:rPr>
              <w:t>5.7%</w:t>
            </w:r>
          </w:p>
        </w:tc>
        <w:tc>
          <w:tcPr>
            <w:tcW w:w="2900" w:type="dxa"/>
            <w:tcMar>
              <w:top w:w="80" w:type="dxa"/>
              <w:left w:w="100" w:type="dxa"/>
              <w:bottom w:w="80" w:type="dxa"/>
              <w:right w:w="100" w:type="dxa"/>
            </w:tcMar>
            <w:vAlign w:val="center"/>
          </w:tcPr>
          <w:p w14:paraId="0014A38D" w14:textId="77777777" w:rsidR="00B42137" w:rsidRDefault="00000000" w:rsidP="00C34F0F">
            <w:pPr>
              <w:jc w:val="center"/>
            </w:pPr>
            <w:r>
              <w:rPr>
                <w:color w:val="000000"/>
                <w:sz w:val="20"/>
                <w:szCs w:val="20"/>
              </w:rPr>
              <w:t>8.6%</w:t>
            </w:r>
          </w:p>
        </w:tc>
      </w:tr>
      <w:tr w:rsidR="00B42137" w14:paraId="79744599" w14:textId="77777777" w:rsidTr="00C34F0F">
        <w:tblPrEx>
          <w:tblCellMar>
            <w:top w:w="0" w:type="dxa"/>
            <w:bottom w:w="0" w:type="dxa"/>
          </w:tblCellMar>
        </w:tblPrEx>
        <w:trPr>
          <w:jc w:val="center"/>
        </w:trPr>
        <w:tc>
          <w:tcPr>
            <w:tcW w:w="3200" w:type="dxa"/>
            <w:tcMar>
              <w:top w:w="80" w:type="dxa"/>
              <w:left w:w="100" w:type="dxa"/>
              <w:bottom w:w="80" w:type="dxa"/>
              <w:right w:w="100" w:type="dxa"/>
            </w:tcMar>
            <w:vAlign w:val="center"/>
          </w:tcPr>
          <w:p w14:paraId="66159C75" w14:textId="77777777" w:rsidR="00B42137" w:rsidRDefault="00000000" w:rsidP="00C34F0F">
            <w:pPr>
              <w:jc w:val="center"/>
            </w:pPr>
            <w:r>
              <w:rPr>
                <w:color w:val="000000"/>
                <w:sz w:val="20"/>
                <w:szCs w:val="20"/>
              </w:rPr>
              <w:t>Recall@10</w:t>
            </w:r>
          </w:p>
        </w:tc>
        <w:tc>
          <w:tcPr>
            <w:tcW w:w="2900" w:type="dxa"/>
            <w:tcMar>
              <w:top w:w="80" w:type="dxa"/>
              <w:left w:w="100" w:type="dxa"/>
              <w:bottom w:w="80" w:type="dxa"/>
              <w:right w:w="100" w:type="dxa"/>
            </w:tcMar>
            <w:vAlign w:val="center"/>
          </w:tcPr>
          <w:p w14:paraId="66201AEE" w14:textId="77777777" w:rsidR="00B42137" w:rsidRDefault="00000000" w:rsidP="00C34F0F">
            <w:pPr>
              <w:jc w:val="center"/>
            </w:pPr>
            <w:r>
              <w:rPr>
                <w:color w:val="000000"/>
                <w:sz w:val="20"/>
                <w:szCs w:val="20"/>
              </w:rPr>
              <w:t>13.3%</w:t>
            </w:r>
          </w:p>
        </w:tc>
        <w:tc>
          <w:tcPr>
            <w:tcW w:w="2900" w:type="dxa"/>
            <w:tcMar>
              <w:top w:w="80" w:type="dxa"/>
              <w:left w:w="100" w:type="dxa"/>
              <w:bottom w:w="80" w:type="dxa"/>
              <w:right w:w="100" w:type="dxa"/>
            </w:tcMar>
            <w:vAlign w:val="center"/>
          </w:tcPr>
          <w:p w14:paraId="78B601E9" w14:textId="77777777" w:rsidR="00B42137" w:rsidRDefault="00000000" w:rsidP="00C34F0F">
            <w:pPr>
              <w:jc w:val="center"/>
            </w:pPr>
            <w:r>
              <w:rPr>
                <w:color w:val="000000"/>
                <w:sz w:val="20"/>
                <w:szCs w:val="20"/>
              </w:rPr>
              <w:t>12.4%</w:t>
            </w:r>
          </w:p>
        </w:tc>
      </w:tr>
      <w:tr w:rsidR="00B42137" w14:paraId="7B87A2D3" w14:textId="77777777" w:rsidTr="00C34F0F">
        <w:tblPrEx>
          <w:tblCellMar>
            <w:top w:w="0" w:type="dxa"/>
            <w:bottom w:w="0" w:type="dxa"/>
          </w:tblCellMar>
        </w:tblPrEx>
        <w:trPr>
          <w:jc w:val="center"/>
        </w:trPr>
        <w:tc>
          <w:tcPr>
            <w:tcW w:w="3200" w:type="dxa"/>
            <w:tcMar>
              <w:top w:w="80" w:type="dxa"/>
              <w:left w:w="100" w:type="dxa"/>
              <w:bottom w:w="80" w:type="dxa"/>
              <w:right w:w="100" w:type="dxa"/>
            </w:tcMar>
            <w:vAlign w:val="center"/>
          </w:tcPr>
          <w:p w14:paraId="7C9EE575" w14:textId="77777777" w:rsidR="00B42137" w:rsidRDefault="00000000" w:rsidP="00C34F0F">
            <w:pPr>
              <w:jc w:val="center"/>
            </w:pPr>
            <w:r>
              <w:rPr>
                <w:color w:val="000000"/>
                <w:sz w:val="20"/>
                <w:szCs w:val="20"/>
              </w:rPr>
              <w:t>MRR</w:t>
            </w:r>
          </w:p>
        </w:tc>
        <w:tc>
          <w:tcPr>
            <w:tcW w:w="2900" w:type="dxa"/>
            <w:tcMar>
              <w:top w:w="80" w:type="dxa"/>
              <w:left w:w="100" w:type="dxa"/>
              <w:bottom w:w="80" w:type="dxa"/>
              <w:right w:w="100" w:type="dxa"/>
            </w:tcMar>
            <w:vAlign w:val="center"/>
          </w:tcPr>
          <w:p w14:paraId="76D5A27A" w14:textId="77777777" w:rsidR="00B42137" w:rsidRDefault="00000000" w:rsidP="00C34F0F">
            <w:pPr>
              <w:jc w:val="center"/>
            </w:pPr>
            <w:r>
              <w:rPr>
                <w:color w:val="000000"/>
                <w:sz w:val="20"/>
                <w:szCs w:val="20"/>
              </w:rPr>
              <w:t>0.064</w:t>
            </w:r>
          </w:p>
        </w:tc>
        <w:tc>
          <w:tcPr>
            <w:tcW w:w="2900" w:type="dxa"/>
            <w:tcMar>
              <w:top w:w="80" w:type="dxa"/>
              <w:left w:w="100" w:type="dxa"/>
              <w:bottom w:w="80" w:type="dxa"/>
              <w:right w:w="100" w:type="dxa"/>
            </w:tcMar>
            <w:vAlign w:val="center"/>
          </w:tcPr>
          <w:p w14:paraId="7CC70E97" w14:textId="77777777" w:rsidR="00B42137" w:rsidRDefault="00000000" w:rsidP="00C34F0F">
            <w:pPr>
              <w:jc w:val="center"/>
            </w:pPr>
            <w:r>
              <w:rPr>
                <w:color w:val="000000"/>
                <w:sz w:val="20"/>
                <w:szCs w:val="20"/>
              </w:rPr>
              <w:t>0.065</w:t>
            </w:r>
          </w:p>
        </w:tc>
      </w:tr>
    </w:tbl>
    <w:p w14:paraId="1D7E6F1E" w14:textId="77777777" w:rsidR="00B42137" w:rsidRDefault="00000000">
      <w:pPr>
        <w:spacing w:after="240"/>
      </w:pPr>
      <w:r>
        <w:rPr>
          <w:i/>
          <w:iCs/>
          <w:color w:val="555555"/>
          <w:sz w:val="18"/>
          <w:szCs w:val="18"/>
        </w:rPr>
        <w:t>Tabla 7. Resultados del enfoque TF-IDF sobre los 105 pares conocidos.</w:t>
      </w:r>
    </w:p>
    <w:p w14:paraId="16798C1F" w14:textId="77777777" w:rsidR="00B42137" w:rsidRDefault="00000000">
      <w:pPr>
        <w:spacing w:after="160"/>
        <w:jc w:val="both"/>
      </w:pPr>
      <w:r>
        <w:t xml:space="preserve">Este resultado no es un error de código: es evidencia real de que el vocabulario de tags musicales (“power metal”, “gothic”, “djent”) casi nunca coincide literalmente con las palabras de una sinopsis de libro (“guerra”, “reino”, “espada”). TF-IDF solo puede detectar coincidencias exactas de palabras, y entre estos dos dominios casi no las hay.</w:t>
      </w:r>
    </w:p>
    <w:p w14:paraId="500139E8" w14:textId="77777777" w:rsidR="00B42137" w:rsidRDefault="00000000">
      <w:pPr>
        <w:pStyle w:val="Heading2"/>
      </w:pPr>
      <w:r>
        <w:t xml:space="preserve">7.3 Enfoque 2 — Embeddings de oración pre-entrenados (multilingüe)</w:t>
      </w:r>
    </w:p>
    <w:p w14:paraId="5A175F68" w14:textId="77777777" w:rsidR="00B42137" w:rsidRDefault="00000000">
      <w:pPr>
        <w:spacing w:after="160"/>
        <w:jc w:val="both"/>
      </w:pPr>
      <w:r>
        <w:t xml:space="preserve">Para capturar similitud semántica y no solo léxica, se codificó el mismo texto con un modelo de embeddings de oración pre-entrenado y multilingüe (paraphrase-multilingual-MiniLM-L12-v2, vía la librería sentence-transformers, corrido en Google Colab por requerir descargar el modelo). No se entrena nada: el modelo ya viene ajustado, solo se usa para codificar texto, por lo que la decisión de no entrenar una red desde cero (7.1) se mantiene.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B42137" w14:paraId="2A3A9C86" w14:textId="77777777" w:rsidTr="00C34F0F">
        <w:tblPrEx>
          <w:tblCellMar>
            <w:top w:w="0" w:type="dxa"/>
            <w:bottom w:w="0" w:type="dxa"/>
          </w:tblCellMar>
        </w:tblPrEx>
        <w:trPr>
          <w:jc w:val="center"/>
        </w:trPr>
        <w:tc>
          <w:tcPr>
            <w:tcW w:w="3200" w:type="dxa"/>
            <w:shd w:val="clear" w:color="auto" w:fill="6B2D5C"/>
            <w:tcMar>
              <w:top w:w="80" w:type="dxa"/>
              <w:left w:w="100" w:type="dxa"/>
              <w:bottom w:w="80" w:type="dxa"/>
              <w:right w:w="100" w:type="dxa"/>
            </w:tcMar>
            <w:vAlign w:val="center"/>
          </w:tcPr>
          <w:p w14:paraId="4DB408B9" w14:textId="77777777" w:rsidR="00B42137" w:rsidRDefault="00000000" w:rsidP="00C34F0F">
            <w:pPr>
              <w:jc w:val="center"/>
            </w:pPr>
            <w:r>
              <w:rPr>
                <w:b/>
                <w:bCs/>
                <w:color w:val="FFFFFF"/>
                <w:sz w:val="20"/>
                <w:szCs w:val="20"/>
              </w:rPr>
              <w:t>Métrica</w:t>
            </w:r>
          </w:p>
        </w:tc>
        <w:tc>
          <w:tcPr>
            <w:tcW w:w="2900" w:type="dxa"/>
            <w:shd w:val="clear" w:color="auto" w:fill="6B2D5C"/>
            <w:tcMar>
              <w:top w:w="80" w:type="dxa"/>
              <w:left w:w="100" w:type="dxa"/>
              <w:bottom w:w="80" w:type="dxa"/>
              <w:right w:w="100" w:type="dxa"/>
            </w:tcMar>
            <w:vAlign w:val="center"/>
          </w:tcPr>
          <w:p w14:paraId="0EBF8949" w14:textId="77777777" w:rsidR="00B42137" w:rsidRDefault="00000000" w:rsidP="00C34F0F">
            <w:pPr>
              <w:jc w:val="center"/>
            </w:pPr>
            <w:r>
              <w:rPr>
                <w:b/>
                <w:bCs/>
                <w:color w:val="FFFFFF"/>
                <w:sz w:val="20"/>
                <w:szCs w:val="20"/>
              </w:rPr>
              <w:t>Banda correcta</w:t>
            </w:r>
          </w:p>
        </w:tc>
        <w:tc>
          <w:tcPr>
            <w:tcW w:w="2900" w:type="dxa"/>
            <w:shd w:val="clear" w:color="auto" w:fill="6B2D5C"/>
            <w:tcMar>
              <w:top w:w="80" w:type="dxa"/>
              <w:left w:w="100" w:type="dxa"/>
              <w:bottom w:w="80" w:type="dxa"/>
              <w:right w:w="100" w:type="dxa"/>
            </w:tcMar>
            <w:vAlign w:val="center"/>
          </w:tcPr>
          <w:p w14:paraId="65027475" w14:textId="77777777" w:rsidR="00B42137" w:rsidRDefault="00000000" w:rsidP="00C34F0F">
            <w:pPr>
              <w:jc w:val="center"/>
            </w:pPr>
            <w:r>
              <w:rPr>
                <w:b/>
                <w:bCs/>
                <w:color w:val="FFFFFF"/>
                <w:sz w:val="20"/>
                <w:szCs w:val="20"/>
              </w:rPr>
              <w:t>Libro correcto</w:t>
            </w:r>
          </w:p>
        </w:tc>
      </w:tr>
      <w:tr w:rsidR="00B42137" w14:paraId="072269C5" w14:textId="77777777" w:rsidTr="00C34F0F">
        <w:tblPrEx>
          <w:tblCellMar>
            <w:top w:w="0" w:type="dxa"/>
            <w:bottom w:w="0" w:type="dxa"/>
          </w:tblCellMar>
        </w:tblPrEx>
        <w:trPr>
          <w:jc w:val="center"/>
        </w:trPr>
        <w:tc>
          <w:tcPr>
            <w:tcW w:w="3200" w:type="dxa"/>
            <w:tcMar>
              <w:top w:w="80" w:type="dxa"/>
              <w:left w:w="100" w:type="dxa"/>
              <w:bottom w:w="80" w:type="dxa"/>
              <w:right w:w="100" w:type="dxa"/>
            </w:tcMar>
            <w:vAlign w:val="center"/>
          </w:tcPr>
          <w:p w14:paraId="2593895D" w14:textId="77777777" w:rsidR="00B42137" w:rsidRDefault="00000000" w:rsidP="00C34F0F">
            <w:pPr>
              <w:jc w:val="center"/>
            </w:pPr>
            <w:r>
              <w:rPr>
                <w:color w:val="000000"/>
                <w:sz w:val="20"/>
                <w:szCs w:val="20"/>
              </w:rPr>
              <w:t>Rank promedio (azar)</w:t>
            </w:r>
          </w:p>
        </w:tc>
        <w:tc>
          <w:tcPr>
            <w:tcW w:w="2900" w:type="dxa"/>
            <w:tcMar>
              <w:top w:w="80" w:type="dxa"/>
              <w:left w:w="100" w:type="dxa"/>
              <w:bottom w:w="80" w:type="dxa"/>
              <w:right w:w="100" w:type="dxa"/>
            </w:tcMar>
            <w:vAlign w:val="center"/>
          </w:tcPr>
          <w:p w14:paraId="28096F9B" w14:textId="77777777" w:rsidR="00B42137" w:rsidRDefault="00000000" w:rsidP="00C34F0F">
            <w:pPr>
              <w:jc w:val="center"/>
            </w:pPr>
            <w:r>
              <w:rPr>
                <w:color w:val="000000"/>
                <w:sz w:val="20"/>
                <w:szCs w:val="20"/>
              </w:rPr>
              <w:t>37.5 (azar 40.5)</w:t>
            </w:r>
          </w:p>
        </w:tc>
        <w:tc>
          <w:tcPr>
            <w:tcW w:w="2900" w:type="dxa"/>
            <w:tcMar>
              <w:top w:w="80" w:type="dxa"/>
              <w:left w:w="100" w:type="dxa"/>
              <w:bottom w:w="80" w:type="dxa"/>
              <w:right w:w="100" w:type="dxa"/>
            </w:tcMar>
            <w:vAlign w:val="center"/>
          </w:tcPr>
          <w:p w14:paraId="0D0B5757" w14:textId="77777777" w:rsidR="00B42137" w:rsidRDefault="00000000" w:rsidP="00C34F0F">
            <w:pPr>
              <w:jc w:val="center"/>
            </w:pPr>
            <w:r>
              <w:rPr>
                <w:color w:val="000000"/>
                <w:sz w:val="20"/>
                <w:szCs w:val="20"/>
              </w:rPr>
              <w:t>46.2 (azar 56.0)</w:t>
            </w:r>
          </w:p>
        </w:tc>
      </w:tr>
      <w:tr w:rsidR="00B42137" w14:paraId="663535EC" w14:textId="77777777" w:rsidTr="00C34F0F">
        <w:tblPrEx>
          <w:tblCellMar>
            <w:top w:w="0" w:type="dxa"/>
            <w:bottom w:w="0" w:type="dxa"/>
          </w:tblCellMar>
        </w:tblPrEx>
        <w:trPr>
          <w:jc w:val="center"/>
        </w:trPr>
        <w:tc>
          <w:tcPr>
            <w:tcW w:w="3200" w:type="dxa"/>
            <w:tcMar>
              <w:top w:w="80" w:type="dxa"/>
              <w:left w:w="100" w:type="dxa"/>
              <w:bottom w:w="80" w:type="dxa"/>
              <w:right w:w="100" w:type="dxa"/>
            </w:tcMar>
            <w:vAlign w:val="center"/>
          </w:tcPr>
          <w:p w14:paraId="4E4050C7" w14:textId="77777777" w:rsidR="00B42137" w:rsidRDefault="00000000" w:rsidP="00C34F0F">
            <w:pPr>
              <w:jc w:val="center"/>
            </w:pPr>
            <w:r>
              <w:rPr>
                <w:color w:val="000000"/>
                <w:sz w:val="20"/>
                <w:szCs w:val="20"/>
              </w:rPr>
              <w:t>Recall@5</w:t>
            </w:r>
          </w:p>
        </w:tc>
        <w:tc>
          <w:tcPr>
            <w:tcW w:w="2900" w:type="dxa"/>
            <w:tcMar>
              <w:top w:w="80" w:type="dxa"/>
              <w:left w:w="100" w:type="dxa"/>
              <w:bottom w:w="80" w:type="dxa"/>
              <w:right w:w="100" w:type="dxa"/>
            </w:tcMar>
            <w:vAlign w:val="center"/>
          </w:tcPr>
          <w:p w14:paraId="1467D490" w14:textId="77777777" w:rsidR="00B42137" w:rsidRDefault="00000000" w:rsidP="00C34F0F">
            <w:pPr>
              <w:jc w:val="center"/>
            </w:pPr>
            <w:r>
              <w:rPr>
                <w:color w:val="000000"/>
                <w:sz w:val="20"/>
                <w:szCs w:val="20"/>
              </w:rPr>
              <w:t>6.7%</w:t>
            </w:r>
          </w:p>
        </w:tc>
        <w:tc>
          <w:tcPr>
            <w:tcW w:w="2900" w:type="dxa"/>
            <w:tcMar>
              <w:top w:w="80" w:type="dxa"/>
              <w:left w:w="100" w:type="dxa"/>
              <w:bottom w:w="80" w:type="dxa"/>
              <w:right w:w="100" w:type="dxa"/>
            </w:tcMar>
            <w:vAlign w:val="center"/>
          </w:tcPr>
          <w:p w14:paraId="6E524BDC" w14:textId="77777777" w:rsidR="00B42137" w:rsidRDefault="00000000" w:rsidP="00C34F0F">
            <w:pPr>
              <w:jc w:val="center"/>
            </w:pPr>
            <w:r>
              <w:rPr>
                <w:color w:val="000000"/>
                <w:sz w:val="20"/>
                <w:szCs w:val="20"/>
              </w:rPr>
              <w:t>8.6%</w:t>
            </w:r>
          </w:p>
        </w:tc>
      </w:tr>
      <w:tr w:rsidR="00B42137" w14:paraId="08330A20" w14:textId="77777777" w:rsidTr="00C34F0F">
        <w:tblPrEx>
          <w:tblCellMar>
            <w:top w:w="0" w:type="dxa"/>
            <w:bottom w:w="0" w:type="dxa"/>
          </w:tblCellMar>
        </w:tblPrEx>
        <w:trPr>
          <w:jc w:val="center"/>
        </w:trPr>
        <w:tc>
          <w:tcPr>
            <w:tcW w:w="3200" w:type="dxa"/>
            <w:tcMar>
              <w:top w:w="80" w:type="dxa"/>
              <w:left w:w="100" w:type="dxa"/>
              <w:bottom w:w="80" w:type="dxa"/>
              <w:right w:w="100" w:type="dxa"/>
            </w:tcMar>
            <w:vAlign w:val="center"/>
          </w:tcPr>
          <w:p w14:paraId="22629A71" w14:textId="77777777" w:rsidR="00B42137" w:rsidRDefault="00000000" w:rsidP="00C34F0F">
            <w:pPr>
              <w:jc w:val="center"/>
            </w:pPr>
            <w:r>
              <w:rPr>
                <w:color w:val="000000"/>
                <w:sz w:val="20"/>
                <w:szCs w:val="20"/>
              </w:rPr>
              <w:t>Recall@10</w:t>
            </w:r>
          </w:p>
        </w:tc>
        <w:tc>
          <w:tcPr>
            <w:tcW w:w="2900" w:type="dxa"/>
            <w:tcMar>
              <w:top w:w="80" w:type="dxa"/>
              <w:left w:w="100" w:type="dxa"/>
              <w:bottom w:w="80" w:type="dxa"/>
              <w:right w:w="100" w:type="dxa"/>
            </w:tcMar>
            <w:vAlign w:val="center"/>
          </w:tcPr>
          <w:p w14:paraId="3BCBB69F" w14:textId="77777777" w:rsidR="00B42137" w:rsidRDefault="00000000" w:rsidP="00C34F0F">
            <w:pPr>
              <w:jc w:val="center"/>
            </w:pPr>
            <w:r>
              <w:rPr>
                <w:color w:val="000000"/>
                <w:sz w:val="20"/>
                <w:szCs w:val="20"/>
              </w:rPr>
              <w:t>17.1%</w:t>
            </w:r>
          </w:p>
        </w:tc>
        <w:tc>
          <w:tcPr>
            <w:tcW w:w="2900" w:type="dxa"/>
            <w:tcMar>
              <w:top w:w="80" w:type="dxa"/>
              <w:left w:w="100" w:type="dxa"/>
              <w:bottom w:w="80" w:type="dxa"/>
              <w:right w:w="100" w:type="dxa"/>
            </w:tcMar>
            <w:vAlign w:val="center"/>
          </w:tcPr>
          <w:p w14:paraId="1129B5E0" w14:textId="77777777" w:rsidR="00B42137" w:rsidRDefault="00000000" w:rsidP="00C34F0F">
            <w:pPr>
              <w:jc w:val="center"/>
            </w:pPr>
            <w:r>
              <w:rPr>
                <w:color w:val="000000"/>
                <w:sz w:val="20"/>
                <w:szCs w:val="20"/>
              </w:rPr>
              <w:t>13.3%</w:t>
            </w:r>
          </w:p>
        </w:tc>
      </w:tr>
      <w:tr w:rsidR="00B42137" w14:paraId="6B66BFB4" w14:textId="77777777" w:rsidTr="00C34F0F">
        <w:tblPrEx>
          <w:tblCellMar>
            <w:top w:w="0" w:type="dxa"/>
            <w:bottom w:w="0" w:type="dxa"/>
          </w:tblCellMar>
        </w:tblPrEx>
        <w:trPr>
          <w:jc w:val="center"/>
        </w:trPr>
        <w:tc>
          <w:tcPr>
            <w:tcW w:w="3200" w:type="dxa"/>
            <w:tcMar>
              <w:top w:w="80" w:type="dxa"/>
              <w:left w:w="100" w:type="dxa"/>
              <w:bottom w:w="80" w:type="dxa"/>
              <w:right w:w="100" w:type="dxa"/>
            </w:tcMar>
            <w:vAlign w:val="center"/>
          </w:tcPr>
          <w:p w14:paraId="2918267F" w14:textId="77777777" w:rsidR="00B42137" w:rsidRDefault="00000000" w:rsidP="00C34F0F">
            <w:pPr>
              <w:jc w:val="center"/>
            </w:pPr>
            <w:r>
              <w:rPr>
                <w:color w:val="000000"/>
                <w:sz w:val="20"/>
                <w:szCs w:val="20"/>
              </w:rPr>
              <w:t>MRR</w:t>
            </w:r>
          </w:p>
        </w:tc>
        <w:tc>
          <w:tcPr>
            <w:tcW w:w="2900" w:type="dxa"/>
            <w:tcMar>
              <w:top w:w="80" w:type="dxa"/>
              <w:left w:w="100" w:type="dxa"/>
              <w:bottom w:w="80" w:type="dxa"/>
              <w:right w:w="100" w:type="dxa"/>
            </w:tcMar>
            <w:vAlign w:val="center"/>
          </w:tcPr>
          <w:p w14:paraId="1E89AACF" w14:textId="77777777" w:rsidR="00B42137" w:rsidRDefault="00000000" w:rsidP="00C34F0F">
            <w:pPr>
              <w:jc w:val="center"/>
            </w:pPr>
            <w:r>
              <w:rPr>
                <w:color w:val="000000"/>
                <w:sz w:val="20"/>
                <w:szCs w:val="20"/>
              </w:rPr>
              <w:t>0.065</w:t>
            </w:r>
          </w:p>
        </w:tc>
        <w:tc>
          <w:tcPr>
            <w:tcW w:w="2900" w:type="dxa"/>
            <w:tcMar>
              <w:top w:w="80" w:type="dxa"/>
              <w:left w:w="100" w:type="dxa"/>
              <w:bottom w:w="80" w:type="dxa"/>
              <w:right w:w="100" w:type="dxa"/>
            </w:tcMar>
            <w:vAlign w:val="center"/>
          </w:tcPr>
          <w:p w14:paraId="226A846B" w14:textId="77777777" w:rsidR="00B42137" w:rsidRDefault="00000000" w:rsidP="00C34F0F">
            <w:pPr>
              <w:jc w:val="center"/>
            </w:pPr>
            <w:r>
              <w:rPr>
                <w:color w:val="000000"/>
                <w:sz w:val="20"/>
                <w:szCs w:val="20"/>
              </w:rPr>
              <w:t>0.069</w:t>
            </w:r>
          </w:p>
        </w:tc>
      </w:tr>
    </w:tbl>
    <w:p w14:paraId="5FD55D7E" w14:textId="77777777" w:rsidR="00B42137" w:rsidRDefault="00000000">
      <w:pPr>
        <w:spacing w:after="240"/>
      </w:pPr>
      <w:r>
        <w:rPr>
          <w:i/>
          <w:iCs/>
          <w:color w:val="555555"/>
          <w:sz w:val="18"/>
          <w:szCs w:val="18"/>
        </w:rPr>
        <w:t xml:space="preserve">Tabla 8. Resultados del enfoque de embeddings multilingües sobre los 105 pares conocidos.</w:t>
      </w:r>
    </w:p>
    <w:p w14:paraId="1770836B" w14:textId="77777777" w:rsidR="00B42137" w:rsidRDefault="00000000">
      <w:pPr>
        <w:spacing w:after="160"/>
        <w:jc w:val="both"/>
      </w:pPr>
      <w:r>
        <w:lastRenderedPageBreak/>
        <w:t xml:space="preserve">La mejora sobre TF-IDF es real aunque modesta: el rank promedio ya supera al azar en ambos sentidos (antes solo lo hacía marginalmente del lado libro), y Recall@10 sube en ambos sentidos.</w:t>
      </w:r>
    </w:p>
    <w:p w14:paraId="526E4EC7" w14:textId="77777777" w:rsidR="00B42137" w:rsidRDefault="00000000">
      <w:pPr>
        <w:pStyle w:val="Heading2"/>
      </w:pPr>
      <w:r>
        <w:t>7.4 Problema detectado: concentración en “hubs”</w:t>
      </w:r>
    </w:p>
    <w:p w14:paraId="6CD0F6E4" w14:textId="77777777" w:rsidR="00B42137" w:rsidRDefault="00000000" w:rsidP="00EF23A9">
      <w:pPr>
        <w:spacing w:after="160"/>
        <w:jc w:val="both"/>
      </w:pPr>
      <w:r>
        <w:t xml:space="preserve">Al revisar a fondo las recomendaciones reales generadas con el enfoque de embeddings, se encontró un patrón que las métricas agregadas de la sección anterior no capturan: unos pocos libros dominaban el top-5 de una fracción muy grande de bandas, sin relación aparente con su subgénero musical. En la corrida real:</w:t>
      </w:r>
    </w:p>
    <w:p w14:paraId="279C776D" w14:textId="77777777" w:rsidR="00B42137" w:rsidRDefault="00000000" w:rsidP="00EF23A9">
      <w:pPr>
        <w:pStyle w:val="ListParagraph"/>
        <w:numPr>
          <w:ilvl w:val="0"/>
          <w:numId w:val="2"/>
        </w:numPr>
        <w:spacing w:after="80"/>
        <w:jc w:val="both"/>
      </w:pPr>
      <w:r>
        <w:t>“El Señor de los Anillos” aparecía en el top-5 de 41 de 81 bandas (50.6%).</w:t>
      </w:r>
    </w:p>
    <w:p w14:paraId="389E47F8" w14:textId="77777777" w:rsidR="00B42137" w:rsidRDefault="00000000" w:rsidP="00EF23A9">
      <w:pPr>
        <w:pStyle w:val="ListParagraph"/>
        <w:numPr>
          <w:ilvl w:val="0"/>
          <w:numId w:val="2"/>
        </w:numPr>
        <w:spacing w:after="80"/>
        <w:jc w:val="both"/>
      </w:pPr>
      <w:r>
        <w:t>“La guerra de la amapola” en 34 de 81 (42.0%); “Trono de Cristal” en 29.6%; “Eleanor &amp; Park” en 23.5%.</w:t>
      </w:r>
    </w:p>
    <w:p w14:paraId="2B3BD7DA" w14:textId="77777777" w:rsidR="00B42137" w:rsidRDefault="00000000" w:rsidP="00EF23A9">
      <w:pPr>
        <w:spacing w:after="160"/>
        <w:jc w:val="both"/>
      </w:pPr>
      <w:r>
        <w:t>Se identificaron dos causas distintas:</w:t>
      </w:r>
    </w:p>
    <w:p w14:paraId="31D4891C" w14:textId="77777777" w:rsidR="00B42137" w:rsidRDefault="00000000" w:rsidP="00EF23A9">
      <w:pPr>
        <w:pStyle w:val="ListParagraph"/>
        <w:numPr>
          <w:ilvl w:val="0"/>
          <w:numId w:val="2"/>
        </w:numPr>
        <w:spacing w:after="80"/>
        <w:jc w:val="both"/>
      </w:pPr>
      <w:r>
        <w:t>Perfiles degenerados: tres de esos libros (“La guerra de la amapola”, “El priorato del naranjo”, “Rey de cicatrices”) resultaron tener sinopsis vacía — su perfil de texto quedaba reducido a solo la categoría repetida, un texto genérico que superficialmente se parece a todo.</w:t>
      </w:r>
    </w:p>
    <w:p w14:paraId="419CB284" w14:textId="77777777" w:rsidR="00B42137" w:rsidRDefault="00000000" w:rsidP="00EF23A9">
      <w:pPr>
        <w:pStyle w:val="ListParagraph"/>
        <w:numPr>
          <w:ilvl w:val="0"/>
          <w:numId w:val="2"/>
        </w:numPr>
        <w:spacing w:after="80"/>
        <w:jc w:val="both"/>
      </w:pPr>
      <w:r>
        <w:t xml:space="preserve">“Hubness” genuina: otros libros hub (“El Señor de los Anillos”, “Trono de Cristal”, “Eleanor &amp; Park”) sí tenían sinopsis larga y real, y aun así dominaban. Este es un fenómeno conocido en espacios de embeddings de alta dimensión — unos pocos puntos terminan siendo “vecinos cercanos” de casi todo — agravado aquí por la asimetría de longitud entre los perfiles cortos de banda (~10-20 palabras) y las sinopsis largas de libro (~100-300 palabras).</w:t>
      </w:r>
    </w:p>
    <w:p w14:paraId="33794666" w14:textId="77777777" w:rsidR="00B42137" w:rsidRDefault="00000000">
      <w:pPr>
        <w:pStyle w:val="Heading2"/>
      </w:pPr>
      <w:r>
        <w:t>7.5 Corrección aplicada y enfoque final</w:t>
      </w:r>
    </w:p>
    <w:p w14:paraId="4E8E85BB" w14:textId="77777777" w:rsidR="00B42137" w:rsidRDefault="00000000" w:rsidP="00EF23A9">
      <w:pPr>
        <w:spacing w:after="160"/>
        <w:jc w:val="both"/>
      </w:pPr>
      <w:r>
        <w:t xml:space="preserve">Se aplicaron dos correcciones, evaluadas con la misma función evalua() para mantener la comparación justa:</w:t>
      </w:r>
    </w:p>
    <w:p w14:paraId="4CAD2622" w14:textId="77777777" w:rsidR="00B42137" w:rsidRDefault="00000000" w:rsidP="00EF23A9">
      <w:pPr>
        <w:pStyle w:val="ListParagraph"/>
        <w:numPr>
          <w:ilvl w:val="0"/>
          <w:numId w:val="2"/>
        </w:numPr>
        <w:spacing w:after="80"/>
        <w:jc w:val="both"/>
      </w:pPr>
      <w:r>
        <w:t>Exclusión de candidatos degenerados: los 15 libros sin sinopsis se excluyen como candidatos al construir el top-5 final por banda (siguen contando en la evaluación de métricas, para no maquillar los números ocultando los casos difíciles).</w:t>
      </w:r>
    </w:p>
    <w:p w14:paraId="299CBFF8" w14:textId="77777777" w:rsidR="00B42137" w:rsidRDefault="00000000" w:rsidP="00EF23A9">
      <w:pPr>
        <w:pStyle w:val="ListParagraph"/>
        <w:numPr>
          <w:ilvl w:val="0"/>
          <w:numId w:val="2"/>
        </w:numPr>
        <w:spacing w:after="80"/>
        <w:jc w:val="both"/>
      </w:pPr>
      <w:r>
        <w:t xml:space="preserve">Corrección de hubness por centrado: una versión simplificada de “centrado” (en el espíritu de CSLS, una técnica usada en matching cross-lingual de embeddings). A cada similitud se le resta el promedio de similitud de ese libro contra todas las bandas y el promedio de esa banda contra todos los libros. Un libro que “le cae bien a todo el mundo” en promedio pierde puntos: ya no puede ganar solo por ser genérico.</w:t>
      </w:r>
    </w:p>
    <w:p w14:paraId="7D7D49DB" w14:textId="72758297" w:rsidR="00B42137" w:rsidRDefault="00000000">
      <w:pPr>
        <w:spacing w:after="160"/>
        <w:jc w:val="both"/>
      </w:pPr>
      <w:r>
        <w:t xml:space="preserve">El resultado, verificado con la corrida real en Colab, mejoró tanto las métricas de evaluación como — el objetivo original — la concentración de hubs:</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2410"/>
        <w:gridCol w:w="3260"/>
      </w:tblGrid>
      <w:tr w:rsidR="00B42137" w14:paraId="1645E96F" w14:textId="77777777" w:rsidTr="00C34F0F">
        <w:tblPrEx>
          <w:tblCellMar>
            <w:top w:w="0" w:type="dxa"/>
            <w:bottom w:w="0" w:type="dxa"/>
          </w:tblCellMar>
        </w:tblPrEx>
        <w:trPr>
          <w:jc w:val="center"/>
        </w:trPr>
        <w:tc>
          <w:tcPr>
            <w:tcW w:w="3114" w:type="dxa"/>
            <w:shd w:val="clear" w:color="auto" w:fill="6B2D5C"/>
            <w:tcMar>
              <w:top w:w="80" w:type="dxa"/>
              <w:left w:w="100" w:type="dxa"/>
              <w:bottom w:w="80" w:type="dxa"/>
              <w:right w:w="100" w:type="dxa"/>
            </w:tcMar>
            <w:vAlign w:val="center"/>
          </w:tcPr>
          <w:p w14:paraId="4A8762AD" w14:textId="77777777" w:rsidR="00B42137" w:rsidRDefault="00000000" w:rsidP="00C34F0F">
            <w:pPr>
              <w:jc w:val="center"/>
            </w:pPr>
            <w:r>
              <w:rPr>
                <w:b/>
                <w:bCs/>
                <w:color w:val="FFFFFF"/>
                <w:sz w:val="20"/>
                <w:szCs w:val="20"/>
              </w:rPr>
              <w:t>Métrica</w:t>
            </w:r>
          </w:p>
        </w:tc>
        <w:tc>
          <w:tcPr>
            <w:tcW w:w="2410" w:type="dxa"/>
            <w:shd w:val="clear" w:color="auto" w:fill="6B2D5C"/>
            <w:tcMar>
              <w:top w:w="80" w:type="dxa"/>
              <w:left w:w="100" w:type="dxa"/>
              <w:bottom w:w="80" w:type="dxa"/>
              <w:right w:w="100" w:type="dxa"/>
            </w:tcMar>
            <w:vAlign w:val="center"/>
          </w:tcPr>
          <w:p w14:paraId="46E15419" w14:textId="77777777" w:rsidR="00B42137" w:rsidRDefault="00000000" w:rsidP="00C34F0F">
            <w:pPr>
              <w:jc w:val="center"/>
            </w:pPr>
            <w:r>
              <w:rPr>
                <w:b/>
                <w:bCs/>
                <w:color w:val="FFFFFF"/>
                <w:sz w:val="20"/>
                <w:szCs w:val="20"/>
              </w:rPr>
              <w:t xml:space="preserve">Embeddings (sin corregir)</w:t>
            </w:r>
          </w:p>
        </w:tc>
        <w:tc>
          <w:tcPr>
            <w:tcW w:w="3260" w:type="dxa"/>
            <w:shd w:val="clear" w:color="auto" w:fill="6B2D5C"/>
            <w:tcMar>
              <w:top w:w="80" w:type="dxa"/>
              <w:left w:w="100" w:type="dxa"/>
              <w:bottom w:w="80" w:type="dxa"/>
              <w:right w:w="100" w:type="dxa"/>
            </w:tcMar>
            <w:vAlign w:val="center"/>
          </w:tcPr>
          <w:p w14:paraId="4D642756" w14:textId="77777777" w:rsidR="00B42137" w:rsidRDefault="00000000" w:rsidP="00C34F0F">
            <w:pPr>
              <w:jc w:val="center"/>
            </w:pPr>
            <w:r>
              <w:rPr>
                <w:b/>
                <w:bCs/>
                <w:color w:val="FFFFFF"/>
                <w:sz w:val="20"/>
                <w:szCs w:val="20"/>
              </w:rPr>
              <w:t xml:space="preserve">Embeddings + corrección de hubness</w:t>
            </w:r>
          </w:p>
        </w:tc>
      </w:tr>
      <w:tr w:rsidR="00B42137" w14:paraId="6C365F7B" w14:textId="77777777" w:rsidTr="00C34F0F">
        <w:tblPrEx>
          <w:tblCellMar>
            <w:top w:w="0" w:type="dxa"/>
            <w:bottom w:w="0" w:type="dxa"/>
          </w:tblCellMar>
        </w:tblPrEx>
        <w:trPr>
          <w:jc w:val="center"/>
        </w:trPr>
        <w:tc>
          <w:tcPr>
            <w:tcW w:w="3114" w:type="dxa"/>
            <w:tcMar>
              <w:top w:w="80" w:type="dxa"/>
              <w:left w:w="100" w:type="dxa"/>
              <w:bottom w:w="80" w:type="dxa"/>
              <w:right w:w="100" w:type="dxa"/>
            </w:tcMar>
            <w:vAlign w:val="center"/>
          </w:tcPr>
          <w:p w14:paraId="1318FCFA" w14:textId="77777777" w:rsidR="00B42137" w:rsidRDefault="00000000" w:rsidP="00C34F0F">
            <w:pPr>
              <w:jc w:val="center"/>
            </w:pPr>
            <w:r>
              <w:rPr>
                <w:color w:val="000000"/>
                <w:sz w:val="20"/>
                <w:szCs w:val="20"/>
              </w:rPr>
              <w:t>Rank promedio banda (azar 40.5)</w:t>
            </w:r>
          </w:p>
        </w:tc>
        <w:tc>
          <w:tcPr>
            <w:tcW w:w="2410" w:type="dxa"/>
            <w:tcMar>
              <w:top w:w="80" w:type="dxa"/>
              <w:left w:w="100" w:type="dxa"/>
              <w:bottom w:w="80" w:type="dxa"/>
              <w:right w:w="100" w:type="dxa"/>
            </w:tcMar>
            <w:vAlign w:val="center"/>
          </w:tcPr>
          <w:p w14:paraId="40ADB865" w14:textId="77777777" w:rsidR="00B42137" w:rsidRDefault="00000000" w:rsidP="00C34F0F">
            <w:pPr>
              <w:jc w:val="center"/>
            </w:pPr>
            <w:r>
              <w:rPr>
                <w:color w:val="000000"/>
                <w:sz w:val="20"/>
                <w:szCs w:val="20"/>
              </w:rPr>
              <w:t>37.5</w:t>
            </w:r>
          </w:p>
        </w:tc>
        <w:tc>
          <w:tcPr>
            <w:tcW w:w="3260" w:type="dxa"/>
            <w:tcMar>
              <w:top w:w="80" w:type="dxa"/>
              <w:left w:w="100" w:type="dxa"/>
              <w:bottom w:w="80" w:type="dxa"/>
              <w:right w:w="100" w:type="dxa"/>
            </w:tcMar>
            <w:vAlign w:val="center"/>
          </w:tcPr>
          <w:p w14:paraId="6387CFA9" w14:textId="77777777" w:rsidR="00B42137" w:rsidRDefault="00000000" w:rsidP="00C34F0F">
            <w:pPr>
              <w:jc w:val="center"/>
            </w:pPr>
            <w:r>
              <w:rPr>
                <w:color w:val="000000"/>
                <w:sz w:val="20"/>
                <w:szCs w:val="20"/>
              </w:rPr>
              <w:t>34.6</w:t>
            </w:r>
          </w:p>
        </w:tc>
      </w:tr>
      <w:tr w:rsidR="00B42137" w14:paraId="5CAB79DD" w14:textId="77777777" w:rsidTr="00C34F0F">
        <w:tblPrEx>
          <w:tblCellMar>
            <w:top w:w="0" w:type="dxa"/>
            <w:bottom w:w="0" w:type="dxa"/>
          </w:tblCellMar>
        </w:tblPrEx>
        <w:trPr>
          <w:jc w:val="center"/>
        </w:trPr>
        <w:tc>
          <w:tcPr>
            <w:tcW w:w="3114" w:type="dxa"/>
            <w:tcMar>
              <w:top w:w="80" w:type="dxa"/>
              <w:left w:w="100" w:type="dxa"/>
              <w:bottom w:w="80" w:type="dxa"/>
              <w:right w:w="100" w:type="dxa"/>
            </w:tcMar>
            <w:vAlign w:val="center"/>
          </w:tcPr>
          <w:p w14:paraId="7CF9F0C2" w14:textId="77777777" w:rsidR="00B42137" w:rsidRDefault="00000000" w:rsidP="00C34F0F">
            <w:pPr>
              <w:jc w:val="center"/>
            </w:pPr>
            <w:r>
              <w:rPr>
                <w:color w:val="000000"/>
                <w:sz w:val="20"/>
                <w:szCs w:val="20"/>
              </w:rPr>
              <w:t>Recall@5 banda</w:t>
            </w:r>
          </w:p>
        </w:tc>
        <w:tc>
          <w:tcPr>
            <w:tcW w:w="2410" w:type="dxa"/>
            <w:tcMar>
              <w:top w:w="80" w:type="dxa"/>
              <w:left w:w="100" w:type="dxa"/>
              <w:bottom w:w="80" w:type="dxa"/>
              <w:right w:w="100" w:type="dxa"/>
            </w:tcMar>
            <w:vAlign w:val="center"/>
          </w:tcPr>
          <w:p w14:paraId="1B964514" w14:textId="77777777" w:rsidR="00B42137" w:rsidRDefault="00000000" w:rsidP="00C34F0F">
            <w:pPr>
              <w:jc w:val="center"/>
            </w:pPr>
            <w:r>
              <w:rPr>
                <w:color w:val="000000"/>
                <w:sz w:val="20"/>
                <w:szCs w:val="20"/>
              </w:rPr>
              <w:t>6.7%</w:t>
            </w:r>
          </w:p>
        </w:tc>
        <w:tc>
          <w:tcPr>
            <w:tcW w:w="3260" w:type="dxa"/>
            <w:tcMar>
              <w:top w:w="80" w:type="dxa"/>
              <w:left w:w="100" w:type="dxa"/>
              <w:bottom w:w="80" w:type="dxa"/>
              <w:right w:w="100" w:type="dxa"/>
            </w:tcMar>
            <w:vAlign w:val="center"/>
          </w:tcPr>
          <w:p w14:paraId="6EE4DAD1" w14:textId="77777777" w:rsidR="00B42137" w:rsidRDefault="00000000" w:rsidP="00C34F0F">
            <w:pPr>
              <w:jc w:val="center"/>
            </w:pPr>
            <w:r>
              <w:rPr>
                <w:color w:val="000000"/>
                <w:sz w:val="20"/>
                <w:szCs w:val="20"/>
              </w:rPr>
              <w:t>10.5%</w:t>
            </w:r>
          </w:p>
        </w:tc>
      </w:tr>
      <w:tr w:rsidR="00B42137" w14:paraId="71A9D391" w14:textId="77777777" w:rsidTr="00C34F0F">
        <w:tblPrEx>
          <w:tblCellMar>
            <w:top w:w="0" w:type="dxa"/>
            <w:bottom w:w="0" w:type="dxa"/>
          </w:tblCellMar>
        </w:tblPrEx>
        <w:trPr>
          <w:jc w:val="center"/>
        </w:trPr>
        <w:tc>
          <w:tcPr>
            <w:tcW w:w="3114" w:type="dxa"/>
            <w:tcMar>
              <w:top w:w="80" w:type="dxa"/>
              <w:left w:w="100" w:type="dxa"/>
              <w:bottom w:w="80" w:type="dxa"/>
              <w:right w:w="100" w:type="dxa"/>
            </w:tcMar>
            <w:vAlign w:val="center"/>
          </w:tcPr>
          <w:p w14:paraId="396EE987" w14:textId="77777777" w:rsidR="00B42137" w:rsidRDefault="00000000" w:rsidP="00C34F0F">
            <w:pPr>
              <w:jc w:val="center"/>
            </w:pPr>
            <w:r>
              <w:rPr>
                <w:color w:val="000000"/>
                <w:sz w:val="20"/>
                <w:szCs w:val="20"/>
              </w:rPr>
              <w:t>Recall@10 banda</w:t>
            </w:r>
          </w:p>
        </w:tc>
        <w:tc>
          <w:tcPr>
            <w:tcW w:w="2410" w:type="dxa"/>
            <w:tcMar>
              <w:top w:w="80" w:type="dxa"/>
              <w:left w:w="100" w:type="dxa"/>
              <w:bottom w:w="80" w:type="dxa"/>
              <w:right w:w="100" w:type="dxa"/>
            </w:tcMar>
            <w:vAlign w:val="center"/>
          </w:tcPr>
          <w:p w14:paraId="6F01BC80" w14:textId="77777777" w:rsidR="00B42137" w:rsidRDefault="00000000" w:rsidP="00C34F0F">
            <w:pPr>
              <w:jc w:val="center"/>
            </w:pPr>
            <w:r>
              <w:rPr>
                <w:color w:val="000000"/>
                <w:sz w:val="20"/>
                <w:szCs w:val="20"/>
              </w:rPr>
              <w:t>17.1%</w:t>
            </w:r>
          </w:p>
        </w:tc>
        <w:tc>
          <w:tcPr>
            <w:tcW w:w="3260" w:type="dxa"/>
            <w:tcMar>
              <w:top w:w="80" w:type="dxa"/>
              <w:left w:w="100" w:type="dxa"/>
              <w:bottom w:w="80" w:type="dxa"/>
              <w:right w:w="100" w:type="dxa"/>
            </w:tcMar>
            <w:vAlign w:val="center"/>
          </w:tcPr>
          <w:p w14:paraId="30A98040" w14:textId="77777777" w:rsidR="00B42137" w:rsidRDefault="00000000" w:rsidP="00C34F0F">
            <w:pPr>
              <w:jc w:val="center"/>
            </w:pPr>
            <w:r>
              <w:rPr>
                <w:color w:val="000000"/>
                <w:sz w:val="20"/>
                <w:szCs w:val="20"/>
              </w:rPr>
              <w:t>18.1%</w:t>
            </w:r>
          </w:p>
        </w:tc>
      </w:tr>
      <w:tr w:rsidR="00B42137" w14:paraId="6EE6EC17" w14:textId="77777777" w:rsidTr="00C34F0F">
        <w:tblPrEx>
          <w:tblCellMar>
            <w:top w:w="0" w:type="dxa"/>
            <w:bottom w:w="0" w:type="dxa"/>
          </w:tblCellMar>
        </w:tblPrEx>
        <w:trPr>
          <w:jc w:val="center"/>
        </w:trPr>
        <w:tc>
          <w:tcPr>
            <w:tcW w:w="3114" w:type="dxa"/>
            <w:tcMar>
              <w:top w:w="80" w:type="dxa"/>
              <w:left w:w="100" w:type="dxa"/>
              <w:bottom w:w="80" w:type="dxa"/>
              <w:right w:w="100" w:type="dxa"/>
            </w:tcMar>
            <w:vAlign w:val="center"/>
          </w:tcPr>
          <w:p w14:paraId="1B2643FC" w14:textId="77777777" w:rsidR="00B42137" w:rsidRDefault="00000000" w:rsidP="00C34F0F">
            <w:pPr>
              <w:jc w:val="center"/>
            </w:pPr>
            <w:r>
              <w:rPr>
                <w:color w:val="000000"/>
                <w:sz w:val="20"/>
                <w:szCs w:val="20"/>
              </w:rPr>
              <w:t>MRR banda</w:t>
            </w:r>
          </w:p>
        </w:tc>
        <w:tc>
          <w:tcPr>
            <w:tcW w:w="2410" w:type="dxa"/>
            <w:tcMar>
              <w:top w:w="80" w:type="dxa"/>
              <w:left w:w="100" w:type="dxa"/>
              <w:bottom w:w="80" w:type="dxa"/>
              <w:right w:w="100" w:type="dxa"/>
            </w:tcMar>
            <w:vAlign w:val="center"/>
          </w:tcPr>
          <w:p w14:paraId="260ADA03" w14:textId="77777777" w:rsidR="00B42137" w:rsidRDefault="00000000" w:rsidP="00C34F0F">
            <w:pPr>
              <w:jc w:val="center"/>
            </w:pPr>
            <w:r>
              <w:rPr>
                <w:color w:val="000000"/>
                <w:sz w:val="20"/>
                <w:szCs w:val="20"/>
              </w:rPr>
              <w:t>0.065</w:t>
            </w:r>
          </w:p>
        </w:tc>
        <w:tc>
          <w:tcPr>
            <w:tcW w:w="3260" w:type="dxa"/>
            <w:tcMar>
              <w:top w:w="80" w:type="dxa"/>
              <w:left w:w="100" w:type="dxa"/>
              <w:bottom w:w="80" w:type="dxa"/>
              <w:right w:w="100" w:type="dxa"/>
            </w:tcMar>
            <w:vAlign w:val="center"/>
          </w:tcPr>
          <w:p w14:paraId="095A792A" w14:textId="77777777" w:rsidR="00B42137" w:rsidRDefault="00000000" w:rsidP="00C34F0F">
            <w:pPr>
              <w:jc w:val="center"/>
            </w:pPr>
            <w:r>
              <w:rPr>
                <w:color w:val="000000"/>
                <w:sz w:val="20"/>
                <w:szCs w:val="20"/>
              </w:rPr>
              <w:t>0.083</w:t>
            </w:r>
          </w:p>
        </w:tc>
      </w:tr>
      <w:tr w:rsidR="00B42137" w14:paraId="685C1F8B" w14:textId="77777777" w:rsidTr="00C34F0F">
        <w:tblPrEx>
          <w:tblCellMar>
            <w:top w:w="0" w:type="dxa"/>
            <w:bottom w:w="0" w:type="dxa"/>
          </w:tblCellMar>
        </w:tblPrEx>
        <w:trPr>
          <w:jc w:val="center"/>
        </w:trPr>
        <w:tc>
          <w:tcPr>
            <w:tcW w:w="3114" w:type="dxa"/>
            <w:tcMar>
              <w:top w:w="80" w:type="dxa"/>
              <w:left w:w="100" w:type="dxa"/>
              <w:bottom w:w="80" w:type="dxa"/>
              <w:right w:w="100" w:type="dxa"/>
            </w:tcMar>
            <w:vAlign w:val="center"/>
          </w:tcPr>
          <w:p w14:paraId="2BFC1229" w14:textId="77777777" w:rsidR="00B42137" w:rsidRDefault="00000000" w:rsidP="00C34F0F">
            <w:pPr>
              <w:jc w:val="center"/>
            </w:pPr>
            <w:r>
              <w:rPr>
                <w:color w:val="000000"/>
                <w:sz w:val="20"/>
                <w:szCs w:val="20"/>
              </w:rPr>
              <w:t>Rank promedio libro (azar 56.0)</w:t>
            </w:r>
          </w:p>
        </w:tc>
        <w:tc>
          <w:tcPr>
            <w:tcW w:w="2410" w:type="dxa"/>
            <w:tcMar>
              <w:top w:w="80" w:type="dxa"/>
              <w:left w:w="100" w:type="dxa"/>
              <w:bottom w:w="80" w:type="dxa"/>
              <w:right w:w="100" w:type="dxa"/>
            </w:tcMar>
            <w:vAlign w:val="center"/>
          </w:tcPr>
          <w:p w14:paraId="005186A4" w14:textId="77777777" w:rsidR="00B42137" w:rsidRDefault="00000000" w:rsidP="00C34F0F">
            <w:pPr>
              <w:jc w:val="center"/>
            </w:pPr>
            <w:r>
              <w:rPr>
                <w:color w:val="000000"/>
                <w:sz w:val="20"/>
                <w:szCs w:val="20"/>
              </w:rPr>
              <w:t>46.2</w:t>
            </w:r>
          </w:p>
        </w:tc>
        <w:tc>
          <w:tcPr>
            <w:tcW w:w="3260" w:type="dxa"/>
            <w:tcMar>
              <w:top w:w="80" w:type="dxa"/>
              <w:left w:w="100" w:type="dxa"/>
              <w:bottom w:w="80" w:type="dxa"/>
              <w:right w:w="100" w:type="dxa"/>
            </w:tcMar>
            <w:vAlign w:val="center"/>
          </w:tcPr>
          <w:p w14:paraId="52A6E997" w14:textId="77777777" w:rsidR="00B42137" w:rsidRDefault="00000000" w:rsidP="00C34F0F">
            <w:pPr>
              <w:jc w:val="center"/>
            </w:pPr>
            <w:r>
              <w:rPr>
                <w:color w:val="000000"/>
                <w:sz w:val="20"/>
                <w:szCs w:val="20"/>
              </w:rPr>
              <w:t>45.9</w:t>
            </w:r>
          </w:p>
        </w:tc>
      </w:tr>
      <w:tr w:rsidR="00B42137" w14:paraId="4F854536" w14:textId="77777777" w:rsidTr="00C34F0F">
        <w:tblPrEx>
          <w:tblCellMar>
            <w:top w:w="0" w:type="dxa"/>
            <w:bottom w:w="0" w:type="dxa"/>
          </w:tblCellMar>
        </w:tblPrEx>
        <w:trPr>
          <w:jc w:val="center"/>
        </w:trPr>
        <w:tc>
          <w:tcPr>
            <w:tcW w:w="3114" w:type="dxa"/>
            <w:tcMar>
              <w:top w:w="80" w:type="dxa"/>
              <w:left w:w="100" w:type="dxa"/>
              <w:bottom w:w="80" w:type="dxa"/>
              <w:right w:w="100" w:type="dxa"/>
            </w:tcMar>
            <w:vAlign w:val="center"/>
          </w:tcPr>
          <w:p w14:paraId="31330FFB" w14:textId="77777777" w:rsidR="00B42137" w:rsidRDefault="00000000" w:rsidP="00C34F0F">
            <w:pPr>
              <w:jc w:val="center"/>
            </w:pPr>
            <w:r>
              <w:rPr>
                <w:color w:val="000000"/>
                <w:sz w:val="20"/>
                <w:szCs w:val="20"/>
              </w:rPr>
              <w:t>Recall@5 libro</w:t>
            </w:r>
          </w:p>
        </w:tc>
        <w:tc>
          <w:tcPr>
            <w:tcW w:w="2410" w:type="dxa"/>
            <w:tcMar>
              <w:top w:w="80" w:type="dxa"/>
              <w:left w:w="100" w:type="dxa"/>
              <w:bottom w:w="80" w:type="dxa"/>
              <w:right w:w="100" w:type="dxa"/>
            </w:tcMar>
            <w:vAlign w:val="center"/>
          </w:tcPr>
          <w:p w14:paraId="0EF8ED06" w14:textId="77777777" w:rsidR="00B42137" w:rsidRDefault="00000000" w:rsidP="00C34F0F">
            <w:pPr>
              <w:jc w:val="center"/>
            </w:pPr>
            <w:r>
              <w:rPr>
                <w:color w:val="000000"/>
                <w:sz w:val="20"/>
                <w:szCs w:val="20"/>
              </w:rPr>
              <w:t>8.6%</w:t>
            </w:r>
          </w:p>
        </w:tc>
        <w:tc>
          <w:tcPr>
            <w:tcW w:w="3260" w:type="dxa"/>
            <w:tcMar>
              <w:top w:w="80" w:type="dxa"/>
              <w:left w:w="100" w:type="dxa"/>
              <w:bottom w:w="80" w:type="dxa"/>
              <w:right w:w="100" w:type="dxa"/>
            </w:tcMar>
            <w:vAlign w:val="center"/>
          </w:tcPr>
          <w:p w14:paraId="7EA9B4AD" w14:textId="77777777" w:rsidR="00B42137" w:rsidRDefault="00000000" w:rsidP="00C34F0F">
            <w:pPr>
              <w:jc w:val="center"/>
            </w:pPr>
            <w:r>
              <w:rPr>
                <w:color w:val="000000"/>
                <w:sz w:val="20"/>
                <w:szCs w:val="20"/>
              </w:rPr>
              <w:t>10.5%</w:t>
            </w:r>
          </w:p>
        </w:tc>
      </w:tr>
      <w:tr w:rsidR="00B42137" w14:paraId="7BEF1936" w14:textId="77777777" w:rsidTr="00C34F0F">
        <w:tblPrEx>
          <w:tblCellMar>
            <w:top w:w="0" w:type="dxa"/>
            <w:bottom w:w="0" w:type="dxa"/>
          </w:tblCellMar>
        </w:tblPrEx>
        <w:trPr>
          <w:jc w:val="center"/>
        </w:trPr>
        <w:tc>
          <w:tcPr>
            <w:tcW w:w="3114" w:type="dxa"/>
            <w:tcMar>
              <w:top w:w="80" w:type="dxa"/>
              <w:left w:w="100" w:type="dxa"/>
              <w:bottom w:w="80" w:type="dxa"/>
              <w:right w:w="100" w:type="dxa"/>
            </w:tcMar>
            <w:vAlign w:val="center"/>
          </w:tcPr>
          <w:p w14:paraId="46BD05E7" w14:textId="77777777" w:rsidR="00B42137" w:rsidRDefault="00000000" w:rsidP="00C34F0F">
            <w:pPr>
              <w:jc w:val="center"/>
            </w:pPr>
            <w:r>
              <w:rPr>
                <w:color w:val="000000"/>
                <w:sz w:val="20"/>
                <w:szCs w:val="20"/>
              </w:rPr>
              <w:t>Recall@10 libro</w:t>
            </w:r>
          </w:p>
        </w:tc>
        <w:tc>
          <w:tcPr>
            <w:tcW w:w="2410" w:type="dxa"/>
            <w:tcMar>
              <w:top w:w="80" w:type="dxa"/>
              <w:left w:w="100" w:type="dxa"/>
              <w:bottom w:w="80" w:type="dxa"/>
              <w:right w:w="100" w:type="dxa"/>
            </w:tcMar>
            <w:vAlign w:val="center"/>
          </w:tcPr>
          <w:p w14:paraId="5C984E3A" w14:textId="77777777" w:rsidR="00B42137" w:rsidRDefault="00000000" w:rsidP="00C34F0F">
            <w:pPr>
              <w:jc w:val="center"/>
            </w:pPr>
            <w:r>
              <w:rPr>
                <w:color w:val="000000"/>
                <w:sz w:val="20"/>
                <w:szCs w:val="20"/>
              </w:rPr>
              <w:t>13.3%</w:t>
            </w:r>
          </w:p>
        </w:tc>
        <w:tc>
          <w:tcPr>
            <w:tcW w:w="3260" w:type="dxa"/>
            <w:tcMar>
              <w:top w:w="80" w:type="dxa"/>
              <w:left w:w="100" w:type="dxa"/>
              <w:bottom w:w="80" w:type="dxa"/>
              <w:right w:w="100" w:type="dxa"/>
            </w:tcMar>
            <w:vAlign w:val="center"/>
          </w:tcPr>
          <w:p w14:paraId="59FDE2B5" w14:textId="77777777" w:rsidR="00B42137" w:rsidRDefault="00000000" w:rsidP="00C34F0F">
            <w:pPr>
              <w:jc w:val="center"/>
            </w:pPr>
            <w:r>
              <w:rPr>
                <w:color w:val="000000"/>
                <w:sz w:val="20"/>
                <w:szCs w:val="20"/>
              </w:rPr>
              <w:t>15.2%</w:t>
            </w:r>
          </w:p>
        </w:tc>
      </w:tr>
      <w:tr w:rsidR="00B42137" w14:paraId="5DCAF85B" w14:textId="77777777" w:rsidTr="00C34F0F">
        <w:tblPrEx>
          <w:tblCellMar>
            <w:top w:w="0" w:type="dxa"/>
            <w:bottom w:w="0" w:type="dxa"/>
          </w:tblCellMar>
        </w:tblPrEx>
        <w:trPr>
          <w:jc w:val="center"/>
        </w:trPr>
        <w:tc>
          <w:tcPr>
            <w:tcW w:w="3114" w:type="dxa"/>
            <w:tcMar>
              <w:top w:w="80" w:type="dxa"/>
              <w:left w:w="100" w:type="dxa"/>
              <w:bottom w:w="80" w:type="dxa"/>
              <w:right w:w="100" w:type="dxa"/>
            </w:tcMar>
            <w:vAlign w:val="center"/>
          </w:tcPr>
          <w:p w14:paraId="1EA71632" w14:textId="77777777" w:rsidR="00B42137" w:rsidRDefault="00000000" w:rsidP="00C34F0F">
            <w:pPr>
              <w:jc w:val="center"/>
            </w:pPr>
            <w:r>
              <w:rPr>
                <w:color w:val="000000"/>
                <w:sz w:val="20"/>
                <w:szCs w:val="20"/>
              </w:rPr>
              <w:t>MRR libro</w:t>
            </w:r>
          </w:p>
        </w:tc>
        <w:tc>
          <w:tcPr>
            <w:tcW w:w="2410" w:type="dxa"/>
            <w:tcMar>
              <w:top w:w="80" w:type="dxa"/>
              <w:left w:w="100" w:type="dxa"/>
              <w:bottom w:w="80" w:type="dxa"/>
              <w:right w:w="100" w:type="dxa"/>
            </w:tcMar>
            <w:vAlign w:val="center"/>
          </w:tcPr>
          <w:p w14:paraId="0B0B2D19" w14:textId="77777777" w:rsidR="00B42137" w:rsidRDefault="00000000" w:rsidP="00C34F0F">
            <w:pPr>
              <w:jc w:val="center"/>
            </w:pPr>
            <w:r>
              <w:rPr>
                <w:color w:val="000000"/>
                <w:sz w:val="20"/>
                <w:szCs w:val="20"/>
              </w:rPr>
              <w:t>0.069</w:t>
            </w:r>
          </w:p>
        </w:tc>
        <w:tc>
          <w:tcPr>
            <w:tcW w:w="3260" w:type="dxa"/>
            <w:tcMar>
              <w:top w:w="80" w:type="dxa"/>
              <w:left w:w="100" w:type="dxa"/>
              <w:bottom w:w="80" w:type="dxa"/>
              <w:right w:w="100" w:type="dxa"/>
            </w:tcMar>
            <w:vAlign w:val="center"/>
          </w:tcPr>
          <w:p w14:paraId="46CDBCA6" w14:textId="77777777" w:rsidR="00B42137" w:rsidRDefault="00000000" w:rsidP="00C34F0F">
            <w:pPr>
              <w:jc w:val="center"/>
            </w:pPr>
            <w:r>
              <w:rPr>
                <w:color w:val="000000"/>
                <w:sz w:val="20"/>
                <w:szCs w:val="20"/>
              </w:rPr>
              <w:t>0.077</w:t>
            </w:r>
          </w:p>
        </w:tc>
      </w:tr>
    </w:tbl>
    <w:p w14:paraId="4EA6A2E9" w14:textId="77777777" w:rsidR="00B42137" w:rsidRDefault="00000000">
      <w:pPr>
        <w:spacing w:after="240"/>
      </w:pPr>
      <w:r>
        <w:rPr>
          <w:i/>
          <w:iCs/>
          <w:color w:val="555555"/>
          <w:sz w:val="18"/>
          <w:szCs w:val="18"/>
        </w:rPr>
        <w:t xml:space="preserve">Tabla 9. Comparación final: embeddings sin corregir vs. con corrección de hubness, sobre los 105 pares conocidos.</w:t>
      </w:r>
    </w:p>
    <w:p w14:paraId="69C4950A" w14:textId="77777777" w:rsidR="00B42137" w:rsidRDefault="00000000">
      <w:pPr>
        <w:spacing w:after="160"/>
        <w:jc w:val="both"/>
      </w:pPr>
      <w:r>
        <w:rPr>
          <w:b/>
          <w:bCs/>
        </w:rPr>
        <w:lastRenderedPageBreak/>
        <w:t xml:space="preserve">Concentración de hubs, antes vs. después: </w:t>
      </w:r>
      <w:r>
        <w:t>el libro top-1 más repetido bajó de 31 de 81 bandas (38.3%) a 6 de 81 (7.4%). En el conjunto final de recomendaciones (top-5 por banda, ya con los libros sin sinopsis excluidos), el libro más repetido aparece en 18 de 81 bandas (22.2%) — y ya no es un solo título dominando, sino cerca de diez libros distintos repartiéndose entre 10 y 18 bandas cada uno, una distribución mucho más sana.</w:t>
      </w:r>
    </w:p>
    <w:p w14:paraId="35969D04" w14:textId="77777777" w:rsidR="00B42137" w:rsidRDefault="00000000">
      <w:pPr>
        <w:spacing w:after="160"/>
        <w:jc w:val="both"/>
      </w:pPr>
      <w:r>
        <w:t xml:space="preserve">El notebook elige automáticamente el enfoque final comparando el MRR combinado de banda y libro entre los tres enfoques; en la corrida real, el enfoque con corrección de hubness ganó también por esta métrica (MRR combinado 0.160 vs. 0.133 sin corregir), por lo que es el que se usó para generar las recomendaciones finales.</w:t>
      </w:r>
    </w:p>
    <w:p w14:paraId="6E126A02" w14:textId="77777777" w:rsidR="00B42137" w:rsidRDefault="00000000">
      <w:pPr>
        <w:pStyle w:val="Heading2"/>
      </w:pPr>
      <w:r>
        <w:t>7.6 Revisión cualitativa</w:t>
      </w:r>
    </w:p>
    <w:p w14:paraId="5379BA79" w14:textId="77777777" w:rsidR="00B42137" w:rsidRDefault="00000000">
      <w:pPr>
        <w:spacing w:after="160"/>
        <w:jc w:val="both"/>
      </w:pPr>
      <w:r>
        <w:t>Más allá de las métricas, las recomendaciones finales ya se sienten coherentes por subgénero — algo que no ocurría antes de la corrección, cuando casi todas las bandas terminaban recomendando el mismo puñado de libros sin importar su estilo:</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4"/>
        <w:gridCol w:w="5036"/>
      </w:tblGrid>
      <w:tr w:rsidR="00B42137" w14:paraId="2F8D82D3" w14:textId="77777777" w:rsidTr="00EF23A9">
        <w:tblPrEx>
          <w:tblCellMar>
            <w:top w:w="0" w:type="dxa"/>
            <w:bottom w:w="0" w:type="dxa"/>
          </w:tblCellMar>
        </w:tblPrEx>
        <w:trPr>
          <w:jc w:val="center"/>
        </w:trPr>
        <w:tc>
          <w:tcPr>
            <w:tcW w:w="3964" w:type="dxa"/>
            <w:shd w:val="clear" w:color="auto" w:fill="6B2D5C"/>
            <w:tcMar>
              <w:top w:w="80" w:type="dxa"/>
              <w:left w:w="100" w:type="dxa"/>
              <w:bottom w:w="80" w:type="dxa"/>
              <w:right w:w="100" w:type="dxa"/>
            </w:tcMar>
            <w:vAlign w:val="center"/>
          </w:tcPr>
          <w:p w14:paraId="7FF39596" w14:textId="77777777" w:rsidR="00B42137" w:rsidRPr="00EF23A9" w:rsidRDefault="00000000" w:rsidP="00EF23A9">
            <w:pPr>
              <w:jc w:val="center"/>
            </w:pPr>
            <w:r>
              <w:rPr>
                <w:b/>
                <w:bCs/>
                <w:color w:val="FFFFFF"/>
                <w:sz w:val="20"/>
                <w:szCs w:val="20"/>
              </w:rPr>
              <w:t>Libro / Banda de consulta</w:t>
            </w:r>
          </w:p>
        </w:tc>
        <w:tc>
          <w:tcPr>
            <w:tcW w:w="5036" w:type="dxa"/>
            <w:shd w:val="clear" w:color="auto" w:fill="6B2D5C"/>
            <w:tcMar>
              <w:top w:w="80" w:type="dxa"/>
              <w:left w:w="100" w:type="dxa"/>
              <w:bottom w:w="80" w:type="dxa"/>
              <w:right w:w="100" w:type="dxa"/>
            </w:tcMar>
            <w:vAlign w:val="center"/>
          </w:tcPr>
          <w:p w14:paraId="3EBE8F55" w14:textId="77777777" w:rsidR="00B42137" w:rsidRPr="00EF23A9" w:rsidRDefault="00000000" w:rsidP="00EF23A9">
            <w:pPr>
              <w:jc w:val="center"/>
            </w:pPr>
            <w:r>
              <w:rPr>
                <w:b/>
                <w:bCs/>
                <w:color w:val="FFFFFF"/>
                <w:sz w:val="20"/>
                <w:szCs w:val="20"/>
              </w:rPr>
              <w:t>Top-5 recomendaciones</w:t>
            </w:r>
          </w:p>
        </w:tc>
      </w:tr>
      <w:tr w:rsidR="00B42137" w:rsidRPr="00297B29" w14:paraId="4AC3D98A" w14:textId="77777777" w:rsidTr="00EF23A9">
        <w:tblPrEx>
          <w:tblCellMar>
            <w:top w:w="0" w:type="dxa"/>
            <w:bottom w:w="0" w:type="dxa"/>
          </w:tblCellMar>
        </w:tblPrEx>
        <w:trPr>
          <w:jc w:val="center"/>
        </w:trPr>
        <w:tc>
          <w:tcPr>
            <w:tcW w:w="3964" w:type="dxa"/>
            <w:tcMar>
              <w:top w:w="80" w:type="dxa"/>
              <w:left w:w="100" w:type="dxa"/>
              <w:bottom w:w="80" w:type="dxa"/>
              <w:right w:w="100" w:type="dxa"/>
            </w:tcMar>
            <w:vAlign w:val="center"/>
          </w:tcPr>
          <w:p w14:paraId="62E0B569" w14:textId="77777777" w:rsidR="00B42137" w:rsidRDefault="00000000" w:rsidP="00EF23A9">
            <w:pPr>
              <w:jc w:val="center"/>
            </w:pPr>
            <w:r>
              <w:rPr>
                <w:color w:val="000000"/>
                <w:sz w:val="20"/>
                <w:szCs w:val="20"/>
              </w:rPr>
              <w:t>Libro: “El Señor de los Anillos” → bandas</w:t>
            </w:r>
          </w:p>
        </w:tc>
        <w:tc>
          <w:tcPr>
            <w:tcW w:w="5036" w:type="dxa"/>
            <w:tcMar>
              <w:top w:w="80" w:type="dxa"/>
              <w:left w:w="100" w:type="dxa"/>
              <w:bottom w:w="80" w:type="dxa"/>
              <w:right w:w="100" w:type="dxa"/>
            </w:tcMar>
            <w:vAlign w:val="center"/>
          </w:tcPr>
          <w:p w14:paraId="619C7866" w14:textId="77777777" w:rsidR="00B42137" w:rsidRPr="00297B29" w:rsidRDefault="00000000" w:rsidP="00EF23A9">
            <w:pPr>
              <w:jc w:val="center"/>
              <w:rPr>
                <w:lang w:val="en-US"/>
              </w:rPr>
            </w:pPr>
            <w:r>
              <w:rPr>
                <w:color w:val="000000"/>
                <w:sz w:val="20"/>
                <w:szCs w:val="20"/>
                <w:lang w:val="en-US"/>
              </w:rPr>
              <w:t xml:space="preserve">Sabaton, Jinjer, DragonForce, Avenged Sevenfold, Judas Priest (power/heavy metal)</w:t>
            </w:r>
          </w:p>
        </w:tc>
      </w:tr>
      <w:tr w:rsidR="00B42137" w14:paraId="41ADED01" w14:textId="77777777" w:rsidTr="00EF23A9">
        <w:tblPrEx>
          <w:tblCellMar>
            <w:top w:w="0" w:type="dxa"/>
            <w:bottom w:w="0" w:type="dxa"/>
          </w:tblCellMar>
        </w:tblPrEx>
        <w:trPr>
          <w:jc w:val="center"/>
        </w:trPr>
        <w:tc>
          <w:tcPr>
            <w:tcW w:w="3964" w:type="dxa"/>
            <w:tcMar>
              <w:top w:w="80" w:type="dxa"/>
              <w:left w:w="100" w:type="dxa"/>
              <w:bottom w:w="80" w:type="dxa"/>
              <w:right w:w="100" w:type="dxa"/>
            </w:tcMar>
            <w:vAlign w:val="center"/>
          </w:tcPr>
          <w:p w14:paraId="567D5FF8" w14:textId="77777777" w:rsidR="00B42137" w:rsidRDefault="00000000" w:rsidP="00EF23A9">
            <w:pPr>
              <w:jc w:val="center"/>
            </w:pPr>
            <w:r>
              <w:rPr>
                <w:color w:val="000000"/>
                <w:sz w:val="20"/>
                <w:szCs w:val="20"/>
              </w:rPr>
              <w:t>Banda: Chelsea Wolfe (Gothic Metal) → libros</w:t>
            </w:r>
          </w:p>
        </w:tc>
        <w:tc>
          <w:tcPr>
            <w:tcW w:w="5036" w:type="dxa"/>
            <w:tcMar>
              <w:top w:w="80" w:type="dxa"/>
              <w:left w:w="100" w:type="dxa"/>
              <w:bottom w:w="80" w:type="dxa"/>
              <w:right w:w="100" w:type="dxa"/>
            </w:tcMar>
            <w:vAlign w:val="center"/>
          </w:tcPr>
          <w:p w14:paraId="22D788F5" w14:textId="77777777" w:rsidR="00B42137" w:rsidRDefault="00000000" w:rsidP="00EF23A9">
            <w:pPr>
              <w:jc w:val="center"/>
            </w:pPr>
            <w:r>
              <w:rPr>
                <w:color w:val="000000"/>
                <w:sz w:val="20"/>
                <w:szCs w:val="20"/>
              </w:rPr>
              <w:t>El castillo de Otranto, Carmilla, Drácula, El retrato de Dorian Gray, El vampiro Lestat (gótico clásico/vampiros)</w:t>
            </w:r>
          </w:p>
        </w:tc>
      </w:tr>
      <w:tr w:rsidR="00B42137" w14:paraId="39EA57C8" w14:textId="77777777" w:rsidTr="00EF23A9">
        <w:tblPrEx>
          <w:tblCellMar>
            <w:top w:w="0" w:type="dxa"/>
            <w:bottom w:w="0" w:type="dxa"/>
          </w:tblCellMar>
        </w:tblPrEx>
        <w:trPr>
          <w:jc w:val="center"/>
        </w:trPr>
        <w:tc>
          <w:tcPr>
            <w:tcW w:w="3964" w:type="dxa"/>
            <w:tcMar>
              <w:top w:w="80" w:type="dxa"/>
              <w:left w:w="100" w:type="dxa"/>
              <w:bottom w:w="80" w:type="dxa"/>
              <w:right w:w="100" w:type="dxa"/>
            </w:tcMar>
            <w:vAlign w:val="center"/>
          </w:tcPr>
          <w:p w14:paraId="486A1C93" w14:textId="77777777" w:rsidR="00B42137" w:rsidRDefault="00000000" w:rsidP="00EF23A9">
            <w:pPr>
              <w:jc w:val="center"/>
            </w:pPr>
            <w:r>
              <w:rPr>
                <w:color w:val="000000"/>
                <w:sz w:val="20"/>
                <w:szCs w:val="20"/>
              </w:rPr>
              <w:t>Banda: Emperor (Black Metal) → libros</w:t>
            </w:r>
          </w:p>
        </w:tc>
        <w:tc>
          <w:tcPr>
            <w:tcW w:w="5036" w:type="dxa"/>
            <w:tcMar>
              <w:top w:w="80" w:type="dxa"/>
              <w:left w:w="100" w:type="dxa"/>
              <w:bottom w:w="80" w:type="dxa"/>
              <w:right w:w="100" w:type="dxa"/>
            </w:tcMar>
            <w:vAlign w:val="center"/>
          </w:tcPr>
          <w:p w14:paraId="29D70BBF" w14:textId="77777777" w:rsidR="00B42137" w:rsidRDefault="00000000" w:rsidP="00EF23A9">
            <w:pPr>
              <w:jc w:val="center"/>
            </w:pPr>
            <w:r>
              <w:rPr>
                <w:color w:val="000000"/>
                <w:sz w:val="20"/>
                <w:szCs w:val="20"/>
              </w:rPr>
              <w:t xml:space="preserve">Babel, Berserk, El circo de la noche, La compañía negra, Frankenstein (fantasía oscura/dark academia)</w:t>
            </w:r>
          </w:p>
        </w:tc>
      </w:tr>
    </w:tbl>
    <w:p w14:paraId="6E3672BD" w14:textId="77777777" w:rsidR="00B42137" w:rsidRDefault="00000000">
      <w:pPr>
        <w:spacing w:after="240"/>
      </w:pPr>
      <w:r>
        <w:rPr>
          <w:i/>
          <w:iCs/>
          <w:color w:val="555555"/>
          <w:sz w:val="18"/>
          <w:szCs w:val="18"/>
        </w:rPr>
        <w:t xml:space="preserve">Tabla 10. Ejemplos de recomendaciones finales, tras la corrección de hubness.</w:t>
      </w:r>
    </w:p>
    <w:p>
      <w:pPr>
        <w:pStyle w:val="Heading2"/>
      </w:pPr>
      <w:r>
        <w:t xml:space="preserve">7.7 Modelo secundario: capa generativa (LLM)</w:t>
      </w:r>
    </w:p>
    <w:p>
      <w:pPr>
        <w:spacing w:after="160"/>
        <w:jc w:val="both"/>
      </w:pPr>
      <w:r>
        <w:t xml:space="preserve">El modelo de similitud decide </w:t>
      </w:r>
      <w:r>
        <w:rPr>
          <w:b/>
          <w:bCs/>
        </w:rPr>
        <w:t xml:space="preserve">qué</w:t>
      </w:r>
      <w:r>
        <w:t xml:space="preserve"> se recomienda; un modelo de lenguaje (LLM) se encarga de </w:t>
      </w:r>
      <w:r>
        <w:rPr>
          <w:b/>
          <w:bCs/>
        </w:rPr>
        <w:t xml:space="preserve">entender el mensaje</w:t>
      </w:r>
      <w:r>
        <w:t xml:space="preserve"> del usuario y de </w:t>
      </w:r>
      <w:r>
        <w:rPr>
          <w:b/>
          <w:bCs/>
        </w:rPr>
        <w:t xml:space="preserve">explicar</w:t>
      </w:r>
      <w:r>
        <w:t xml:space="preserve"> cada recomendación. Se usa la API de OpenAI (modelo gpt-4o-mini) como proveedor principal y la de Groq (modelo openai/gpt-oss-20b) como respaldo automático (OpenAI, s.f.; Groq, s.f.). El LLM trabaja con </w:t>
      </w:r>
      <w:r>
        <w:rPr>
          <w:i/>
          <w:iCs/>
        </w:rPr>
        <w:t xml:space="preserve">function calling</w:t>
      </w:r>
      <w:r>
        <w:t xml:space="preserve">: en lugar de inventar recomendaciones, llama a una de cinco herramientas que ejecutan el modelo de la sección 7:</w:t>
      </w:r>
    </w:p>
    <w:p>
      <w:pPr>
        <w:pStyle w:val="ListParagraph"/>
        <w:numPr>
          <w:ilvl w:val="0"/>
          <w:numId w:val="2"/>
        </w:numPr>
        <w:spacing w:after="80"/>
        <w:jc w:val="both"/>
      </w:pPr>
      <w:r>
        <w:rPr>
          <w:b/>
          <w:bCs/>
        </w:rPr>
        <w:t xml:space="preserve">libros_para_banda</w:t>
      </w:r>
      <w:r>
        <w:t xml:space="preserve"> y </w:t>
      </w:r>
      <w:r>
        <w:rPr>
          <w:b/>
          <w:bCs/>
        </w:rPr>
        <w:t xml:space="preserve">bandas_para_libro:</w:t>
      </w:r>
      <w:r>
        <w:t xml:space="preserve"> las recomendaciones, de cinco en cinco (página 1 = top 1–5, página 2 = top 6–10, etc.).</w:t>
      </w:r>
    </w:p>
    <w:p>
      <w:pPr>
        <w:pStyle w:val="ListParagraph"/>
        <w:numPr>
          <w:ilvl w:val="0"/>
          <w:numId w:val="2"/>
        </w:numPr>
        <w:spacing w:after="80"/>
        <w:jc w:val="both"/>
      </w:pPr>
      <w:r>
        <w:rPr>
          <w:b/>
          <w:bCs/>
        </w:rPr>
        <w:t xml:space="preserve">canciones_de_banda:</w:t>
      </w:r>
      <w:r>
        <w:t xml:space="preserve"> el reproductor de Spotify de una banda del catálogo.</w:t>
      </w:r>
    </w:p>
    <w:p>
      <w:pPr>
        <w:pStyle w:val="ListParagraph"/>
        <w:numPr>
          <w:ilvl w:val="0"/>
          <w:numId w:val="2"/>
        </w:numPr>
        <w:spacing w:after="80"/>
        <w:jc w:val="both"/>
      </w:pPr>
      <w:r>
        <w:rPr>
          <w:b/>
          <w:bCs/>
        </w:rPr>
        <w:t xml:space="preserve">info_libro</w:t>
      </w:r>
      <w:r>
        <w:t xml:space="preserve"> e </w:t>
      </w:r>
      <w:r>
        <w:rPr>
          <w:b/>
          <w:bCs/>
        </w:rPr>
        <w:t xml:space="preserve">info_banda:</w:t>
      </w:r>
      <w:r>
        <w:t xml:space="preserve"> datos de seguimiento (autor, año, sinopsis, país, canción más conocida) tomados de los mismos CSV.</w:t>
      </w:r>
    </w:p>
    <w:p>
      <w:pPr>
        <w:spacing w:after="160"/>
        <w:jc w:val="both"/>
      </w:pPr>
      <w:r>
        <w:t xml:space="preserve">Para que el LLM no altere los resultados se aplicaron tres salvaguardas: los números y el orden siempre provienen del modelo de similitud, nunca del LLM; al arrancar, la aplicación verifica que la matriz de similitud reproduce exactamente los top-5 de los CSV; y si el LLM confunde una banda con un libro, el código corrige la herramienta. La calidad de las explicaciones generadas no se midió con una métrica cuantitativa; se revisó de forma cualitativa durante las pruebas de la interfaz.</w:t>
      </w:r>
    </w:p>
    <w:p>
      <w:pPr>
        <w:pStyle w:val="Heading1"/>
      </w:pPr>
      <w:r>
        <w:t xml:space="preserve">8. Resolución del problema</w:t>
      </w:r>
    </w:p>
    <w:p>
      <w:pPr>
        <w:spacing w:after="160"/>
        <w:jc w:val="both"/>
      </w:pPr>
      <w:r>
        <w:t xml:space="preserve">El problema planteado en la sección 2 es la falta de un puente sistemático entre dos fandoms. Esta sección explica cómo el modelo y la interfaz lo resuelven en la práctica.</w:t>
      </w:r>
    </w:p>
    <w:p>
      <w:pPr>
        <w:pStyle w:val="Heading2"/>
      </w:pPr>
      <w:r>
        <w:t xml:space="preserve">8.1 Flujo de inferencia</w:t>
      </w:r>
    </w:p>
    <w:p>
      <w:pPr>
        <w:spacing w:after="160"/>
        <w:jc w:val="both"/>
      </w:pPr>
      <w:r>
        <w:t xml:space="preserve">La Figura 1 muestra qué ocurre desde que el usuario escribe un mensaje hasta que recibe sus recomendaciones. La rama “Sí” usa las recomendaciones precalculadas y evaluadas en la sección 7; la rama “No” busca los datos del ítem en vivo en MusicBrainz u Open Library, calcula su embedding con el mismo modelo y aplica la misma corrección de hubness, de modo que una búsqueda en vivo es comparable con el catálogo.</w:t>
      </w:r>
    </w:p>
    <w:p xmlns:a="http://schemas.openxmlformats.org/drawingml/2006/main" xmlns:pic="http://schemas.openxmlformats.org/drawingml/2006/picture">
      <w:pPr>
        <w:spacing w:before="120" w:after="60"/>
        <w:jc w:val="center"/>
      </w:pPr>
      <w:r>
        <w:drawing>
          <wp:inline distT="0" distB="0" distL="0" distR="0">
            <wp:extent cx="5760720" cy="3157190"/>
            <wp:docPr id="101" name="flujo_inferencia.png" descr="Flujo de inferencia de Inkriff"/>
            <wp:cNvGraphicFramePr>
              <a:graphicFrameLocks noChangeAspect="1"/>
            </wp:cNvGraphicFramePr>
            <a:graphic>
              <a:graphicData uri="http://schemas.openxmlformats.org/drawingml/2006/picture">
                <pic:pic>
                  <pic:nvPicPr>
                    <pic:cNvPr id="101" name="flujo_inferencia.png"/>
                    <pic:cNvPicPr/>
                  </pic:nvPicPr>
                  <pic:blipFill>
                    <a:blip r:embed="rIdImg1"/>
                    <a:stretch>
                      <a:fillRect/>
                    </a:stretch>
                  </pic:blipFill>
                  <pic:spPr>
                    <a:xfrm>
                      <a:off x="0" y="0"/>
                      <a:ext cx="5760720" cy="3157190"/>
                    </a:xfrm>
                    <a:prstGeom prst="rect">
                      <a:avLst/>
                    </a:prstGeom>
                  </pic:spPr>
                </pic:pic>
              </a:graphicData>
            </a:graphic>
          </wp:inline>
        </w:drawing>
      </w:r>
    </w:p>
    <w:p>
      <w:pPr>
        <w:spacing w:after="240"/>
      </w:pPr>
      <w:r>
        <w:rPr>
          <w:i/>
          <w:iCs/>
          <w:color w:val="555555"/>
          <w:sz w:val="18"/>
          <w:szCs w:val="18"/>
        </w:rPr>
        <w:t xml:space="preserve">Figura 1. Flujo de inferencia de Inkriff, del mensaje del usuario a las tarjetas de recomendación.</w:t>
      </w:r>
    </w:p>
    <w:p>
      <w:pPr>
        <w:pStyle w:val="Heading2"/>
      </w:pPr>
      <w:r>
        <w:t xml:space="preserve">8.2 Interfaz de uso</w:t>
      </w:r>
    </w:p>
    <w:p>
      <w:pPr>
        <w:spacing w:after="160"/>
        <w:jc w:val="both"/>
      </w:pPr>
      <w:r>
        <w:t xml:space="preserve">La interfaz se construyó con Gradio (Abid et al., 2019) y tiene cuatro pestañas:</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0"/>
      </w:tblGrid>
      <w:tr>
        <w:tblPrEx>
          <w:tblCellMar>
            <w:top w:w="0" w:type="dxa"/>
            <w:bottom w:w="0" w:type="dxa"/>
          </w:tblCellMar>
        </w:tblPrEx>
        <w:trPr>
          <w:jc w:val="center"/>
        </w:trPr>
        <w:tc>
          <w:tcPr>
            <w:tcW w:w="20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Pestaña</w:t>
            </w:r>
          </w:p>
        </w:tc>
        <w:tc>
          <w:tcPr>
            <w:tcW w:w="8000" w:type="dxa"/>
            <w:shd w:val="clear" w:color="auto" w:fill="6B2D5C"/>
            <w:tcMar>
              <w:top w:w="80" w:type="dxa"/>
              <w:left w:w="100" w:type="dxa"/>
              <w:bottom w:w="80" w:type="dxa"/>
              <w:right w:w="100" w:type="dxa"/>
            </w:tcMar>
            <w:vAlign w:val="center"/>
          </w:tcPr>
          <w:p>
            <w:pPr>
              <w:jc w:val="center"/>
            </w:pPr>
            <w:r>
              <w:rPr>
                <w:b/>
                <w:bCs/>
                <w:color w:val="FFFFFF"/>
                <w:sz w:val="20"/>
                <w:szCs w:val="20"/>
              </w:rPr>
              <w:t xml:space="preserve">Qué hace</w:t>
            </w:r>
          </w:p>
        </w:tc>
      </w:tr>
      <w:tr>
        <w:tblPrEx>
          <w:tblCellMar>
            <w:top w:w="0" w:type="dxa"/>
            <w:bottom w:w="0" w:type="dxa"/>
          </w:tblCellMar>
        </w:tblPrEx>
        <w:trPr>
          <w:jc w:val="center"/>
        </w:trPr>
        <w:tc>
          <w:tcPr>
            <w:tcW w:w="2000" w:type="dxa"/>
            <w:tcMar>
              <w:top w:w="80" w:type="dxa"/>
              <w:left w:w="100" w:type="dxa"/>
              <w:bottom w:w="80" w:type="dxa"/>
              <w:right w:w="100" w:type="dxa"/>
            </w:tcMar>
          </w:tcPr>
          <w:p>
            <w:r>
              <w:rPr>
                <w:color w:val="000000"/>
                <w:sz w:val="20"/>
                <w:szCs w:val="20"/>
              </w:rPr>
              <w:t xml:space="preserve">Inicio</w:t>
            </w:r>
          </w:p>
        </w:tc>
        <w:tc>
          <w:tcPr>
            <w:tcW w:w="8000" w:type="dxa"/>
            <w:tcMar>
              <w:top w:w="80" w:type="dxa"/>
              <w:left w:w="100" w:type="dxa"/>
              <w:bottom w:w="80" w:type="dxa"/>
              <w:right w:w="100" w:type="dxa"/>
            </w:tcMar>
          </w:tcPr>
          <w:p>
            <w:r>
              <w:rPr>
                <w:color w:val="000000"/>
                <w:sz w:val="20"/>
                <w:szCs w:val="20"/>
              </w:rPr>
              <w:t xml:space="preserve">Presenta el proyecto, estadísticas del catálogo y las “Parejas destacadas” (las combinaciones libro–banda con mayor afinidad), con botón de compra</w:t>
            </w:r>
          </w:p>
        </w:tc>
      </w:tr>
      <w:tr>
        <w:tblPrEx>
          <w:tblCellMar>
            <w:top w:w="0" w:type="dxa"/>
            <w:bottom w:w="0" w:type="dxa"/>
          </w:tblCellMar>
        </w:tblPrEx>
        <w:trPr>
          <w:jc w:val="center"/>
        </w:trPr>
        <w:tc>
          <w:tcPr>
            <w:tcW w:w="2000" w:type="dxa"/>
            <w:tcMar>
              <w:top w:w="80" w:type="dxa"/>
              <w:left w:w="100" w:type="dxa"/>
              <w:bottom w:w="80" w:type="dxa"/>
              <w:right w:w="100" w:type="dxa"/>
            </w:tcMar>
          </w:tcPr>
          <w:p>
            <w:r>
              <w:rPr>
                <w:color w:val="000000"/>
                <w:sz w:val="20"/>
                <w:szCs w:val="20"/>
              </w:rPr>
              <w:t xml:space="preserve">Chat</w:t>
            </w:r>
          </w:p>
        </w:tc>
        <w:tc>
          <w:tcPr>
            <w:tcW w:w="8000" w:type="dxa"/>
            <w:tcMar>
              <w:top w:w="80" w:type="dxa"/>
              <w:left w:w="100" w:type="dxa"/>
              <w:bottom w:w="80" w:type="dxa"/>
              <w:right w:w="100" w:type="dxa"/>
            </w:tcMar>
          </w:tcPr>
          <w:p>
            <w:r>
              <w:rPr>
                <w:color w:val="000000"/>
                <w:sz w:val="20"/>
                <w:szCs w:val="20"/>
              </w:rPr>
              <w:t xml:space="preserve">El recomendador conversacional: tarjetas con portada o foto, reproductor de Spotify y enlaces de compra</w:t>
            </w:r>
          </w:p>
        </w:tc>
      </w:tr>
      <w:tr>
        <w:tblPrEx>
          <w:tblCellMar>
            <w:top w:w="0" w:type="dxa"/>
            <w:bottom w:w="0" w:type="dxa"/>
          </w:tblCellMar>
        </w:tblPrEx>
        <w:trPr>
          <w:jc w:val="center"/>
        </w:trPr>
        <w:tc>
          <w:tcPr>
            <w:tcW w:w="2000" w:type="dxa"/>
            <w:tcMar>
              <w:top w:w="80" w:type="dxa"/>
              <w:left w:w="100" w:type="dxa"/>
              <w:bottom w:w="80" w:type="dxa"/>
              <w:right w:w="100" w:type="dxa"/>
            </w:tcMar>
          </w:tcPr>
          <w:p>
            <w:r>
              <w:rPr>
                <w:color w:val="000000"/>
                <w:sz w:val="20"/>
                <w:szCs w:val="20"/>
              </w:rPr>
              <w:t xml:space="preserve">Catálogo</w:t>
            </w:r>
          </w:p>
        </w:tc>
        <w:tc>
          <w:tcPr>
            <w:tcW w:w="8000" w:type="dxa"/>
            <w:tcMar>
              <w:top w:w="80" w:type="dxa"/>
              <w:left w:w="100" w:type="dxa"/>
              <w:bottom w:w="80" w:type="dxa"/>
              <w:right w:w="100" w:type="dxa"/>
            </w:tcMar>
          </w:tcPr>
          <w:p>
            <w:r>
              <w:rPr>
                <w:color w:val="000000"/>
                <w:sz w:val="20"/>
                <w:szCs w:val="20"/>
              </w:rPr>
              <w:t xml:space="preserve">Mosaico de bandas y de libros con filtros por subgénero o categoría y búsqueda por nombre, estilo o autor</w:t>
            </w:r>
          </w:p>
        </w:tc>
      </w:tr>
      <w:tr>
        <w:tblPrEx>
          <w:tblCellMar>
            <w:top w:w="0" w:type="dxa"/>
            <w:bottom w:w="0" w:type="dxa"/>
          </w:tblCellMar>
        </w:tblPrEx>
        <w:trPr>
          <w:jc w:val="center"/>
        </w:trPr>
        <w:tc>
          <w:tcPr>
            <w:tcW w:w="2000" w:type="dxa"/>
            <w:tcMar>
              <w:top w:w="80" w:type="dxa"/>
              <w:left w:w="100" w:type="dxa"/>
              <w:bottom w:w="80" w:type="dxa"/>
              <w:right w:w="100" w:type="dxa"/>
            </w:tcMar>
          </w:tcPr>
          <w:p>
            <w:r>
              <w:rPr>
                <w:color w:val="000000"/>
                <w:sz w:val="20"/>
                <w:szCs w:val="20"/>
              </w:rPr>
              <w:t xml:space="preserve">Sugerir</w:t>
            </w:r>
          </w:p>
        </w:tc>
        <w:tc>
          <w:tcPr>
            <w:tcW w:w="8000" w:type="dxa"/>
            <w:tcMar>
              <w:top w:w="80" w:type="dxa"/>
              <w:left w:w="100" w:type="dxa"/>
              <w:bottom w:w="80" w:type="dxa"/>
              <w:right w:w="100" w:type="dxa"/>
            </w:tcMar>
          </w:tcPr>
          <w:p>
            <w:r>
              <w:rPr>
                <w:color w:val="000000"/>
                <w:sz w:val="20"/>
                <w:szCs w:val="20"/>
              </w:rPr>
              <w:t xml:space="preserve">Formulario sin cuenta para proponer una banda o un libro nuevo para el catálogo</w:t>
            </w:r>
          </w:p>
        </w:tc>
      </w:tr>
    </w:tbl>
    <w:p>
      <w:pPr>
        <w:spacing w:after="240"/>
      </w:pPr>
      <w:r>
        <w:rPr>
          <w:i/>
          <w:iCs/>
          <w:color w:val="555555"/>
          <w:sz w:val="18"/>
          <w:szCs w:val="18"/>
        </w:rPr>
        <w:t xml:space="preserve">Tabla 11. Pestañas de la interfaz de Inkriff.</w:t>
      </w:r>
    </w:p>
    <w:p>
      <w:pPr>
        <w:spacing w:after="160"/>
        <w:jc w:val="both"/>
      </w:pPr>
      <w:r>
        <w:t xml:space="preserve">Uso paso a paso:</w:t>
      </w:r>
    </w:p>
    <w:p>
      <w:pPr>
        <w:pStyle w:val="ListParagraph"/>
        <w:numPr>
          <w:ilvl w:val="0"/>
          <w:numId w:val="3"/>
        </w:numPr>
        <w:spacing w:after="80"/>
        <w:jc w:val="both"/>
      </w:pPr>
      <w:r>
        <w:rPr>
          <w:b/>
          <w:bCs/>
        </w:rPr>
        <w:t xml:space="preserve">Abrir la aplicación.</w:t>
      </w:r>
      <w:r>
        <w:t xml:space="preserve"> Se ejecuta el notebook en Google Colab y Gradio genera un enlace público temporal que se abre en cualquier navegador, también en el celular.</w:t>
      </w:r>
    </w:p>
    <w:p>
      <w:pPr>
        <w:pStyle w:val="ListParagraph"/>
        <w:numPr>
          <w:ilvl w:val="0"/>
          <w:numId w:val="3"/>
        </w:numPr>
        <w:spacing w:after="80"/>
        <w:jc w:val="both"/>
      </w:pPr>
      <w:r>
        <w:rPr>
          <w:b/>
          <w:bCs/>
        </w:rPr>
        <w:t xml:space="preserve">Escribir en el chat</w:t>
      </w:r>
      <w:r>
        <w:t xml:space="preserve"> una banda o un libro con lenguaje natural, por ejemplo: “Acabo de terminar Una Corte de Rosas y Espinas, ¿qué banda le queda?”.</w:t>
      </w:r>
    </w:p>
    <w:p>
      <w:pPr>
        <w:pStyle w:val="ListParagraph"/>
        <w:numPr>
          <w:ilvl w:val="0"/>
          <w:numId w:val="3"/>
        </w:numPr>
        <w:spacing w:after="80"/>
        <w:jc w:val="both"/>
      </w:pPr>
      <w:r>
        <w:rPr>
          <w:b/>
          <w:bCs/>
        </w:rPr>
        <w:t xml:space="preserve">Revisar las cinco recomendaciones.</w:t>
      </w:r>
      <w:r>
        <w:t xml:space="preserve"> Cada tarjeta muestra por qué encaja; en las bandas, “🎧 Escucha la banda” abre el reproductor de Spotify (Spotify, s.f.); en los libros, un toque despliega la sinopsis y aparecen los enlaces de compra.</w:t>
      </w:r>
    </w:p>
    <w:p>
      <w:pPr>
        <w:pStyle w:val="ListParagraph"/>
        <w:numPr>
          <w:ilvl w:val="0"/>
          <w:numId w:val="3"/>
        </w:numPr>
        <w:spacing w:after="80"/>
        <w:jc w:val="both"/>
      </w:pPr>
      <w:r>
        <w:rPr>
          <w:b/>
          <w:bCs/>
        </w:rPr>
        <w:t xml:space="preserve">Continuar la conversación:</w:t>
      </w:r>
      <w:r>
        <w:t xml:space="preserve"> “¿qué otras bandas?” trae el top 6–10; “ponme la del top 3” abre su reproductor; “¿quién escribió el segundo?” responde con los datos del libro.</w:t>
      </w:r>
    </w:p>
    <w:p>
      <w:pPr>
        <w:pStyle w:val="ListParagraph"/>
        <w:numPr>
          <w:ilvl w:val="0"/>
          <w:numId w:val="3"/>
        </w:numPr>
        <w:spacing w:after="80"/>
        <w:jc w:val="both"/>
      </w:pPr>
      <w:r>
        <w:rPr>
          <w:b/>
          <w:bCs/>
        </w:rPr>
        <w:t xml:space="preserve">Explorar sin escribir</w:t>
      </w:r>
      <w:r>
        <w:t xml:space="preserve"> en la pestaña Catálogo, o </w:t>
      </w:r>
      <w:r>
        <w:rPr>
          <w:b/>
          <w:bCs/>
        </w:rPr>
        <w:t xml:space="preserve">proponer</w:t>
      </w:r>
      <w:r>
        <w:t xml:space="preserve"> una banda o libro nuevo en Sugerir.</w:t>
      </w:r>
    </w:p>
    <w:p>
      <w:pPr>
        <w:pStyle w:val="Heading2"/>
      </w:pPr>
      <w:r>
        <w:t xml:space="preserve">8.3 Ejemplo de resolución</w:t>
      </w:r>
    </w:p>
    <w:p>
      <w:pPr>
        <w:spacing w:after="160"/>
        <w:jc w:val="both"/>
      </w:pPr>
      <w:r>
        <w:t xml:space="preserve">Una persona que escucha a Chelsea Wolfe (metal gótico) pregunta qué leer. El chat reconoce la banda en el catálogo y devuelve El castillo de Otranto, Carmilla, Drácula, El retrato de Dorian Gray y El vampiro Lestat (Tabla 10): cinco clásicos del gótico y de vampiros, cada uno con su explicación, portada y enlaces de compra. En sentido inverso, quien acaba de leer El Señor de los Anillos recibe Sabaton, Jinjer, DragonForce, Avenged Sevenfold y Judas Priest, con el reproductor de cada banda listo para escuchar.</w:t>
      </w:r>
    </w:p>
    <w:p>
      <w:pPr>
        <w:pStyle w:val="Heading2"/>
      </w:pPr>
      <w:r>
        <w:t xml:space="preserve">8.4 Cómo responde al problema planteado</w:t>
      </w:r>
    </w:p>
    <w:p>
      <w:pPr>
        <w:pStyle w:val="ListParagraph"/>
        <w:numPr>
          <w:ilvl w:val="0"/>
          <w:numId w:val="2"/>
        </w:numPr>
        <w:spacing w:after="80"/>
        <w:jc w:val="both"/>
      </w:pPr>
      <w:r>
        <w:rPr>
          <w:b/>
          <w:bCs/>
        </w:rPr>
        <w:t xml:space="preserve">No existía un puente entre ambos fandoms</w:t>
      </w:r>
      <w:r>
        <w:t xml:space="preserve"> → la recomendación es bidireccional (banda → libro y libro → banda) y cubre 24 subgéneros y 15 categorías literarias.</w:t>
      </w:r>
    </w:p>
    <w:p>
      <w:pPr>
        <w:pStyle w:val="ListParagraph"/>
        <w:numPr>
          <w:ilvl w:val="0"/>
          <w:numId w:val="2"/>
        </w:numPr>
        <w:spacing w:after="80"/>
        <w:jc w:val="both"/>
      </w:pPr>
      <w:r>
        <w:rPr>
          <w:b/>
          <w:bCs/>
        </w:rPr>
        <w:t xml:space="preserve">El usuario no sabe nombrar lo que busca</w:t>
      </w:r>
      <w:r>
        <w:t xml:space="preserve"> (no conoce subgéneros ni autores) → basta escribir algo que ya le gusta, y la explicación le dice qué tienen en común.</w:t>
      </w:r>
    </w:p>
    <w:p>
      <w:pPr>
        <w:pStyle w:val="ListParagraph"/>
        <w:numPr>
          <w:ilvl w:val="0"/>
          <w:numId w:val="2"/>
        </w:numPr>
        <w:spacing w:after="80"/>
        <w:jc w:val="both"/>
      </w:pPr>
      <w:r>
        <w:rPr>
          <w:b/>
          <w:bCs/>
        </w:rPr>
        <w:t xml:space="preserve">Una recomendación solo sirve si se puede actuar sobre ella</w:t>
      </w:r>
      <w:r>
        <w:t xml:space="preserve"> → cada resultado se puede escuchar o buscar en una tienda desde el mismo chat.</w:t>
      </w:r>
    </w:p>
    <w:p>
      <w:pPr>
        <w:pStyle w:val="ListParagraph"/>
        <w:numPr>
          <w:ilvl w:val="0"/>
          <w:numId w:val="2"/>
        </w:numPr>
        <w:spacing w:after="80"/>
        <w:jc w:val="both"/>
      </w:pPr>
      <w:r>
        <w:rPr>
          <w:b/>
          <w:bCs/>
        </w:rPr>
        <w:t xml:space="preserve">El catálogo es limitado</w:t>
      </w:r>
      <w:r>
        <w:t xml:space="preserve"> → la búsqueda en vivo extiende el modelo a bandas y libros nuevos sin reentrenar.</w:t>
      </w:r>
    </w:p>
    <w:p w14:paraId="39DCA9C2" w14:textId="77777777" w:rsidR="00B42137" w:rsidRDefault="00000000">
      <w:pPr>
        <w:pStyle w:val="Heading1"/>
      </w:pPr>
      <w:r>
        <w:t>9. Limitaciones</w:t>
      </w:r>
    </w:p>
    <w:p w14:paraId="61693CEF" w14:textId="77777777" w:rsidR="00B42137" w:rsidRDefault="00000000" w:rsidP="00EF23A9">
      <w:pPr>
        <w:pStyle w:val="ListParagraph"/>
        <w:numPr>
          <w:ilvl w:val="0"/>
          <w:numId w:val="2"/>
        </w:numPr>
        <w:spacing w:after="80"/>
        <w:jc w:val="both"/>
      </w:pPr>
      <w:r>
        <w:t>Solo 105 pares de evaluación: es una muestra pequeña para medir con precisión estadística alta; las métricas reportadas deben leerse como una estimación, no como un número exacto.</w:t>
      </w:r>
    </w:p>
    <w:p w14:paraId="1D538547" w14:textId="77777777" w:rsidR="00B42137" w:rsidRDefault="00000000" w:rsidP="00EF23A9">
      <w:pPr>
        <w:pStyle w:val="ListParagraph"/>
        <w:numPr>
          <w:ilvl w:val="0"/>
          <w:numId w:val="2"/>
        </w:numPr>
        <w:spacing w:after="80"/>
        <w:jc w:val="both"/>
      </w:pPr>
      <w:r>
        <w:t>15 de 112 libros (13.4%) se quedaron sin sinopsis pese al reintento en dos fuentes distintas; se excluyeron como candidatos de recomendación, lo que reduce el universo disponible del lado de los libros.</w:t>
      </w:r>
    </w:p>
    <w:p w14:paraId="282CB036" w14:textId="77777777" w:rsidR="00B42137" w:rsidRDefault="00000000" w:rsidP="00EF23A9">
      <w:pPr>
        <w:pStyle w:val="ListParagraph"/>
        <w:numPr>
          <w:ilvl w:val="0"/>
          <w:numId w:val="2"/>
        </w:numPr>
        <w:spacing w:after="80"/>
        <w:jc w:val="both"/>
      </w:pPr>
      <w:r>
        <w:t xml:space="preserve">El vocabulario musical (tags de género) y la prosa narrativa de un libro son dominios semánticamente distantes incluso para un modelo de embeddings; por eso el rank promedio, aunque mejor que el azar, todavía está lejos de un sistema ideal.</w:t>
      </w:r>
    </w:p>
    <w:p w14:paraId="5570E307" w14:textId="77777777" w:rsidR="00B42137" w:rsidRDefault="00000000" w:rsidP="00EF23A9">
      <w:pPr>
        <w:pStyle w:val="ListParagraph"/>
        <w:numPr>
          <w:ilvl w:val="0"/>
          <w:numId w:val="2"/>
        </w:numPr>
        <w:spacing w:after="80"/>
        <w:jc w:val="both"/>
      </w:pPr>
      <w:r>
        <w:t xml:space="preserve">La corrección de hubness aplicada (centrado simple) es una heurística transparente y verificable con los recursos disponibles, no la técnica más sofisticada del estado del arte para este problema (por ejemplo, CSLS basado en k-vecinos, o un espacio aprendido con contrastive learning).</w:t>
      </w:r>
    </w:p>
    <w:p w14:paraId="66C27475" w14:textId="77777777" w:rsidR="00B42137" w:rsidRDefault="00000000" w:rsidP="00EF23A9">
      <w:pPr>
        <w:pStyle w:val="ListParagraph"/>
        <w:numPr>
          <w:ilvl w:val="0"/>
          <w:numId w:val="2"/>
        </w:numPr>
        <w:spacing w:after="80"/>
        <w:jc w:val="both"/>
      </w:pPr>
      <w:r>
        <w:t>10 de 81 bandas (12.3%) tienen un match de Genius poco confiable (ver 4.3); su métrica de popularidad no se usa como señal confiable en el resto del pipeline.</w:t>
      </w:r>
    </w:p>
    <w:p>
      <w:pPr>
        <w:pStyle w:val="ListParagraph"/>
        <w:numPr>
          <w:ilvl w:val="0"/>
          <w:numId w:val="2"/>
        </w:numPr>
        <w:spacing w:after="80"/>
        <w:jc w:val="both"/>
      </w:pPr>
      <w:r>
        <w:t xml:space="preserve">La interfaz no tiene alojamiento permanente: corre en Google Colab con un enlace temporal de Gradio, que deja de funcionar al cerrar la sesión. Por la misma razón, las sugerencias se guardan en un CSV que hay que descargar antes de cerrarla.</w:t>
      </w:r>
    </w:p>
    <w:p>
      <w:pPr>
        <w:pStyle w:val="ListParagraph"/>
        <w:numPr>
          <w:ilvl w:val="0"/>
          <w:numId w:val="2"/>
        </w:numPr>
        <w:spacing w:after="80"/>
        <w:jc w:val="both"/>
      </w:pPr>
      <w:r>
        <w:t xml:space="preserve">Las explicaciones que redacta el LLM no se evaluaron con una métrica cuantitativa (sección 7.7).</w:t>
      </w:r>
    </w:p>
    <w:p w14:paraId="4CFAA271" w14:textId="77777777" w:rsidR="00B42137" w:rsidRDefault="00000000">
      <w:pPr>
        <w:pStyle w:val="Heading1"/>
      </w:pPr>
      <w:r>
        <w:t>10. Próximos pasos</w:t>
      </w:r>
    </w:p>
    <w:p w14:paraId="46369F25" w14:textId="77777777" w:rsidR="00B42137" w:rsidRDefault="00000000">
      <w:pPr>
        <w:spacing w:after="160"/>
        <w:jc w:val="both"/>
      </w:pPr>
      <w:r>
        <w:t>Con el recomendador validado, los siguientes pasos naturales del proyecto son:</w:t>
      </w:r>
    </w:p>
    <w:p w14:paraId="38841CF8" w14:textId="77777777" w:rsidR="00B42137" w:rsidRDefault="00000000" w:rsidP="00EF23A9">
      <w:pPr>
        <w:pStyle w:val="ListParagraph"/>
        <w:numPr>
          <w:ilvl w:val="0"/>
          <w:numId w:val="2"/>
        </w:numPr>
        <w:spacing w:after="80"/>
        <w:jc w:val="both"/>
      </w:pPr>
      <w:r>
        <w:t xml:space="preserve">Pipeline/interfaz de uso: una interfaz (Gradio) que reciba un libro o una banda y muestre las recomendaciones del lado contrario, consumiendo directamente los CSVs del modelo ya generados.</w:t>
      </w:r>
    </w:p>
    <w:p w14:paraId="3F58175B" w14:textId="77777777" w:rsidR="00B42137" w:rsidRDefault="00000000" w:rsidP="00EF23A9">
      <w:pPr>
        <w:pStyle w:val="ListParagraph"/>
        <w:numPr>
          <w:ilvl w:val="0"/>
          <w:numId w:val="2"/>
        </w:numPr>
        <w:spacing w:after="80"/>
        <w:jc w:val="both"/>
      </w:pPr>
      <w:r>
        <w:lastRenderedPageBreak/>
        <w:t>Conseguir sinopsis para los 15 libros faltantes, para que puedan volver a ser candidatos de recomendación.</w:t>
      </w:r>
    </w:p>
    <w:p w14:paraId="3184DFEB" w14:textId="77777777" w:rsidR="00B42137" w:rsidRDefault="00000000" w:rsidP="00EF23A9">
      <w:pPr>
        <w:pStyle w:val="ListParagraph"/>
        <w:numPr>
          <w:ilvl w:val="0"/>
          <w:numId w:val="2"/>
        </w:numPr>
        <w:spacing w:after="80"/>
        <w:jc w:val="both"/>
      </w:pPr>
      <w:r>
        <w:t>Ampliar el conjunto de 105 pares de evaluación si el tiempo lo permite, para reducir la incertidumbre de las métricas.</w:t>
      </w:r>
    </w:p>
    <w:p>
      <w:pPr>
        <w:pStyle w:val="Heading1"/>
      </w:pPr>
      <w:r>
        <w:t xml:space="preserve">11. Conclusiones</w:t>
      </w:r>
    </w:p>
    <w:p>
      <w:pPr>
        <w:spacing w:after="160"/>
        <w:jc w:val="both"/>
      </w:pPr>
      <w:r>
        <w:t xml:space="preserve">El proyecto demuestra que es posible construir un puente útil entre la música rock/metal y la literatura de fantasía/romance con datos obtenidos exclusivamente de APIs públicas y recursos gratuitos. Los hallazgos clave son:</w:t>
      </w:r>
    </w:p>
    <w:p>
      <w:pPr>
        <w:pStyle w:val="ListParagraph"/>
        <w:numPr>
          <w:ilvl w:val="0"/>
          <w:numId w:val="2"/>
        </w:numPr>
        <w:spacing w:after="80"/>
        <w:jc w:val="both"/>
      </w:pPr>
      <w:r>
        <w:rPr>
          <w:b/>
          <w:bCs/>
        </w:rPr>
        <w:t xml:space="preserve">Los dos dominios casi no comparten vocabulario.</w:t>
      </w:r>
      <w:r>
        <w:t xml:space="preserve"> El modelo base TF-IDF quedó prácticamente en el nivel del azar (MRR de 0.064 y 0.065), lo que justificó pasar a una representación semántica.</w:t>
      </w:r>
    </w:p>
    <w:p>
      <w:pPr>
        <w:pStyle w:val="ListParagraph"/>
        <w:numPr>
          <w:ilvl w:val="0"/>
          <w:numId w:val="2"/>
        </w:numPr>
        <w:spacing w:after="80"/>
        <w:jc w:val="both"/>
      </w:pPr>
      <w:r>
        <w:rPr>
          <w:b/>
          <w:bCs/>
        </w:rPr>
        <w:t xml:space="preserve">La representación semántica sí captura afinidad entre dominios.</w:t>
      </w:r>
      <w:r>
        <w:t xml:space="preserve"> Con embeddings multilingües, el rank promedio superó al azar en ambos sentidos y Recall@10 subió en ambos.</w:t>
      </w:r>
    </w:p>
    <w:p>
      <w:pPr>
        <w:pStyle w:val="ListParagraph"/>
        <w:numPr>
          <w:ilvl w:val="0"/>
          <w:numId w:val="2"/>
        </w:numPr>
        <w:spacing w:after="80"/>
        <w:jc w:val="both"/>
      </w:pPr>
      <w:r>
        <w:rPr>
          <w:b/>
          <w:bCs/>
        </w:rPr>
        <w:t xml:space="preserve">Detectar y corregir el sesgo de hubs fue decisivo.</w:t>
      </w:r>
      <w:r>
        <w:t xml:space="preserve"> La corrección mejoró todas las métricas (MRR combinado de 0.133 a 0.160; Recall@10 de 17.1% a 18.1% del lado banda y de 13.3% a 15.2% del lado libro) y redujo la concentración del libro top-1 más repetido del 38.3% al 7.4% de las bandas.</w:t>
      </w:r>
    </w:p>
    <w:p>
      <w:pPr>
        <w:pStyle w:val="ListParagraph"/>
        <w:numPr>
          <w:ilvl w:val="0"/>
          <w:numId w:val="2"/>
        </w:numPr>
        <w:spacing w:after="80"/>
        <w:jc w:val="both"/>
      </w:pPr>
      <w:r>
        <w:rPr>
          <w:b/>
          <w:bCs/>
        </w:rPr>
        <w:t xml:space="preserve">Las recomendaciones finales son coherentes por subgénero</w:t>
      </w:r>
      <w:r>
        <w:t xml:space="preserve"> (Tabla 10), que es lo que percibe el usuario.</w:t>
      </w:r>
    </w:p>
    <w:p>
      <w:pPr>
        <w:spacing w:after="160"/>
        <w:jc w:val="both"/>
      </w:pPr>
      <w:r>
        <w:t xml:space="preserve">Estos resultados resuelven el problema planteado: Inkriff recomienda en ambos sentidos, explica cada recomendación, funciona con bandas y libros fuera del catálogo y permite escuchar o comprar de inmediato, todo desde una interfaz conversacional que no requiere conocimientos técnicos.</w:t>
      </w:r>
    </w:p>
    <w:p>
      <w:pPr>
        <w:spacing w:after="160"/>
        <w:jc w:val="both"/>
      </w:pPr>
      <w:r>
        <w:t xml:space="preserve">Al mismo tiempo, las cifras absolutas son modestas: un Recall@10 de entre 15% y 18%, medido sobre solo 105 pares, indica un modelo mejor que el azar pero lejos de uno ideal. El valor del trabajo está en la mejora relativa, en la coherencia cualitativa y en la transparencia de cada decisión. Para la toma de decisiones, lo prioritario es ampliar los pares de evaluación y completar las sinopsis faltantes (sección 3.4); como mejora técnica a futuro, un espacio aprendido con aprendizaje contrastivo podría acercar más los dos dominios una vez que existan suficientes pares para entrenarlo sin memorizar.</w:t>
      </w:r>
    </w:p>
    <w:p>
      <w:pPr>
        <w:pStyle w:val="Heading1"/>
      </w:pPr>
      <w:r>
        <w:t xml:space="preserve">12. Referencias</w:t>
      </w:r>
    </w:p>
    <w:p>
      <w:pPr>
        <w:spacing w:after="120"/>
        <w:ind w:left="720" w:hanging="720"/>
      </w:pPr>
      <w:r>
        <w:t xml:space="preserve">Abid, A., Abdalla, A., Abid, A., Khan, D., Alfozan, A., &amp; Zou, J. (2019). </w:t>
      </w:r>
      <w:r>
        <w:rPr>
          <w:i/>
          <w:iCs/>
        </w:rPr>
        <w:t xml:space="preserve">Gradio: Hassle-free sharing and testing of ML models in the wild</w:t>
      </w:r>
      <w:r>
        <w:t xml:space="preserve"> [Preprint]. arXiv. https://doi.org/10.48550/arXiv.1906.02569</w:t>
      </w:r>
    </w:p>
    <w:p>
      <w:pPr>
        <w:spacing w:after="120"/>
        <w:ind w:left="720" w:hanging="720"/>
      </w:pPr>
      <w:r>
        <w:t xml:space="preserve">Conneau, A., Lample, G., Ranzato, M., Denoyer, L., &amp; Jégou, H. (2018). Word translation without parallel data. En </w:t>
      </w:r>
      <w:r>
        <w:rPr>
          <w:i/>
          <w:iCs/>
        </w:rPr>
        <w:t xml:space="preserve">International Conference on Learning Representations (ICLR 2018)</w:t>
      </w:r>
      <w:r>
        <w:t xml:space="preserve">. https://arxiv.org/abs/1710.04087</w:t>
      </w:r>
    </w:p>
    <w:p>
      <w:pPr>
        <w:spacing w:after="120"/>
        <w:ind w:left="720" w:hanging="720"/>
      </w:pPr>
      <w:r>
        <w:t xml:space="preserve">Genius. (s.f.). </w:t>
      </w:r>
      <w:r>
        <w:rPr>
          <w:i/>
          <w:iCs/>
        </w:rPr>
        <w:t xml:space="preserve">Genius API documentation</w:t>
      </w:r>
      <w:r>
        <w:t xml:space="preserve">. Recuperado el 2 de octubre de 2026, de https://docs.genius.com/</w:t>
      </w:r>
    </w:p>
    <w:p>
      <w:pPr>
        <w:spacing w:after="120"/>
        <w:ind w:left="720" w:hanging="720"/>
      </w:pPr>
      <w:r>
        <w:t xml:space="preserve">Google. (s.f.). </w:t>
      </w:r>
      <w:r>
        <w:rPr>
          <w:i/>
          <w:iCs/>
        </w:rPr>
        <w:t xml:space="preserve">Google Books APIs</w:t>
      </w:r>
      <w:r>
        <w:t xml:space="preserve">. Recuperado el 2 de octubre de 2026, de https://developers.google.com/books</w:t>
      </w:r>
    </w:p>
    <w:p>
      <w:pPr>
        <w:spacing w:after="120"/>
        <w:ind w:left="720" w:hanging="720"/>
      </w:pPr>
      <w:r>
        <w:t xml:space="preserve">Groq. (s.f.). </w:t>
      </w:r>
      <w:r>
        <w:rPr>
          <w:i/>
          <w:iCs/>
        </w:rPr>
        <w:t xml:space="preserve">GroqCloud documentation</w:t>
      </w:r>
      <w:r>
        <w:t xml:space="preserve">. Recuperado el 2 de octubre de 2026, de https://console.groq.com/docs</w:t>
      </w:r>
    </w:p>
    <w:p>
      <w:pPr>
        <w:spacing w:after="120"/>
        <w:ind w:left="720" w:hanging="720"/>
      </w:pPr>
      <w:r>
        <w:t xml:space="preserve">Internet Archive. (s.f.). </w:t>
      </w:r>
      <w:r>
        <w:rPr>
          <w:i/>
          <w:iCs/>
        </w:rPr>
        <w:t xml:space="preserve">Open Library developer APIs</w:t>
      </w:r>
      <w:r>
        <w:t xml:space="preserve">. Recuperado el 2 de octubre de 2026, de https://openlibrary.org/developers/api</w:t>
      </w:r>
    </w:p>
    <w:p>
      <w:pPr>
        <w:spacing w:after="120"/>
        <w:ind w:left="720" w:hanging="720"/>
      </w:pPr>
      <w:r>
        <w:t xml:space="preserve">Lops, P., de Gemmis, M., &amp; Semeraro, G. (2011). Content-based recommender systems: State of the art and trends. En F. Ricci, L. Rokach, B. Shapira, &amp; P. B. Kantor (Eds.), </w:t>
      </w:r>
      <w:r>
        <w:rPr>
          <w:i/>
          <w:iCs/>
        </w:rPr>
        <w:t xml:space="preserve">Recommender systems handbook</w:t>
      </w:r>
      <w:r>
        <w:t xml:space="preserve"> (pp. 73–105). Springer. https://doi.org/10.1007/978-0-387-85820-3_3</w:t>
      </w:r>
    </w:p>
    <w:p>
      <w:pPr>
        <w:spacing w:after="120"/>
        <w:ind w:left="720" w:hanging="720"/>
      </w:pPr>
      <w:r>
        <w:t xml:space="preserve">MetaBrainz Foundation. (s.f.). </w:t>
      </w:r>
      <w:r>
        <w:rPr>
          <w:i/>
          <w:iCs/>
        </w:rPr>
        <w:t xml:space="preserve">MusicBrainz API</w:t>
      </w:r>
      <w:r>
        <w:t xml:space="preserve">. Recuperado el 2 de octubre de 2026, de https://musicbrainz.org/doc/MusicBrainz_API</w:t>
      </w:r>
    </w:p>
    <w:p>
      <w:pPr>
        <w:spacing w:after="120"/>
        <w:ind w:left="720" w:hanging="720"/>
      </w:pPr>
      <w:r>
        <w:t xml:space="preserve">OpenAI. (s.f.). </w:t>
      </w:r>
      <w:r>
        <w:rPr>
          <w:i/>
          <w:iCs/>
        </w:rPr>
        <w:t xml:space="preserve">API reference</w:t>
      </w:r>
      <w:r>
        <w:t xml:space="preserve">. Recuperado el 2 de octubre de 2026, de https://platform.openai.com/docs/api-reference</w:t>
      </w:r>
    </w:p>
    <w:p>
      <w:pPr>
        <w:spacing w:after="120"/>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iCs/>
        </w:rPr>
        <w:t xml:space="preserve">Journal of Machine Learning Research, 12</w:t>
      </w:r>
      <w:r>
        <w:t xml:space="preserve">, 2825–2830.</w:t>
      </w:r>
    </w:p>
    <w:p>
      <w:pPr>
        <w:spacing w:after="120"/>
        <w:ind w:left="720" w:hanging="720"/>
      </w:pPr>
      <w:r>
        <w:t xml:space="preserve">Radovanović, M., Nanopoulos, A., &amp; Ivanović, M. (2010). Hubs in space: Popular nearest neighbors in high-dimensional data. </w:t>
      </w:r>
      <w:r>
        <w:rPr>
          <w:i/>
          <w:iCs/>
        </w:rPr>
        <w:t xml:space="preserve">Journal of Machine Learning Research, 11</w:t>
      </w:r>
      <w:r>
        <w:t xml:space="preserve">, 2487–2531.</w:t>
      </w:r>
    </w:p>
    <w:p>
      <w:pPr>
        <w:spacing w:after="120"/>
        <w:ind w:left="720" w:hanging="720"/>
      </w:pPr>
      <w:r>
        <w:t xml:space="preserve">Reimers, N., &amp; Gurevych, I. (2019). Sentence-BERT: Sentence embeddings using Siamese BERT-networks. En </w:t>
      </w:r>
      <w:r>
        <w:rPr>
          <w:i/>
          <w:iCs/>
        </w:rPr>
        <w:t xml:space="preserve">Proceedings of the 2019 Conference on Empirical Methods in Natural Language Processing and the 9th International Joint Conference on Natural Language Processing (EMNLP-IJCNLP)</w:t>
      </w:r>
      <w:r>
        <w:t xml:space="preserve"> (pp. 3982–3992). Association for Computational Linguistics. https://doi.org/10.18653/v1/D19-1410</w:t>
      </w:r>
    </w:p>
    <w:p>
      <w:pPr>
        <w:spacing w:after="120"/>
        <w:ind w:left="720" w:hanging="720"/>
      </w:pPr>
      <w:r>
        <w:t xml:space="preserve">Reimers, N., &amp; Gurevych, I. (2020). Making monolingual sentence embeddings multilingual using knowledge distillation. En </w:t>
      </w:r>
      <w:r>
        <w:rPr>
          <w:i/>
          <w:iCs/>
        </w:rPr>
        <w:t xml:space="preserve">Proceedings of the 2020 Conference on Empirical Methods in Natural Language Processing (EMNLP)</w:t>
      </w:r>
      <w:r>
        <w:t xml:space="preserve"> (pp. 4512–4525). Association for Computational Linguistics. https://doi.org/10.18653/v1/2020.emnlp-main.365</w:t>
      </w:r>
    </w:p>
    <w:p>
      <w:pPr>
        <w:spacing w:after="120"/>
        <w:ind w:left="720" w:hanging="720"/>
      </w:pPr>
      <w:r>
        <w:t xml:space="preserve">Salton, G., &amp; Buckley, C. (1988). Term-weighting approaches in automatic text retrieval. </w:t>
      </w:r>
      <w:r>
        <w:rPr>
          <w:i/>
          <w:iCs/>
        </w:rPr>
        <w:t xml:space="preserve">Information Processing &amp; Management, 24</w:t>
      </w:r>
      <w:r>
        <w:t xml:space="preserve">(5), 513–523. https://doi.org/10.1016/0306-4573(88)90021-0</w:t>
      </w:r>
    </w:p>
    <w:p>
      <w:pPr>
        <w:spacing w:after="120"/>
        <w:ind w:left="720" w:hanging="720"/>
      </w:pPr>
      <w:r>
        <w:t xml:space="preserve">Spotify. (s.f.). </w:t>
      </w:r>
      <w:r>
        <w:rPr>
          <w:i/>
          <w:iCs/>
        </w:rPr>
        <w:t xml:space="preserve">oEmbed API</w:t>
      </w:r>
      <w:r>
        <w:t xml:space="preserve">. Spotify for Developers. Recuperado el 2 de octubre de 2026, de https://developer.spotify.com/documentation/embeds/reference/oembed</w:t>
      </w:r>
    </w:p>
    <w:p>
      <w:pPr>
        <w:spacing w:after="120"/>
        <w:ind w:left="720" w:hanging="720"/>
      </w:pPr>
      <w:r>
        <w:t xml:space="preserve">Voorhees, E. M. (1999). The TREC-8 question answering track report. En </w:t>
      </w:r>
      <w:r>
        <w:rPr>
          <w:i/>
          <w:iCs/>
        </w:rPr>
        <w:t xml:space="preserve">Proceedings of the Eighth Text REtrieval Conference (TREC-8)</w:t>
      </w:r>
      <w:r>
        <w:t xml:space="preserve"> (NIST Special Publication 500-246). National Institute of Standards and Technology. https://www.nist.gov/publications/trec-8-question-answering-track-report</w:t>
      </w:r>
    </w:p>
    <w:p>
      <w:pPr>
        <w:spacing w:after="120"/>
        <w:ind w:left="720" w:hanging="720"/>
      </w:pPr>
      <w:r>
        <w:t xml:space="preserve">Wang, W., Wei, F., Dong, L., Bao, H., Yang, N., &amp; Zhou, M. (2020). MiniLM: Deep self-attention distillation for task-agnostic compression of pre-trained transformers. En </w:t>
      </w:r>
      <w:r>
        <w:rPr>
          <w:i/>
          <w:iCs/>
        </w:rPr>
        <w:t xml:space="preserve">Advances in Neural Information Processing Systems 33</w:t>
      </w:r>
      <w:r>
        <w:t xml:space="preserve"> (pp. 5776–5788). Curran Associates.</w:t>
      </w:r>
    </w:p>
    <w:p>
      <w:pPr>
        <w:spacing w:after="120"/>
        <w:ind w:left="720" w:hanging="720"/>
      </w:pPr>
      <w:r>
        <w:t xml:space="preserve">Zipf, G. K. (1949). </w:t>
      </w:r>
      <w:r>
        <w:rPr>
          <w:i/>
          <w:iCs/>
        </w:rPr>
        <w:t xml:space="preserve">Human behavior and the principle of least effort</w:t>
      </w:r>
      <w:r>
        <w:t xml:space="preserve">. Addison-Wesley.</w:t>
      </w:r>
    </w:p>
    <w:p w14:paraId="748F20C2" w14:textId="77777777" w:rsidR="00B42137" w:rsidRDefault="00000000">
      <w:pPr>
        <w:pStyle w:val="Heading1"/>
      </w:pPr>
      <w:r>
        <w:t>Anexo — Notebooks y archivos generados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B42137" w14:paraId="2AF993CC" w14:textId="77777777" w:rsidTr="00EF23A9">
        <w:tblPrEx>
          <w:tblCellMar>
            <w:top w:w="0" w:type="dxa"/>
            <w:bottom w:w="0" w:type="dxa"/>
          </w:tblCellMar>
        </w:tblPrEx>
        <w:trPr>
          <w:jc w:val="center"/>
        </w:trPr>
        <w:tc>
          <w:tcPr>
            <w:tcW w:w="3600" w:type="dxa"/>
            <w:shd w:val="clear" w:color="auto" w:fill="6B2D5C"/>
            <w:tcMar>
              <w:top w:w="80" w:type="dxa"/>
              <w:left w:w="100" w:type="dxa"/>
              <w:bottom w:w="80" w:type="dxa"/>
              <w:right w:w="100" w:type="dxa"/>
            </w:tcMar>
          </w:tcPr>
          <w:p w14:paraId="31E8A8CA" w14:textId="77777777" w:rsidR="00B42137" w:rsidRDefault="00000000" w:rsidP="00EF23A9">
            <w:pPr>
              <w:jc w:val="center"/>
            </w:pPr>
            <w:r>
              <w:rPr>
                <w:b/>
                <w:bCs/>
                <w:color w:val="FFFFFF"/>
                <w:sz w:val="20"/>
                <w:szCs w:val="20"/>
              </w:rPr>
              <w:t>Notebook</w:t>
            </w:r>
          </w:p>
        </w:tc>
        <w:tc>
          <w:tcPr>
            <w:tcW w:w="5400" w:type="dxa"/>
            <w:shd w:val="clear" w:color="auto" w:fill="6B2D5C"/>
            <w:tcMar>
              <w:top w:w="80" w:type="dxa"/>
              <w:left w:w="100" w:type="dxa"/>
              <w:bottom w:w="80" w:type="dxa"/>
              <w:right w:w="100" w:type="dxa"/>
            </w:tcMar>
          </w:tcPr>
          <w:p w14:paraId="45A02007" w14:textId="77777777" w:rsidR="00B42137" w:rsidRDefault="00000000" w:rsidP="00EF23A9">
            <w:pPr>
              <w:jc w:val="center"/>
            </w:pPr>
            <w:r>
              <w:rPr>
                <w:b/>
                <w:bCs/>
                <w:color w:val="FFFFFF"/>
                <w:sz w:val="20"/>
                <w:szCs w:val="20"/>
              </w:rPr>
              <w:t>Propósito</w:t>
            </w:r>
          </w:p>
        </w:tc>
      </w:tr>
      <w:tr w:rsidR="00B42137" w14:paraId="472B7FCF" w14:textId="77777777" w:rsidTr="00EF23A9">
        <w:tblPrEx>
          <w:tblCellMar>
            <w:top w:w="0" w:type="dxa"/>
            <w:bottom w:w="0" w:type="dxa"/>
          </w:tblCellMar>
        </w:tblPrEx>
        <w:trPr>
          <w:jc w:val="center"/>
        </w:trPr>
        <w:tc>
          <w:tcPr>
            <w:tcW w:w="3600" w:type="dxa"/>
            <w:tcMar>
              <w:top w:w="80" w:type="dxa"/>
              <w:left w:w="100" w:type="dxa"/>
              <w:bottom w:w="80" w:type="dxa"/>
              <w:right w:w="100" w:type="dxa"/>
            </w:tcMar>
          </w:tcPr>
          <w:p w14:paraId="43A7B820" w14:textId="77777777" w:rsidR="00B42137" w:rsidRDefault="00000000">
            <w:r>
              <w:rPr>
                <w:color w:val="000000"/>
                <w:sz w:val="20"/>
                <w:szCs w:val="20"/>
              </w:rPr>
              <w:t>inkriff_pilot_extraccion.ipynb</w:t>
            </w:r>
          </w:p>
        </w:tc>
        <w:tc>
          <w:tcPr>
            <w:tcW w:w="5400" w:type="dxa"/>
            <w:tcMar>
              <w:top w:w="80" w:type="dxa"/>
              <w:left w:w="100" w:type="dxa"/>
              <w:bottom w:w="80" w:type="dxa"/>
              <w:right w:w="100" w:type="dxa"/>
            </w:tcMar>
          </w:tcPr>
          <w:p w14:paraId="144F7440" w14:textId="77777777" w:rsidR="00B42137" w:rsidRDefault="00000000">
            <w:r>
              <w:rPr>
                <w:color w:val="000000"/>
                <w:sz w:val="20"/>
                <w:szCs w:val="20"/>
              </w:rPr>
              <w:t>Validación de las 3 fuentes de datos sobre una muestra pequeña</w:t>
            </w:r>
          </w:p>
        </w:tc>
      </w:tr>
      <w:tr w:rsidR="00B42137" w14:paraId="13CD238B" w14:textId="77777777" w:rsidTr="00EF23A9">
        <w:tblPrEx>
          <w:tblCellMar>
            <w:top w:w="0" w:type="dxa"/>
            <w:bottom w:w="0" w:type="dxa"/>
          </w:tblCellMar>
        </w:tblPrEx>
        <w:trPr>
          <w:jc w:val="center"/>
        </w:trPr>
        <w:tc>
          <w:tcPr>
            <w:tcW w:w="3600" w:type="dxa"/>
            <w:tcMar>
              <w:top w:w="80" w:type="dxa"/>
              <w:left w:w="100" w:type="dxa"/>
              <w:bottom w:w="80" w:type="dxa"/>
              <w:right w:w="100" w:type="dxa"/>
            </w:tcMar>
          </w:tcPr>
          <w:p w14:paraId="6AD309C1" w14:textId="77777777" w:rsidR="00B42137" w:rsidRDefault="00000000">
            <w:r>
              <w:rPr>
                <w:color w:val="000000"/>
                <w:sz w:val="20"/>
                <w:szCs w:val="20"/>
              </w:rPr>
              <w:t>inkriff_extraccion_completa.ipynb</w:t>
            </w:r>
          </w:p>
        </w:tc>
        <w:tc>
          <w:tcPr>
            <w:tcW w:w="5400" w:type="dxa"/>
            <w:tcMar>
              <w:top w:w="80" w:type="dxa"/>
              <w:left w:w="100" w:type="dxa"/>
              <w:bottom w:w="80" w:type="dxa"/>
              <w:right w:w="100" w:type="dxa"/>
            </w:tcMar>
          </w:tcPr>
          <w:p w14:paraId="3D2A1DFC" w14:textId="77777777" w:rsidR="00B42137" w:rsidRDefault="00000000">
            <w:r>
              <w:rPr>
                <w:color w:val="000000"/>
                <w:sz w:val="20"/>
                <w:szCs w:val="20"/>
              </w:rPr>
              <w:t>Extracción completa: 81 bandas + 112 libros → bandas_completo.csv, libros.csv</w:t>
            </w:r>
          </w:p>
        </w:tc>
      </w:tr>
      <w:tr w:rsidR="00B42137" w14:paraId="49716BD4" w14:textId="77777777" w:rsidTr="00EF23A9">
        <w:tblPrEx>
          <w:tblCellMar>
            <w:top w:w="0" w:type="dxa"/>
            <w:bottom w:w="0" w:type="dxa"/>
          </w:tblCellMar>
        </w:tblPrEx>
        <w:trPr>
          <w:jc w:val="center"/>
        </w:trPr>
        <w:tc>
          <w:tcPr>
            <w:tcW w:w="3600" w:type="dxa"/>
            <w:tcMar>
              <w:top w:w="80" w:type="dxa"/>
              <w:left w:w="100" w:type="dxa"/>
              <w:bottom w:w="80" w:type="dxa"/>
              <w:right w:w="100" w:type="dxa"/>
            </w:tcMar>
          </w:tcPr>
          <w:p w14:paraId="3FD93A8D" w14:textId="77777777" w:rsidR="00B42137" w:rsidRDefault="00000000">
            <w:r>
              <w:rPr>
                <w:color w:val="000000"/>
                <w:sz w:val="20"/>
                <w:szCs w:val="20"/>
              </w:rPr>
              <w:t>inkriff_eda_ingenieria.ipynb</w:t>
            </w:r>
          </w:p>
        </w:tc>
        <w:tc>
          <w:tcPr>
            <w:tcW w:w="5400" w:type="dxa"/>
            <w:tcMar>
              <w:top w:w="80" w:type="dxa"/>
              <w:left w:w="100" w:type="dxa"/>
              <w:bottom w:w="80" w:type="dxa"/>
              <w:right w:w="100" w:type="dxa"/>
            </w:tcMar>
          </w:tcPr>
          <w:p w14:paraId="0BA80FC3" w14:textId="77777777" w:rsidR="00B42137" w:rsidRDefault="00000000">
            <w:r>
              <w:rPr>
                <w:color w:val="000000"/>
                <w:sz w:val="20"/>
                <w:szCs w:val="20"/>
              </w:rPr>
              <w:t>EDA, extracción de sinopsis, limpieza de texto e ingeniería de variables → bandas_features.csv, libros_features.csv, pares_features.csv</w:t>
            </w:r>
          </w:p>
        </w:tc>
      </w:tr>
      <w:tr w:rsidR="00B42137" w14:paraId="5A66B20B" w14:textId="77777777" w:rsidTr="00EF23A9">
        <w:tblPrEx>
          <w:tblCellMar>
            <w:top w:w="0" w:type="dxa"/>
            <w:bottom w:w="0" w:type="dxa"/>
          </w:tblCellMar>
        </w:tblPrEx>
        <w:trPr>
          <w:jc w:val="center"/>
        </w:trPr>
        <w:tc>
          <w:tcPr>
            <w:tcW w:w="3600" w:type="dxa"/>
            <w:tcMar>
              <w:top w:w="80" w:type="dxa"/>
              <w:left w:w="100" w:type="dxa"/>
              <w:bottom w:w="80" w:type="dxa"/>
              <w:right w:w="100" w:type="dxa"/>
            </w:tcMar>
          </w:tcPr>
          <w:p w14:paraId="1F428281" w14:textId="77777777" w:rsidR="00B42137" w:rsidRDefault="00000000">
            <w:r>
              <w:rPr>
                <w:color w:val="000000"/>
                <w:sz w:val="20"/>
                <w:szCs w:val="20"/>
              </w:rPr>
              <w:t>inkriff_modelado_similitud.ipynb</w:t>
            </w:r>
          </w:p>
        </w:tc>
        <w:tc>
          <w:tcPr>
            <w:tcW w:w="5400" w:type="dxa"/>
            <w:tcMar>
              <w:top w:w="80" w:type="dxa"/>
              <w:left w:w="100" w:type="dxa"/>
              <w:bottom w:w="80" w:type="dxa"/>
              <w:right w:w="100" w:type="dxa"/>
            </w:tcMar>
          </w:tcPr>
          <w:p w14:paraId="55954436" w14:textId="77777777" w:rsidR="00B42137" w:rsidRDefault="00000000">
            <w:r>
              <w:rPr>
                <w:color w:val="000000"/>
                <w:sz w:val="20"/>
                <w:szCs w:val="20"/>
              </w:rPr>
              <w:t xml:space="preserve">Recomendador por similitud de contenido: TF-IDF, embeddings, corrección de hubness → recomendaciones_libro_a_banda.csv, recomendaciones_banda_a_libro.csv</w:t>
            </w:r>
          </w:p>
        </w:tc>
      </w:tr>
    </w:tbl>
    <w:p w14:paraId="30C93573" w14:textId="77777777" w:rsidR="00955858" w:rsidRDefault="00955858"/>
    <w:sectPr w:rsidR="0095585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A5A51"/>
    <w:multiLevelType w:val="hybridMultilevel"/>
    <w:tmpl w:val="D1207926"/>
    <w:lvl w:ilvl="0" w:tplc="3CEC8790">
      <w:start w:val="1"/>
      <w:numFmt w:val="bullet"/>
      <w:lvlText w:val="●"/>
      <w:lvlJc w:val="left"/>
      <w:pPr>
        <w:ind w:left="720" w:hanging="360"/>
      </w:pPr>
    </w:lvl>
    <w:lvl w:ilvl="1" w:tplc="2AB2721C">
      <w:start w:val="1"/>
      <w:numFmt w:val="bullet"/>
      <w:lvlText w:val="○"/>
      <w:lvlJc w:val="left"/>
      <w:pPr>
        <w:ind w:left="1440" w:hanging="360"/>
      </w:pPr>
    </w:lvl>
    <w:lvl w:ilvl="2" w:tplc="FB2A03EE">
      <w:start w:val="1"/>
      <w:numFmt w:val="bullet"/>
      <w:lvlText w:val="■"/>
      <w:lvlJc w:val="left"/>
      <w:pPr>
        <w:ind w:left="2160" w:hanging="360"/>
      </w:pPr>
    </w:lvl>
    <w:lvl w:ilvl="3" w:tplc="0A9EBC28">
      <w:start w:val="1"/>
      <w:numFmt w:val="bullet"/>
      <w:lvlText w:val="●"/>
      <w:lvlJc w:val="left"/>
      <w:pPr>
        <w:ind w:left="2880" w:hanging="360"/>
      </w:pPr>
    </w:lvl>
    <w:lvl w:ilvl="4" w:tplc="0192900E">
      <w:start w:val="1"/>
      <w:numFmt w:val="bullet"/>
      <w:lvlText w:val="○"/>
      <w:lvlJc w:val="left"/>
      <w:pPr>
        <w:ind w:left="3600" w:hanging="360"/>
      </w:pPr>
    </w:lvl>
    <w:lvl w:ilvl="5" w:tplc="F9388AAA">
      <w:start w:val="1"/>
      <w:numFmt w:val="bullet"/>
      <w:lvlText w:val="■"/>
      <w:lvlJc w:val="left"/>
      <w:pPr>
        <w:ind w:left="4320" w:hanging="360"/>
      </w:pPr>
    </w:lvl>
    <w:lvl w:ilvl="6" w:tplc="295E7420">
      <w:start w:val="1"/>
      <w:numFmt w:val="bullet"/>
      <w:lvlText w:val="●"/>
      <w:lvlJc w:val="left"/>
      <w:pPr>
        <w:ind w:left="5040" w:hanging="360"/>
      </w:pPr>
    </w:lvl>
    <w:lvl w:ilvl="7" w:tplc="5E1A8A66">
      <w:start w:val="1"/>
      <w:numFmt w:val="bullet"/>
      <w:lvlText w:val="●"/>
      <w:lvlJc w:val="left"/>
      <w:pPr>
        <w:ind w:left="5760" w:hanging="360"/>
      </w:pPr>
    </w:lvl>
    <w:lvl w:ilvl="8" w:tplc="0FC40F76">
      <w:start w:val="1"/>
      <w:numFmt w:val="bullet"/>
      <w:lvlText w:val="●"/>
      <w:lvlJc w:val="left"/>
      <w:pPr>
        <w:ind w:left="6480" w:hanging="360"/>
      </w:pPr>
    </w:lvl>
  </w:abstractNum>
  <w:abstractNum w:abstractNumId="1" w15:restartNumberingAfterBreak="0">
    <w:nsid w:val="72FA4171"/>
    <w:multiLevelType w:val="hybridMultilevel"/>
    <w:tmpl w:val="79CCF922"/>
    <w:lvl w:ilvl="0" w:tplc="205A8D66">
      <w:start w:val="1"/>
      <w:numFmt w:val="bullet"/>
      <w:lvlText w:val="•"/>
      <w:lvlJc w:val="left"/>
      <w:pPr>
        <w:ind w:left="480" w:hanging="260"/>
      </w:pPr>
    </w:lvl>
    <w:lvl w:ilvl="1" w:tplc="16DC7BEC">
      <w:start w:val="1"/>
      <w:numFmt w:val="bullet"/>
      <w:lvlText w:val="◦"/>
      <w:lvlJc w:val="left"/>
      <w:pPr>
        <w:ind w:left="900" w:hanging="260"/>
      </w:pPr>
    </w:lvl>
    <w:lvl w:ilvl="2" w:tplc="9CFE3218">
      <w:numFmt w:val="decimal"/>
      <w:lvlText w:val=""/>
      <w:lvlJc w:val="left"/>
    </w:lvl>
    <w:lvl w:ilvl="3" w:tplc="379CC9F8">
      <w:numFmt w:val="decimal"/>
      <w:lvlText w:val=""/>
      <w:lvlJc w:val="left"/>
    </w:lvl>
    <w:lvl w:ilvl="4" w:tplc="AA2E4E18">
      <w:numFmt w:val="decimal"/>
      <w:lvlText w:val=""/>
      <w:lvlJc w:val="left"/>
    </w:lvl>
    <w:lvl w:ilvl="5" w:tplc="56C077CC">
      <w:numFmt w:val="decimal"/>
      <w:lvlText w:val=""/>
      <w:lvlJc w:val="left"/>
    </w:lvl>
    <w:lvl w:ilvl="6" w:tplc="63BCA800">
      <w:numFmt w:val="decimal"/>
      <w:lvlText w:val=""/>
      <w:lvlJc w:val="left"/>
    </w:lvl>
    <w:lvl w:ilvl="7" w:tplc="7B48E89C">
      <w:numFmt w:val="decimal"/>
      <w:lvlText w:val=""/>
      <w:lvlJc w:val="left"/>
    </w:lvl>
    <w:lvl w:ilvl="8" w:tplc="4C5857B6">
      <w:numFmt w:val="decimal"/>
      <w:lvlText w:val=""/>
      <w:lvlJc w:val="left"/>
    </w:lvl>
  </w:abstractNum>
  <w:abstractNum w:abstractNumId="7">
    <w:multiLevelType w:val="hybridMultilevel"/>
    <w:lvl w:ilvl="0">
      <w:start w:val="1"/>
      <w:numFmt w:val="decimal"/>
      <w:lvlText w:val="%1."/>
      <w:lvlJc w:val="left"/>
      <w:pPr>
        <w:ind w:left="720" w:hanging="360"/>
      </w:pPr>
    </w:lvl>
  </w:abstractNum>
  <w:num w:numId="1" w16cid:durableId="2099279703">
    <w:abstractNumId w:val="0"/>
    <w:lvlOverride w:ilvl="0">
      <w:startOverride w:val="1"/>
    </w:lvlOverride>
  </w:num>
  <w:num w:numId="2" w16cid:durableId="2084717984">
    <w:abstractNumId w:val="1"/>
    <w:lvlOverride w:ilvl="0">
      <w:startOverride w:val="1"/>
    </w:lvlOverride>
  </w:num>
  <w:num w:numId="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137"/>
    <w:rsid w:val="00297B29"/>
    <w:rsid w:val="00955858"/>
    <w:rsid w:val="00B42137"/>
    <w:rsid w:val="00C34F0F"/>
    <w:rsid w:val="00EF23A9"/>
    <w:rsid w:val="00F53463"/>
    <w:rsid w:val="00F931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15D4"/>
  <w15:docId w15:val="{ADA65646-3391-4365-8754-4E31FE18F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6B2D5C"/>
      <w:sz w:val="30"/>
      <w:szCs w:val="30"/>
    </w:rPr>
  </w:style>
  <w:style w:type="paragraph" w:styleId="Heading2">
    <w:name w:val="heading 2"/>
    <w:uiPriority w:val="9"/>
    <w:unhideWhenUsed/>
    <w:qFormat/>
    <w:pPr>
      <w:spacing w:before="260" w:after="120"/>
      <w:outlineLvl w:val="1"/>
    </w:pPr>
    <w:rPr>
      <w:b/>
      <w:bCs/>
      <w:color w:val="3D1A3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Img1" Type="http://schemas.openxmlformats.org/officeDocument/2006/relationships/image" Target="media/flujo_inferenci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3043</Words>
  <Characters>16738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Viry Cassales</cp:lastModifiedBy>
  <cp:revision>3</cp:revision>
  <dcterms:created xsi:type="dcterms:W3CDTF">2026-09-18T01:14:00Z</dcterms:created>
  <dcterms:modified xsi:type="dcterms:W3CDTF">2026-10-02T12:04:00Z</dcterms:modified>
</cp:coreProperties>
</file>