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20"/>
        <w:jc w:val="center"/>
      </w:pPr>
      <w:r>
        <w:rPr>
          <w:b/>
          <w:bCs/>
          <w:color w:val="6B2D5C"/>
          <w:sz w:val="64"/>
          <w:szCs w:val="64"/>
        </w:rPr>
        <w:t xml:space="preserve">Inkriff</w:t>
      </w:r>
    </w:p>
    <w:p>
      <w:pPr>
        <w:spacing w:after="60"/>
        <w:jc w:val="center"/>
      </w:pPr>
      <w:r>
        <w:rPr>
          <w:b/>
          <w:bCs/>
          <w:color w:val="3D1A35"/>
          <w:sz w:val="34"/>
          <w:szCs w:val="34"/>
        </w:rPr>
        <w:t xml:space="preserve">Metodología y Resultados</w:t>
      </w:r>
    </w:p>
    <w:p>
      <w:pPr>
        <w:spacing w:after="600"/>
        <w:jc w:val="center"/>
      </w:pPr>
      <w:r>
        <w:rPr>
          <w:i/>
          <w:iCs/>
          <w:color w:val="555555"/>
          <w:sz w:val="24"/>
          <w:szCs w:val="24"/>
        </w:rPr>
        <w:t xml:space="preserve">Recomendador bidireccional entre música rock/metal y literatura fantástica/romántica</w:t>
      </w:r>
    </w:p>
    <w:p>
      <w:pPr>
        <w:spacing w:after="80"/>
        <w:jc w:val="center"/>
      </w:pPr>
      <w:r>
        <w:rPr>
          <w:sz w:val="22"/>
          <w:szCs w:val="22"/>
        </w:rPr>
        <w:t xml:space="preserve">Trabajo Final — Diplomado en Ciencia de Datos, FES Acatlán, UNAM</w:t>
      </w:r>
    </w:p>
    <w:p>
      <w:pPr>
        <w:spacing w:after="900"/>
        <w:jc w:val="center"/>
      </w:pPr>
      <w:r>
        <w:rPr>
          <w:sz w:val="22"/>
          <w:szCs w:val="22"/>
        </w:rPr>
        <w:t xml:space="preserve">Autora: Viry</w:t>
      </w:r>
    </w:p>
    <w:p>
      <w:r>
        <w:t xml:space="preserve"> </w:t>
      </w:r>
    </w:p>
    <w:p>
      <w:pPr>
        <w:pStyle w:val="Heading1"/>
        <w:spacing w:after="160" w:before="360"/>
      </w:pPr>
      <w:r>
        <w:t xml:space="preserve">Resumen ejecutivo</w:t>
      </w:r>
    </w:p>
    <w:p>
      <w:pPr>
        <w:spacing w:after="160"/>
        <w:jc w:val="both"/>
      </w:pPr>
      <w:r>
        <w:t xml:space="preserve">Inkriff es una empresa ficticia que propone un recomendador bidireccional entre música de rock/metal (y sus subgéneros) y literatura de fantasía/romance: dado un libro, recomendar bandas afines; dado una banda, recomendar libros afines. Este documento resume la metodología completa del proyecto — desde la extracción de datos vía APIs públicas hasta el modelo final — y reporta los resultados obtenidos, incluyendo un problema real detectado durante la validación (concentración de recomendaciones en unos pocos libros, o “hubs”) y la corrección aplicada.</w:t>
      </w:r>
    </w:p>
    <w:p>
      <w:pPr>
        <w:spacing w:after="160"/>
        <w:jc w:val="both"/>
      </w:pPr>
      <w:r>
        <w:t xml:space="preserve">El universo de datos se construyó con 81 bandas de rock/metal repartidas en 24 subgéneros y 112 libros de fantasía/romance repartidos en 15 categorías, extraídos vía MusicBrainz, la API oficial de Genius y Open Library/Google Books. Sobre ese universo, se curaron a mano 105 pares libro↔banda (con base en criterio de fandom, no en ningún dataset preexistente) que sirven como ancla de evaluación — no de entrenamiento — para el modelo final.</w:t>
      </w:r>
    </w:p>
    <w:p>
      <w:pPr>
        <w:spacing w:after="160"/>
        <w:jc w:val="both"/>
      </w:pPr>
      <w:r>
        <w:t xml:space="preserve">Dado el tamaño reducido de esas 105 anclas, se descartó entrenar una red desde cero (alto riesgo de memorización) y se optó por un recomendador de similitud de contenido: cada libro y cada banda se representan como un vector en un espacio semántico compartido, y la recomendación es la similitud coseno más alta del otro lado. Se compararon tres variantes — TF-IDF, embeddings de oración pre-entrenados multilingües, y una corrección de “hubness” sobre esos embeddings — y la última resultó mejor tanto en las métricas de evaluación (rank promedio, Recall@5, Recall@10, MRR) como en la calidad práctica de las recomendaciones.</w:t>
      </w:r>
    </w:p>
    <w:p>
      <w:pPr>
        <w:pStyle w:val="Heading1"/>
        <w:spacing w:after="160" w:before="360"/>
      </w:pPr>
      <w:r>
        <w:t xml:space="preserve">1. Planteamiento del problema</w:t>
      </w:r>
    </w:p>
    <w:p>
      <w:pPr>
        <w:spacing w:after="160"/>
        <w:jc w:val="both"/>
      </w:pPr>
      <w:r>
        <w:t xml:space="preserve">El reto de negocio (ficticio) de Inkriff es conectar dos fandoms que comparten estética y sensibilidad — el metal/rock y la fantasía/romance — pero que no tienen, hoy, ningún puente de recomendación cruzada. Un usuario que ama Sarah J. Maas no tiene una manera sistemática de encontrar la banda de power metal que “le queda” a su libro favorito, y viceversa.</w:t>
      </w:r>
    </w:p>
    <w:p>
      <w:pPr>
        <w:spacing w:after="160"/>
        <w:jc w:val="both"/>
      </w:pPr>
      <w:r>
        <w:t xml:space="preserve">El proyecto se restringió deliberadamente a dos condiciones fijadas por el Diplomado: los datos deben venir de APIs o scraping (no de un dataset de Kaggle), y el proyecto debe poder correr con recursos gratuitos (Google Colab, APIs sin costo). Estas dos restricciones determinaron gran parte de las decisiones metodológicas descritas abajo.</w:t>
      </w:r>
    </w:p>
    <w:p>
      <w:pPr>
        <w:pStyle w:val="Heading1"/>
        <w:spacing w:after="160" w:before="360"/>
      </w:pPr>
      <w:r>
        <w:t xml:space="preserve">2. Fuentes de datos y extracción</w:t>
      </w:r>
    </w:p>
    <w:p>
      <w:pPr>
        <w:spacing w:after="160"/>
        <w:jc w:val="both"/>
      </w:pPr>
      <w:r>
        <w:t xml:space="preserve">Se usaron tres fuentes, todas vía API pública, validadas primero en un notebook piloto (inkriff_pilot_extraccion.ipynb) sobre una muestra pequeña antes de escalar al universo completo (inkriff_extraccion_completa.ipynb):</w:t>
      </w:r>
    </w:p>
    <w:p>
      <w:pPr>
        <w:pStyle w:val="ListParagraph"/>
        <w:numPr>
          <w:ilvl w:val="0"/>
          <w:numId w:val="2"/>
        </w:numPr>
        <w:spacing w:after="80"/>
      </w:pPr>
      <w:r>
        <w:t xml:space="preserve">MusicBrainz — metadatos y tags/géneros de cada banda (país, tags ordenados por frecuencia, enlace a Spotify). No requiere API key; su límite de tasa (~1 solicitud/segundo, compartido entre usuarios anónimos) provoca errores 503 frecuentes, resueltos con reintento automático y backoff exponencial (1, 2, 4, 8, 16 segundos).</w:t>
      </w:r>
    </w:p>
    <w:p>
      <w:pPr>
        <w:pStyle w:val="ListParagraph"/>
        <w:numPr>
          <w:ilvl w:val="0"/>
          <w:numId w:val="2"/>
        </w:numPr>
        <w:spacing w:after="80"/>
      </w:pPr>
      <w:r>
        <w:t xml:space="preserve">Genius — API oficial, solo metadatos (título de la canción más popular, artista, “pageviews” como proxy de popularidad). Se intentó inicialmente obtener letras completas con la librería lyricsgenius, pero Genius bloquea ese scraping con un reto de Cloudflare/reCAPTCHA (error 403) y, además, iba contra sus Términos de Servicio. Se descartó por completo el uso de letras; los tags de MusicBrainz quedaron como la única señal de “mood” musical.</w:t>
      </w:r>
    </w:p>
    <w:p>
      <w:pPr>
        <w:pStyle w:val="ListParagraph"/>
        <w:numPr>
          <w:ilvl w:val="0"/>
          <w:numId w:val="2"/>
        </w:numPr>
        <w:spacing w:after="80"/>
      </w:pPr>
      <w:r>
        <w:t xml:space="preserve">Open Library, con Google Books como respaldo — título, autor, año de publicación y, en una fase posterior (sección 3), la sinopsis de cada libro.</w:t>
      </w:r>
    </w:p>
    <w:p>
      <w:pPr>
        <w:pStyle w:val="Heading2"/>
        <w:spacing w:after="120" w:before="260"/>
      </w:pPr>
      <w:r>
        <w:t xml:space="preserve">2.1 Universo semilla</w:t>
      </w:r>
    </w:p>
    <w:p>
      <w:pPr>
        <w:spacing w:after="160"/>
        <w:jc w:val="both"/>
      </w:pPr>
      <w:r>
        <w:t xml:space="preserve">El universo semilla se definió a mano por Viry y se amplió iterativamente hasta cubrir también las bandas y libros mencionados en los 105 pares de evaluación (ver 2.2), verificando programáticamente que no quedara ningún nombre fuera de cobertura: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5200"/>
        <w:gridCol w:w="1600"/>
      </w:tblGrid>
      <w:tr>
        <w:tc>
          <w:tcPr>
            <w:tcW w:type="dxa" w:w="3200"/>
            <w:shd w:fill="6B2D5C" w:val="clear"/>
            <w:tcMar>
              <w:top w:type="dxa" w:w="80"/>
              <w:left w:type="dxa" w:w="100"/>
              <w:bottom w:type="dxa" w:w="80"/>
              <w:right w:type="dxa" w:w="100"/>
            </w:tcMar>
          </w:tcPr>
          <w:p>
            <w:r>
              <w:rPr>
                <w:b/>
                <w:bCs/>
                <w:color w:val="FFFFFF"/>
                <w:sz w:val="20"/>
                <w:szCs w:val="20"/>
              </w:rPr>
              <w:t xml:space="preserve">Lado</w:t>
            </w:r>
          </w:p>
        </w:tc>
        <w:tc>
          <w:tcPr>
            <w:tcW w:type="dxa" w:w="5200"/>
            <w:shd w:fill="6B2D5C" w:val="clear"/>
            <w:tcMar>
              <w:top w:type="dxa" w:w="80"/>
              <w:left w:type="dxa" w:w="100"/>
              <w:bottom w:type="dxa" w:w="80"/>
              <w:right w:type="dxa" w:w="100"/>
            </w:tcMar>
          </w:tcPr>
          <w:p>
            <w:r>
              <w:rPr>
                <w:b/>
                <w:bCs/>
                <w:color w:val="FFFFFF"/>
                <w:sz w:val="20"/>
                <w:szCs w:val="20"/>
              </w:rPr>
              <w:t xml:space="preserve">Categorías / subgéneros</w:t>
            </w:r>
          </w:p>
        </w:tc>
        <w:tc>
          <w:tcPr>
            <w:tcW w:type="dxa" w:w="1600"/>
            <w:shd w:fill="6B2D5C" w:val="clear"/>
            <w:tcMar>
              <w:top w:type="dxa" w:w="80"/>
              <w:left w:type="dxa" w:w="100"/>
              <w:bottom w:type="dxa" w:w="80"/>
              <w:right w:type="dxa" w:w="100"/>
            </w:tcMar>
          </w:tcPr>
          <w:p>
            <w:r>
              <w:rPr>
                <w:b/>
                <w:bCs/>
                <w:color w:val="FFFFFF"/>
                <w:sz w:val="20"/>
                <w:szCs w:val="20"/>
              </w:rPr>
              <w:t xml:space="preserve">Elementos</w:t>
            </w:r>
          </w:p>
        </w:tc>
      </w:tr>
      <w:tr>
        <w:tc>
          <w:tcPr>
            <w:tcW w:type="dxa" w:w="3200"/>
            <w:tcMar>
              <w:top w:type="dxa" w:w="80"/>
              <w:left w:type="dxa" w:w="100"/>
              <w:bottom w:type="dxa" w:w="80"/>
              <w:right w:type="dxa" w:w="100"/>
            </w:tcMar>
          </w:tcPr>
          <w:p>
            <w:r>
              <w:rPr>
                <w:b w:val="false"/>
                <w:bCs w:val="false"/>
                <w:color w:val="000000"/>
                <w:sz w:val="20"/>
                <w:szCs w:val="20"/>
              </w:rPr>
              <w:t xml:space="preserve">Bandas</w:t>
            </w:r>
          </w:p>
        </w:tc>
        <w:tc>
          <w:tcPr>
            <w:tcW w:type="dxa" w:w="5200"/>
            <w:tcMar>
              <w:top w:type="dxa" w:w="80"/>
              <w:left w:type="dxa" w:w="100"/>
              <w:bottom w:type="dxa" w:w="80"/>
              <w:right w:type="dxa" w:w="100"/>
            </w:tcMar>
          </w:tcPr>
          <w:p>
            <w:r>
              <w:rPr>
                <w:b w:val="false"/>
                <w:bCs w:val="false"/>
                <w:color w:val="000000"/>
                <w:sz w:val="20"/>
                <w:szCs w:val="20"/>
              </w:rPr>
              <w:t xml:space="preserve">24 subgéneros (hard rock, heavy metal, power metal, symphonic metal, folk metal, gothic metal, progressive metal, death metal, black metal, metalcore, deathcore, nu metal, doom/stoner, post-metal, melodic death metal, blackened death metal, post-hardcore, alternative metal, emo/alt rock, pop punk, alternative rock, gothic rock, occult rock, punk rock)</w:t>
            </w:r>
          </w:p>
        </w:tc>
        <w:tc>
          <w:tcPr>
            <w:tcW w:type="dxa" w:w="1600"/>
            <w:tcMar>
              <w:top w:type="dxa" w:w="80"/>
              <w:left w:type="dxa" w:w="100"/>
              <w:bottom w:type="dxa" w:w="80"/>
              <w:right w:type="dxa" w:w="100"/>
            </w:tcMar>
          </w:tcPr>
          <w:p>
            <w:r>
              <w:rPr>
                <w:b w:val="false"/>
                <w:bCs w:val="false"/>
                <w:color w:val="000000"/>
                <w:sz w:val="20"/>
                <w:szCs w:val="20"/>
              </w:rPr>
              <w:t xml:space="preserve">81 bandas</w:t>
            </w:r>
          </w:p>
        </w:tc>
      </w:tr>
      <w:tr>
        <w:tc>
          <w:tcPr>
            <w:tcW w:type="dxa" w:w="3200"/>
            <w:tcMar>
              <w:top w:type="dxa" w:w="80"/>
              <w:left w:type="dxa" w:w="100"/>
              <w:bottom w:type="dxa" w:w="80"/>
              <w:right w:type="dxa" w:w="100"/>
            </w:tcMar>
          </w:tcPr>
          <w:p>
            <w:r>
              <w:rPr>
                <w:b w:val="false"/>
                <w:bCs w:val="false"/>
                <w:color w:val="000000"/>
                <w:sz w:val="20"/>
                <w:szCs w:val="20"/>
              </w:rPr>
              <w:t xml:space="preserve">Libros</w:t>
            </w:r>
          </w:p>
        </w:tc>
        <w:tc>
          <w:tcPr>
            <w:tcW w:type="dxa" w:w="5200"/>
            <w:tcMar>
              <w:top w:type="dxa" w:w="80"/>
              <w:left w:type="dxa" w:w="100"/>
              <w:bottom w:type="dxa" w:w="80"/>
              <w:right w:type="dxa" w:w="100"/>
            </w:tcMar>
          </w:tcPr>
          <w:p>
            <w:r>
              <w:rPr>
                <w:b w:val="false"/>
                <w:bCs w:val="false"/>
                <w:color w:val="000000"/>
                <w:sz w:val="20"/>
                <w:szCs w:val="20"/>
              </w:rPr>
              <w:t xml:space="preserve">15 categorías (alta fantasía/épica, romantasy, fantasía oscura/gótica, romance histórico/gótico, fantasía urbana, mitología, fae fantasy, fantasía clásica/juvenil, grimdark, dark academia, gótico clásico/vampiros, distopía juvenil, romance juvenil/coming-of-age, fantasía de cuento de hadas, cozy fantasy/sobrenatural)</w:t>
            </w:r>
          </w:p>
        </w:tc>
        <w:tc>
          <w:tcPr>
            <w:tcW w:type="dxa" w:w="1600"/>
            <w:tcMar>
              <w:top w:type="dxa" w:w="80"/>
              <w:left w:type="dxa" w:w="100"/>
              <w:bottom w:type="dxa" w:w="80"/>
              <w:right w:type="dxa" w:w="100"/>
            </w:tcMar>
          </w:tcPr>
          <w:p>
            <w:r>
              <w:rPr>
                <w:b w:val="false"/>
                <w:bCs w:val="false"/>
                <w:color w:val="000000"/>
                <w:sz w:val="20"/>
                <w:szCs w:val="20"/>
              </w:rPr>
              <w:t xml:space="preserve">112 libros</w:t>
            </w:r>
          </w:p>
        </w:tc>
      </w:tr>
    </w:tbl>
    <w:p>
      <w:pPr>
        <w:spacing w:after="240"/>
      </w:pPr>
      <w:r>
        <w:rPr>
          <w:i/>
          <w:iCs/>
          <w:color w:val="555555"/>
          <w:sz w:val="18"/>
          <w:szCs w:val="18"/>
        </w:rPr>
        <w:t xml:space="preserve">Tabla 1. Universo semilla final usado en la extracción completa.</w:t>
      </w:r>
    </w:p>
    <w:p>
      <w:pPr>
        <w:pStyle w:val="Heading2"/>
        <w:spacing w:after="120" w:before="260"/>
      </w:pPr>
      <w:r>
        <w:t xml:space="preserve">2.2 Anclas de evaluación: 105 pares libro↔banda</w:t>
      </w:r>
    </w:p>
    <w:p>
      <w:pPr>
        <w:spacing w:after="160"/>
        <w:jc w:val="both"/>
      </w:pPr>
      <w:r>
        <w:t xml:space="preserve">Viry curó a mano 105 pares libro↔banda/subgénero a partir de su propio criterio de fandom (qué banda “le queda” a qué libro y por qué), un proceso independiente de cualquier API o dataset. Estos pares cubren 45 categorías de libro distintas y 37 subgéneros de banda descritos en texto libre por Viry, y se usan exclusivamente para evaluar el recomendador (sección 5) — nunca para entrenarlo.</w:t>
      </w:r>
    </w:p>
    <w:p>
      <w:pPr>
        <w:pStyle w:val="Heading2"/>
        <w:spacing w:after="120" w:before="260"/>
      </w:pPr>
      <w:r>
        <w:t xml:space="preserve">2.3 Control de calidad de los datos extraídos</w:t>
      </w:r>
    </w:p>
    <w:p>
      <w:pPr>
        <w:spacing w:after="160"/>
        <w:jc w:val="both"/>
      </w:pPr>
      <w:r>
        <w:t xml:space="preserve">Al revisar los metadatos de Genius se encontró que, para nombres de banda genéricos o ambiguos, la búsqueda por texto a veces regresa una canción de un artista completamente distinto (por ejemplo, buscar “Death” regresa una canción de Arctic Monkeys). Se cuantificó este problema con una métrica de similitud de cadena (difflib.SequenceMatcher) entre el nombre de banda buscado y el artista que Genius realmente devolvió:</w:t>
      </w:r>
    </w:p>
    <w:p>
      <w:pPr>
        <w:spacing w:after="160"/>
        <w:jc w:val="both"/>
      </w:pPr>
      <w:r>
        <w:rPr>
          <w:b/>
          <w:bCs/>
        </w:rPr>
        <w:t xml:space="preserve">10 de 81 bandas (12.3%)</w:t>
      </w:r>
      <w:r>
        <w:t xml:space="preserve"> tuvieron un match de Genius poco confiable (similitud &lt; 0.5): Death→Arctic Monkeys, Sleep→Drake, Ghost→Kanye West, Paradise Lost→Gemitaiz, Emperor→Panic! at the Disco, The Cure→Olivia Rodrigo, HIM→G-Eazy, Florence + The Machine→Taylor Swift, All Time Low→Jon Bellion y Sleeping With Sirens→Pierce the Veil. Estas 10 bandas quedan marcadas (columna genius_confiable) y su “pageviews” de Genius no se trata como señal confiable de popularidad.</w:t>
      </w:r>
    </w:p>
    <w:p>
      <w:pPr>
        <w:spacing w:after="160"/>
        <w:jc w:val="both"/>
      </w:pPr>
      <w:r>
        <w:t xml:space="preserve">Del lado de los libros, 111 de 112 títulos (99.1%) encontraron un registro bibliográfico válido en Open Library o Google Books; el mismo control de calidad sobre libros (con un umbral de similitud más laxo, 0.25, dado que muchas coincidencias legítimas son traducciones de título) arrojó mayormente falsos positivos esperables (por ejemplo “El Nombre del Viento”→“The Name of the Wind”), salvo un caso real de libro no encontrado bajo su título en español.</w:t>
      </w:r>
    </w:p>
    <w:p>
      <w:pPr>
        <w:pStyle w:val="Heading1"/>
        <w:spacing w:after="160" w:before="360"/>
      </w:pPr>
      <w:r>
        <w:t xml:space="preserve">3. Análisis exploratorio de datos (EDA)</w:t>
      </w:r>
    </w:p>
    <w:p>
      <w:pPr>
        <w:spacing w:after="160"/>
        <w:jc w:val="both"/>
      </w:pPr>
      <w:r>
        <w:t xml:space="preserve">El notebook inkriff_eda_ingenieria.ipynb documenta la distribución del universo de datos y, sobre la marcha, dos hallazgos relevantes para las fases siguientes.</w:t>
      </w:r>
    </w:p>
    <w:p>
      <w:pPr>
        <w:pStyle w:val="Heading2"/>
        <w:spacing w:after="120" w:before="260"/>
      </w:pPr>
      <w:r>
        <w:t xml:space="preserve">3.1 Bandas</w:t>
      </w:r>
    </w:p>
    <w:p>
      <w:pPr>
        <w:spacing w:after="160"/>
        <w:jc w:val="both"/>
      </w:pPr>
      <w:r>
        <w:t xml:space="preserve">Sobre las 81 bandas se identificaron 111 tags distintos de MusicBrainz. Los quince más frecuentes son:</w:t>
      </w:r>
    </w:p>
    <w:tbl>
      <w:tblPr>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tblGrid>
      <w:tr>
        <w:tc>
          <w:tcPr>
            <w:tcW w:type="dxa" w:w="4200"/>
            <w:shd w:fill="6B2D5C" w:val="clear"/>
            <w:tcMar>
              <w:top w:type="dxa" w:w="80"/>
              <w:left w:type="dxa" w:w="100"/>
              <w:bottom w:type="dxa" w:w="80"/>
              <w:right w:type="dxa" w:w="100"/>
            </w:tcMar>
          </w:tcPr>
          <w:p>
            <w:r>
              <w:rPr>
                <w:b/>
                <w:bCs/>
                <w:color w:val="FFFFFF"/>
                <w:sz w:val="20"/>
                <w:szCs w:val="20"/>
              </w:rPr>
              <w:t xml:space="preserve">Tag</w:t>
            </w:r>
          </w:p>
        </w:tc>
        <w:tc>
          <w:tcPr>
            <w:tcW w:type="dxa" w:w="2200"/>
            <w:shd w:fill="6B2D5C" w:val="clear"/>
            <w:tcMar>
              <w:top w:type="dxa" w:w="80"/>
              <w:left w:type="dxa" w:w="100"/>
              <w:bottom w:type="dxa" w:w="80"/>
              <w:right w:type="dxa" w:w="100"/>
            </w:tcMar>
          </w:tcPr>
          <w:p>
            <w:r>
              <w:rPr>
                <w:b/>
                <w:bCs/>
                <w:color w:val="FFFFFF"/>
                <w:sz w:val="20"/>
                <w:szCs w:val="20"/>
              </w:rPr>
              <w:t xml:space="preserve">Bandas</w:t>
            </w:r>
          </w:p>
        </w:tc>
      </w:tr>
      <w:tr>
        <w:tc>
          <w:tcPr>
            <w:tcW w:type="dxa" w:w="4200"/>
            <w:tcMar>
              <w:top w:type="dxa" w:w="80"/>
              <w:left w:type="dxa" w:w="100"/>
              <w:bottom w:type="dxa" w:w="80"/>
              <w:right w:type="dxa" w:w="100"/>
            </w:tcMar>
          </w:tcPr>
          <w:p>
            <w:r>
              <w:rPr>
                <w:b w:val="false"/>
                <w:bCs w:val="false"/>
                <w:color w:val="000000"/>
                <w:sz w:val="20"/>
                <w:szCs w:val="20"/>
              </w:rPr>
              <w:t xml:space="preserve">metal</w:t>
            </w:r>
          </w:p>
        </w:tc>
        <w:tc>
          <w:tcPr>
            <w:tcW w:type="dxa" w:w="2200"/>
            <w:tcMar>
              <w:top w:type="dxa" w:w="80"/>
              <w:left w:type="dxa" w:w="100"/>
              <w:bottom w:type="dxa" w:w="80"/>
              <w:right w:type="dxa" w:w="100"/>
            </w:tcMar>
          </w:tcPr>
          <w:p>
            <w:r>
              <w:rPr>
                <w:b w:val="false"/>
                <w:bCs w:val="false"/>
                <w:color w:val="000000"/>
                <w:sz w:val="20"/>
                <w:szCs w:val="20"/>
              </w:rPr>
              <w:t xml:space="preserve">41</w:t>
            </w:r>
          </w:p>
        </w:tc>
      </w:tr>
      <w:tr>
        <w:tc>
          <w:tcPr>
            <w:tcW w:type="dxa" w:w="4200"/>
            <w:tcMar>
              <w:top w:type="dxa" w:w="80"/>
              <w:left w:type="dxa" w:w="100"/>
              <w:bottom w:type="dxa" w:w="80"/>
              <w:right w:type="dxa" w:w="100"/>
            </w:tcMar>
          </w:tcPr>
          <w:p>
            <w:r>
              <w:rPr>
                <w:b w:val="false"/>
                <w:bCs w:val="false"/>
                <w:color w:val="000000"/>
                <w:sz w:val="20"/>
                <w:szCs w:val="20"/>
              </w:rPr>
              <w:t xml:space="preserve">alternative rock</w:t>
            </w:r>
          </w:p>
        </w:tc>
        <w:tc>
          <w:tcPr>
            <w:tcW w:type="dxa" w:w="2200"/>
            <w:tcMar>
              <w:top w:type="dxa" w:w="80"/>
              <w:left w:type="dxa" w:w="100"/>
              <w:bottom w:type="dxa" w:w="80"/>
              <w:right w:type="dxa" w:w="100"/>
            </w:tcMar>
          </w:tcPr>
          <w:p>
            <w:r>
              <w:rPr>
                <w:b w:val="false"/>
                <w:bCs w:val="false"/>
                <w:color w:val="000000"/>
                <w:sz w:val="20"/>
                <w:szCs w:val="20"/>
              </w:rPr>
              <w:t xml:space="preserve">28</w:t>
            </w:r>
          </w:p>
        </w:tc>
      </w:tr>
      <w:tr>
        <w:tc>
          <w:tcPr>
            <w:tcW w:type="dxa" w:w="4200"/>
            <w:tcMar>
              <w:top w:type="dxa" w:w="80"/>
              <w:left w:type="dxa" w:w="100"/>
              <w:bottom w:type="dxa" w:w="80"/>
              <w:right w:type="dxa" w:w="100"/>
            </w:tcMar>
          </w:tcPr>
          <w:p>
            <w:r>
              <w:rPr>
                <w:b w:val="false"/>
                <w:bCs w:val="false"/>
                <w:color w:val="000000"/>
                <w:sz w:val="20"/>
                <w:szCs w:val="20"/>
              </w:rPr>
              <w:t xml:space="preserve">heavy metal</w:t>
            </w:r>
          </w:p>
        </w:tc>
        <w:tc>
          <w:tcPr>
            <w:tcW w:type="dxa" w:w="2200"/>
            <w:tcMar>
              <w:top w:type="dxa" w:w="80"/>
              <w:left w:type="dxa" w:w="100"/>
              <w:bottom w:type="dxa" w:w="80"/>
              <w:right w:type="dxa" w:w="100"/>
            </w:tcMar>
          </w:tcPr>
          <w:p>
            <w:r>
              <w:rPr>
                <w:b w:val="false"/>
                <w:bCs w:val="false"/>
                <w:color w:val="000000"/>
                <w:sz w:val="20"/>
                <w:szCs w:val="20"/>
              </w:rPr>
              <w:t xml:space="preserve">17</w:t>
            </w:r>
          </w:p>
        </w:tc>
      </w:tr>
      <w:tr>
        <w:tc>
          <w:tcPr>
            <w:tcW w:type="dxa" w:w="4200"/>
            <w:tcMar>
              <w:top w:type="dxa" w:w="80"/>
              <w:left w:type="dxa" w:w="100"/>
              <w:bottom w:type="dxa" w:w="80"/>
              <w:right w:type="dxa" w:w="100"/>
            </w:tcMar>
          </w:tcPr>
          <w:p>
            <w:r>
              <w:rPr>
                <w:b w:val="false"/>
                <w:bCs w:val="false"/>
                <w:color w:val="000000"/>
                <w:sz w:val="20"/>
                <w:szCs w:val="20"/>
              </w:rPr>
              <w:t xml:space="preserve">alternative metal</w:t>
            </w:r>
          </w:p>
        </w:tc>
        <w:tc>
          <w:tcPr>
            <w:tcW w:type="dxa" w:w="2200"/>
            <w:tcMar>
              <w:top w:type="dxa" w:w="80"/>
              <w:left w:type="dxa" w:w="100"/>
              <w:bottom w:type="dxa" w:w="80"/>
              <w:right w:type="dxa" w:w="100"/>
            </w:tcMar>
          </w:tcPr>
          <w:p>
            <w:r>
              <w:rPr>
                <w:b w:val="false"/>
                <w:bCs w:val="false"/>
                <w:color w:val="000000"/>
                <w:sz w:val="20"/>
                <w:szCs w:val="20"/>
              </w:rPr>
              <w:t xml:space="preserve">16</w:t>
            </w:r>
          </w:p>
        </w:tc>
      </w:tr>
      <w:tr>
        <w:tc>
          <w:tcPr>
            <w:tcW w:type="dxa" w:w="4200"/>
            <w:tcMar>
              <w:top w:type="dxa" w:w="80"/>
              <w:left w:type="dxa" w:w="100"/>
              <w:bottom w:type="dxa" w:w="80"/>
              <w:right w:type="dxa" w:w="100"/>
            </w:tcMar>
          </w:tcPr>
          <w:p>
            <w:r>
              <w:rPr>
                <w:b w:val="false"/>
                <w:bCs w:val="false"/>
                <w:color w:val="000000"/>
                <w:sz w:val="20"/>
                <w:szCs w:val="20"/>
              </w:rPr>
              <w:t xml:space="preserve">rock</w:t>
            </w:r>
          </w:p>
        </w:tc>
        <w:tc>
          <w:tcPr>
            <w:tcW w:type="dxa" w:w="2200"/>
            <w:tcMar>
              <w:top w:type="dxa" w:w="80"/>
              <w:left w:type="dxa" w:w="100"/>
              <w:bottom w:type="dxa" w:w="80"/>
              <w:right w:type="dxa" w:w="100"/>
            </w:tcMar>
          </w:tcPr>
          <w:p>
            <w:r>
              <w:rPr>
                <w:b w:val="false"/>
                <w:bCs w:val="false"/>
                <w:color w:val="000000"/>
                <w:sz w:val="20"/>
                <w:szCs w:val="20"/>
              </w:rPr>
              <w:t xml:space="preserve">14</w:t>
            </w:r>
          </w:p>
        </w:tc>
      </w:tr>
      <w:tr>
        <w:tc>
          <w:tcPr>
            <w:tcW w:type="dxa" w:w="4200"/>
            <w:tcMar>
              <w:top w:type="dxa" w:w="80"/>
              <w:left w:type="dxa" w:w="100"/>
              <w:bottom w:type="dxa" w:w="80"/>
              <w:right w:type="dxa" w:w="100"/>
            </w:tcMar>
          </w:tcPr>
          <w:p>
            <w:r>
              <w:rPr>
                <w:b w:val="false"/>
                <w:bCs w:val="false"/>
                <w:color w:val="000000"/>
                <w:sz w:val="20"/>
                <w:szCs w:val="20"/>
              </w:rPr>
              <w:t xml:space="preserve">pop punk</w:t>
            </w:r>
          </w:p>
        </w:tc>
        <w:tc>
          <w:tcPr>
            <w:tcW w:type="dxa" w:w="2200"/>
            <w:tcMar>
              <w:top w:type="dxa" w:w="80"/>
              <w:left w:type="dxa" w:w="100"/>
              <w:bottom w:type="dxa" w:w="80"/>
              <w:right w:type="dxa" w:w="100"/>
            </w:tcMar>
          </w:tcPr>
          <w:p>
            <w:r>
              <w:rPr>
                <w:b w:val="false"/>
                <w:bCs w:val="false"/>
                <w:color w:val="000000"/>
                <w:sz w:val="20"/>
                <w:szCs w:val="20"/>
              </w:rPr>
              <w:t xml:space="preserve">13</w:t>
            </w:r>
          </w:p>
        </w:tc>
      </w:tr>
      <w:tr>
        <w:tc>
          <w:tcPr>
            <w:tcW w:type="dxa" w:w="4200"/>
            <w:tcMar>
              <w:top w:type="dxa" w:w="80"/>
              <w:left w:type="dxa" w:w="100"/>
              <w:bottom w:type="dxa" w:w="80"/>
              <w:right w:type="dxa" w:w="100"/>
            </w:tcMar>
          </w:tcPr>
          <w:p>
            <w:r>
              <w:rPr>
                <w:b w:val="false"/>
                <w:bCs w:val="false"/>
                <w:color w:val="000000"/>
                <w:sz w:val="20"/>
                <w:szCs w:val="20"/>
              </w:rPr>
              <w:t xml:space="preserve">hard rock</w:t>
            </w:r>
          </w:p>
        </w:tc>
        <w:tc>
          <w:tcPr>
            <w:tcW w:type="dxa" w:w="2200"/>
            <w:tcMar>
              <w:top w:type="dxa" w:w="80"/>
              <w:left w:type="dxa" w:w="100"/>
              <w:bottom w:type="dxa" w:w="80"/>
              <w:right w:type="dxa" w:w="100"/>
            </w:tcMar>
          </w:tcPr>
          <w:p>
            <w:r>
              <w:rPr>
                <w:b w:val="false"/>
                <w:bCs w:val="false"/>
                <w:color w:val="000000"/>
                <w:sz w:val="20"/>
                <w:szCs w:val="20"/>
              </w:rPr>
              <w:t xml:space="preserve">12</w:t>
            </w:r>
          </w:p>
        </w:tc>
      </w:tr>
      <w:tr>
        <w:tc>
          <w:tcPr>
            <w:tcW w:type="dxa" w:w="4200"/>
            <w:tcMar>
              <w:top w:type="dxa" w:w="80"/>
              <w:left w:type="dxa" w:w="100"/>
              <w:bottom w:type="dxa" w:w="80"/>
              <w:right w:type="dxa" w:w="100"/>
            </w:tcMar>
          </w:tcPr>
          <w:p>
            <w:r>
              <w:rPr>
                <w:b w:val="false"/>
                <w:bCs w:val="false"/>
                <w:color w:val="000000"/>
                <w:sz w:val="20"/>
                <w:szCs w:val="20"/>
              </w:rPr>
              <w:t xml:space="preserve">progressive metal</w:t>
            </w:r>
          </w:p>
        </w:tc>
        <w:tc>
          <w:tcPr>
            <w:tcW w:type="dxa" w:w="2200"/>
            <w:tcMar>
              <w:top w:type="dxa" w:w="80"/>
              <w:left w:type="dxa" w:w="100"/>
              <w:bottom w:type="dxa" w:w="80"/>
              <w:right w:type="dxa" w:w="100"/>
            </w:tcMar>
          </w:tcPr>
          <w:p>
            <w:r>
              <w:rPr>
                <w:b w:val="false"/>
                <w:bCs w:val="false"/>
                <w:color w:val="000000"/>
                <w:sz w:val="20"/>
                <w:szCs w:val="20"/>
              </w:rPr>
              <w:t xml:space="preserve">9</w:t>
            </w:r>
          </w:p>
        </w:tc>
      </w:tr>
      <w:tr>
        <w:tc>
          <w:tcPr>
            <w:tcW w:type="dxa" w:w="4200"/>
            <w:tcMar>
              <w:top w:type="dxa" w:w="80"/>
              <w:left w:type="dxa" w:w="100"/>
              <w:bottom w:type="dxa" w:w="80"/>
              <w:right w:type="dxa" w:w="100"/>
            </w:tcMar>
          </w:tcPr>
          <w:p>
            <w:r>
              <w:rPr>
                <w:b w:val="false"/>
                <w:bCs w:val="false"/>
                <w:color w:val="000000"/>
                <w:sz w:val="20"/>
                <w:szCs w:val="20"/>
              </w:rPr>
              <w:t xml:space="preserve">death metal</w:t>
            </w:r>
          </w:p>
        </w:tc>
        <w:tc>
          <w:tcPr>
            <w:tcW w:type="dxa" w:w="2200"/>
            <w:tcMar>
              <w:top w:type="dxa" w:w="80"/>
              <w:left w:type="dxa" w:w="100"/>
              <w:bottom w:type="dxa" w:w="80"/>
              <w:right w:type="dxa" w:w="100"/>
            </w:tcMar>
          </w:tcPr>
          <w:p>
            <w:r>
              <w:rPr>
                <w:b w:val="false"/>
                <w:bCs w:val="false"/>
                <w:color w:val="000000"/>
                <w:sz w:val="20"/>
                <w:szCs w:val="20"/>
              </w:rPr>
              <w:t xml:space="preserve">9</w:t>
            </w:r>
          </w:p>
        </w:tc>
      </w:tr>
      <w:tr>
        <w:tc>
          <w:tcPr>
            <w:tcW w:type="dxa" w:w="4200"/>
            <w:tcMar>
              <w:top w:type="dxa" w:w="80"/>
              <w:left w:type="dxa" w:w="100"/>
              <w:bottom w:type="dxa" w:w="80"/>
              <w:right w:type="dxa" w:w="100"/>
            </w:tcMar>
          </w:tcPr>
          <w:p>
            <w:r>
              <w:rPr>
                <w:b w:val="false"/>
                <w:bCs w:val="false"/>
                <w:color w:val="000000"/>
                <w:sz w:val="20"/>
                <w:szCs w:val="20"/>
              </w:rPr>
              <w:t xml:space="preserve">power metal</w:t>
            </w:r>
          </w:p>
        </w:tc>
        <w:tc>
          <w:tcPr>
            <w:tcW w:type="dxa" w:w="2200"/>
            <w:tcMar>
              <w:top w:type="dxa" w:w="80"/>
              <w:left w:type="dxa" w:w="100"/>
              <w:bottom w:type="dxa" w:w="80"/>
              <w:right w:type="dxa" w:w="100"/>
            </w:tcMar>
          </w:tcPr>
          <w:p>
            <w:r>
              <w:rPr>
                <w:b w:val="false"/>
                <w:bCs w:val="false"/>
                <w:color w:val="000000"/>
                <w:sz w:val="20"/>
                <w:szCs w:val="20"/>
              </w:rPr>
              <w:t xml:space="preserve">7</w:t>
            </w:r>
          </w:p>
        </w:tc>
      </w:tr>
      <w:tr>
        <w:tc>
          <w:tcPr>
            <w:tcW w:type="dxa" w:w="4200"/>
            <w:tcMar>
              <w:top w:type="dxa" w:w="80"/>
              <w:left w:type="dxa" w:w="100"/>
              <w:bottom w:type="dxa" w:w="80"/>
              <w:right w:type="dxa" w:w="100"/>
            </w:tcMar>
          </w:tcPr>
          <w:p>
            <w:r>
              <w:rPr>
                <w:b w:val="false"/>
                <w:bCs w:val="false"/>
                <w:color w:val="000000"/>
                <w:sz w:val="20"/>
                <w:szCs w:val="20"/>
              </w:rPr>
              <w:t xml:space="preserve">symphonic metal</w:t>
            </w:r>
          </w:p>
        </w:tc>
        <w:tc>
          <w:tcPr>
            <w:tcW w:type="dxa" w:w="2200"/>
            <w:tcMar>
              <w:top w:type="dxa" w:w="80"/>
              <w:left w:type="dxa" w:w="100"/>
              <w:bottom w:type="dxa" w:w="80"/>
              <w:right w:type="dxa" w:w="100"/>
            </w:tcMar>
          </w:tcPr>
          <w:p>
            <w:r>
              <w:rPr>
                <w:b w:val="false"/>
                <w:bCs w:val="false"/>
                <w:color w:val="000000"/>
                <w:sz w:val="20"/>
                <w:szCs w:val="20"/>
              </w:rPr>
              <w:t xml:space="preserve">7</w:t>
            </w:r>
          </w:p>
        </w:tc>
      </w:tr>
      <w:tr>
        <w:tc>
          <w:tcPr>
            <w:tcW w:type="dxa" w:w="4200"/>
            <w:tcMar>
              <w:top w:type="dxa" w:w="80"/>
              <w:left w:type="dxa" w:w="100"/>
              <w:bottom w:type="dxa" w:w="80"/>
              <w:right w:type="dxa" w:w="100"/>
            </w:tcMar>
          </w:tcPr>
          <w:p>
            <w:r>
              <w:rPr>
                <w:b w:val="false"/>
                <w:bCs w:val="false"/>
                <w:color w:val="000000"/>
                <w:sz w:val="20"/>
                <w:szCs w:val="20"/>
              </w:rPr>
              <w:t xml:space="preserve">gothic metal</w:t>
            </w:r>
          </w:p>
        </w:tc>
        <w:tc>
          <w:tcPr>
            <w:tcW w:type="dxa" w:w="2200"/>
            <w:tcMar>
              <w:top w:type="dxa" w:w="80"/>
              <w:left w:type="dxa" w:w="100"/>
              <w:bottom w:type="dxa" w:w="80"/>
              <w:right w:type="dxa" w:w="100"/>
            </w:tcMar>
          </w:tcPr>
          <w:p>
            <w:r>
              <w:rPr>
                <w:b w:val="false"/>
                <w:bCs w:val="false"/>
                <w:color w:val="000000"/>
                <w:sz w:val="20"/>
                <w:szCs w:val="20"/>
              </w:rPr>
              <w:t xml:space="preserve">7</w:t>
            </w:r>
          </w:p>
        </w:tc>
      </w:tr>
      <w:tr>
        <w:tc>
          <w:tcPr>
            <w:tcW w:type="dxa" w:w="4200"/>
            <w:tcMar>
              <w:top w:type="dxa" w:w="80"/>
              <w:left w:type="dxa" w:w="100"/>
              <w:bottom w:type="dxa" w:w="80"/>
              <w:right w:type="dxa" w:w="100"/>
            </w:tcMar>
          </w:tcPr>
          <w:p>
            <w:r>
              <w:rPr>
                <w:b w:val="false"/>
                <w:bCs w:val="false"/>
                <w:color w:val="000000"/>
                <w:sz w:val="20"/>
                <w:szCs w:val="20"/>
              </w:rPr>
              <w:t xml:space="preserve">doom metal</w:t>
            </w:r>
          </w:p>
        </w:tc>
        <w:tc>
          <w:tcPr>
            <w:tcW w:type="dxa" w:w="2200"/>
            <w:tcMar>
              <w:top w:type="dxa" w:w="80"/>
              <w:left w:type="dxa" w:w="100"/>
              <w:bottom w:type="dxa" w:w="80"/>
              <w:right w:type="dxa" w:w="100"/>
            </w:tcMar>
          </w:tcPr>
          <w:p>
            <w:r>
              <w:rPr>
                <w:b w:val="false"/>
                <w:bCs w:val="false"/>
                <w:color w:val="000000"/>
                <w:sz w:val="20"/>
                <w:szCs w:val="20"/>
              </w:rPr>
              <w:t xml:space="preserve">7</w:t>
            </w:r>
          </w:p>
        </w:tc>
      </w:tr>
      <w:tr>
        <w:tc>
          <w:tcPr>
            <w:tcW w:type="dxa" w:w="4200"/>
            <w:tcMar>
              <w:top w:type="dxa" w:w="80"/>
              <w:left w:type="dxa" w:w="100"/>
              <w:bottom w:type="dxa" w:w="80"/>
              <w:right w:type="dxa" w:w="100"/>
            </w:tcMar>
          </w:tcPr>
          <w:p>
            <w:r>
              <w:rPr>
                <w:b w:val="false"/>
                <w:bCs w:val="false"/>
                <w:color w:val="000000"/>
                <w:sz w:val="20"/>
                <w:szCs w:val="20"/>
              </w:rPr>
              <w:t xml:space="preserve">metalcore</w:t>
            </w:r>
          </w:p>
        </w:tc>
        <w:tc>
          <w:tcPr>
            <w:tcW w:type="dxa" w:w="2200"/>
            <w:tcMar>
              <w:top w:type="dxa" w:w="80"/>
              <w:left w:type="dxa" w:w="100"/>
              <w:bottom w:type="dxa" w:w="80"/>
              <w:right w:type="dxa" w:w="100"/>
            </w:tcMar>
          </w:tcPr>
          <w:p>
            <w:r>
              <w:rPr>
                <w:b w:val="false"/>
                <w:bCs w:val="false"/>
                <w:color w:val="000000"/>
                <w:sz w:val="20"/>
                <w:szCs w:val="20"/>
              </w:rPr>
              <w:t xml:space="preserve">7</w:t>
            </w:r>
          </w:p>
        </w:tc>
      </w:tr>
      <w:tr>
        <w:tc>
          <w:tcPr>
            <w:tcW w:type="dxa" w:w="4200"/>
            <w:tcMar>
              <w:top w:type="dxa" w:w="80"/>
              <w:left w:type="dxa" w:w="100"/>
              <w:bottom w:type="dxa" w:w="80"/>
              <w:right w:type="dxa" w:w="100"/>
            </w:tcMar>
          </w:tcPr>
          <w:p>
            <w:r>
              <w:rPr>
                <w:b w:val="false"/>
                <w:bCs w:val="false"/>
                <w:color w:val="000000"/>
                <w:sz w:val="20"/>
                <w:szCs w:val="20"/>
              </w:rPr>
              <w:t xml:space="preserve">black metal</w:t>
            </w:r>
          </w:p>
        </w:tc>
        <w:tc>
          <w:tcPr>
            <w:tcW w:type="dxa" w:w="2200"/>
            <w:tcMar>
              <w:top w:type="dxa" w:w="80"/>
              <w:left w:type="dxa" w:w="100"/>
              <w:bottom w:type="dxa" w:w="80"/>
              <w:right w:type="dxa" w:w="100"/>
            </w:tcMar>
          </w:tcPr>
          <w:p>
            <w:r>
              <w:rPr>
                <w:b w:val="false"/>
                <w:bCs w:val="false"/>
                <w:color w:val="000000"/>
                <w:sz w:val="20"/>
                <w:szCs w:val="20"/>
              </w:rPr>
              <w:t xml:space="preserve">6</w:t>
            </w:r>
          </w:p>
        </w:tc>
      </w:tr>
    </w:tbl>
    <w:p>
      <w:pPr>
        <w:spacing w:after="240"/>
      </w:pPr>
      <w:r>
        <w:rPr>
          <w:i/>
          <w:iCs/>
          <w:color w:val="555555"/>
          <w:sz w:val="18"/>
          <w:szCs w:val="18"/>
        </w:rPr>
        <w:t xml:space="preserve">Tabla 2. Tags de MusicBrainz más frecuentes sobre las 81 bandas del universo.</w:t>
      </w:r>
    </w:p>
    <w:p>
      <w:pPr>
        <w:spacing w:after="160"/>
        <w:jc w:val="both"/>
      </w:pPr>
      <w:r>
        <w:t xml:space="preserve">La distribución de frecuencia de tags (y, más adelante, de palabras de sinopsis) sigue aproximadamente la Ley de Zipf: unos pocos tags/palabras concentran la mayoría de las apariciones y la mayoría del vocabulario aparece muy pocas veces — un patrón esperado en lenguaje natural que valida que el corpus se comporta como texto real y no como ruido.</w:t>
      </w:r>
    </w:p>
    <w:p>
      <w:pPr>
        <w:pStyle w:val="Heading2"/>
        <w:spacing w:after="120" w:before="260"/>
      </w:pPr>
      <w:r>
        <w:t xml:space="preserve">3.2 Libros</w:t>
      </w:r>
    </w:p>
    <w:p>
      <w:pPr>
        <w:spacing w:after="160"/>
        <w:jc w:val="both"/>
      </w:pPr>
      <w:r>
        <w:t xml:space="preserve">Sobre los 112 libros, 111 (99.1%) tienen ficha bibliográfica completa (título, autor, año). En esta fase todavía no se contaba con la sinopsis de cada libro — un vacío que se resolvió en la sección 3.3, necesario para poder construir características de texto (TF-IDF, y más adelante embeddings) del lado de los libros.</w:t>
      </w:r>
    </w:p>
    <w:p>
      <w:pPr>
        <w:pStyle w:val="Heading2"/>
        <w:spacing w:after="120" w:before="260"/>
      </w:pPr>
      <w:r>
        <w:t xml:space="preserve">3.3 Extracción complementaria de sinopsis y limpieza de texto</w:t>
      </w:r>
    </w:p>
    <w:p>
      <w:pPr>
        <w:spacing w:after="160"/>
        <w:jc w:val="both"/>
      </w:pPr>
      <w:r>
        <w:t xml:space="preserve">Se agregó una extracción adicional (Open Library, con Google Books de respaldo) para obtener la sinopsis de cada libro, con reintento automático ante los frecuentes errores 429 (límite de tasa) de estas APIs. El resultado: 97 de 112 libros (86.6%) obtuvieron una sinopsis utilizable; los 15 restantes se quedaron sin sinopsis pese al reintento (algunos títulos no tienen ficha con descripción en ninguna de las dos fuentes).</w:t>
      </w:r>
    </w:p>
    <w:p>
      <w:pPr>
        <w:spacing w:after="160"/>
        <w:jc w:val="both"/>
      </w:pPr>
      <w:r>
        <w:t xml:space="preserve">Sobre esas 97 sinopsis se identificaron 3,593 palabras únicas tras limpieza. Durante esta limpieza se detectó y corrigió un problema real de calidad de datos: la sinopsis de Open Library a veces trae pegado texto que no es parte de la trama (URLs de la fuente, referencias tipo “[3]:”, créditos editoriales, menciones de “bestseller”, ISBN, nombres de dominio). La limpieza original no filtraba ese ruido y, además, usaba una lista de stopwords en inglés muy corta (~15 palabras a mano), lo que dejaba pasar puras palabras de “pegamento” gramatical (but, has, one, will...) como si fueran las más frecuentes del corpus. Se corrigió: (a) quitando URLs y referencias con expresiones regulares antes de tokenizar, (b) usando la lista completa de stopwords en inglés de scikit-learn (~320 palabras) en vez de la lista corta, y (c) agregando una lista de “ruido editorial” (isbn, bestseller, openlibrary, publisher, etc.). Tras el fix, las 20 palabras más frecuentes ya son genuinamente temáticas: world, new, life, book, time, novel, power, war, love, young, magic, story, fantasy, year, just, ancient, dark, begins, man, years.</w:t>
      </w:r>
    </w:p>
    <w:p>
      <w:pPr>
        <w:pStyle w:val="Heading1"/>
        <w:spacing w:after="160" w:before="360"/>
      </w:pPr>
      <w:r>
        <w:t xml:space="preserve">4. Ingeniería de variables</w:t>
      </w:r>
    </w:p>
    <w:p>
      <w:pPr>
        <w:spacing w:after="160"/>
        <w:jc w:val="both"/>
      </w:pPr>
      <w:r>
        <w:t xml:space="preserve">A partir de los datos limpios se construyeron tres tablas de características, unidas por una llave normalizada (sin acentos, minúsculas, sin puntuación) para evitar que variantes de escritura ('El Señor de los Anillos' vs 'el senor de los anillos') rompieran el cruce:</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3500"/>
      </w:tblGrid>
      <w:tr>
        <w:tc>
          <w:tcPr>
            <w:tcW w:type="dxa" w:w="2600"/>
            <w:shd w:fill="6B2D5C" w:val="clear"/>
            <w:tcMar>
              <w:top w:type="dxa" w:w="80"/>
              <w:left w:type="dxa" w:w="100"/>
              <w:bottom w:type="dxa" w:w="80"/>
              <w:right w:type="dxa" w:w="100"/>
            </w:tcMar>
          </w:tcPr>
          <w:p>
            <w:r>
              <w:rPr>
                <w:b/>
                <w:bCs/>
                <w:color w:val="FFFFFF"/>
                <w:sz w:val="20"/>
                <w:szCs w:val="20"/>
              </w:rPr>
              <w:t xml:space="preserve">Archivo</w:t>
            </w:r>
          </w:p>
        </w:tc>
        <w:tc>
          <w:tcPr>
            <w:tcW w:type="dxa" w:w="1500"/>
            <w:shd w:fill="6B2D5C" w:val="clear"/>
            <w:tcMar>
              <w:top w:type="dxa" w:w="80"/>
              <w:left w:type="dxa" w:w="100"/>
              <w:bottom w:type="dxa" w:w="80"/>
              <w:right w:type="dxa" w:w="100"/>
            </w:tcMar>
          </w:tcPr>
          <w:p>
            <w:r>
              <w:rPr>
                <w:b/>
                <w:bCs/>
                <w:color w:val="FFFFFF"/>
                <w:sz w:val="20"/>
                <w:szCs w:val="20"/>
              </w:rPr>
              <w:t xml:space="preserve">Forma</w:t>
            </w:r>
          </w:p>
        </w:tc>
        <w:tc>
          <w:tcPr>
            <w:tcW w:type="dxa" w:w="3500"/>
            <w:shd w:fill="6B2D5C" w:val="clear"/>
            <w:tcMar>
              <w:top w:type="dxa" w:w="80"/>
              <w:left w:type="dxa" w:w="100"/>
              <w:bottom w:type="dxa" w:w="80"/>
              <w:right w:type="dxa" w:w="100"/>
            </w:tcMar>
          </w:tcPr>
          <w:p>
            <w:r>
              <w:rPr>
                <w:b/>
                <w:bCs/>
                <w:color w:val="FFFFFF"/>
                <w:sz w:val="20"/>
                <w:szCs w:val="20"/>
              </w:rPr>
              <w:t xml:space="preserve">Contenido</w:t>
            </w:r>
          </w:p>
        </w:tc>
      </w:tr>
      <w:tr>
        <w:tc>
          <w:tcPr>
            <w:tcW w:type="dxa" w:w="2600"/>
            <w:tcMar>
              <w:top w:type="dxa" w:w="80"/>
              <w:left w:type="dxa" w:w="100"/>
              <w:bottom w:type="dxa" w:w="80"/>
              <w:right w:type="dxa" w:w="100"/>
            </w:tcMar>
          </w:tcPr>
          <w:p>
            <w:r>
              <w:rPr>
                <w:b w:val="false"/>
                <w:bCs w:val="false"/>
                <w:color w:val="000000"/>
                <w:sz w:val="20"/>
                <w:szCs w:val="20"/>
              </w:rPr>
              <w:t xml:space="preserve">bandas_features.csv</w:t>
            </w:r>
          </w:p>
        </w:tc>
        <w:tc>
          <w:tcPr>
            <w:tcW w:type="dxa" w:w="1500"/>
            <w:tcMar>
              <w:top w:type="dxa" w:w="80"/>
              <w:left w:type="dxa" w:w="100"/>
              <w:bottom w:type="dxa" w:w="80"/>
              <w:right w:type="dxa" w:w="100"/>
            </w:tcMar>
          </w:tcPr>
          <w:p>
            <w:r>
              <w:rPr>
                <w:b w:val="false"/>
                <w:bCs w:val="false"/>
                <w:color w:val="000000"/>
                <w:sz w:val="20"/>
                <w:szCs w:val="20"/>
              </w:rPr>
              <w:t xml:space="preserve">81 × 58</w:t>
            </w:r>
          </w:p>
        </w:tc>
        <w:tc>
          <w:tcPr>
            <w:tcW w:type="dxa" w:w="3500"/>
            <w:tcMar>
              <w:top w:type="dxa" w:w="80"/>
              <w:left w:type="dxa" w:w="100"/>
              <w:bottom w:type="dxa" w:w="80"/>
              <w:right w:type="dxa" w:w="100"/>
            </w:tcMar>
          </w:tcPr>
          <w:p>
            <w:r>
              <w:rPr>
                <w:b w:val="false"/>
                <w:bCs w:val="false"/>
                <w:color w:val="000000"/>
                <w:sz w:val="20"/>
                <w:szCs w:val="20"/>
              </w:rPr>
              <w:t xml:space="preserve">One-hot de subgénero semilla + multi-hot de los 30 tags de MusicBrainz más frecuentes (MultiLabelBinarizer)</w:t>
            </w:r>
          </w:p>
        </w:tc>
      </w:tr>
      <w:tr>
        <w:tc>
          <w:tcPr>
            <w:tcW w:type="dxa" w:w="2600"/>
            <w:tcMar>
              <w:top w:type="dxa" w:w="80"/>
              <w:left w:type="dxa" w:w="100"/>
              <w:bottom w:type="dxa" w:w="80"/>
              <w:right w:type="dxa" w:w="100"/>
            </w:tcMar>
          </w:tcPr>
          <w:p>
            <w:r>
              <w:rPr>
                <w:b w:val="false"/>
                <w:bCs w:val="false"/>
                <w:color w:val="000000"/>
                <w:sz w:val="20"/>
                <w:szCs w:val="20"/>
              </w:rPr>
              <w:t xml:space="preserve">libros_features.csv</w:t>
            </w:r>
          </w:p>
        </w:tc>
        <w:tc>
          <w:tcPr>
            <w:tcW w:type="dxa" w:w="1500"/>
            <w:tcMar>
              <w:top w:type="dxa" w:w="80"/>
              <w:left w:type="dxa" w:w="100"/>
              <w:bottom w:type="dxa" w:w="80"/>
              <w:right w:type="dxa" w:w="100"/>
            </w:tcMar>
          </w:tcPr>
          <w:p>
            <w:r>
              <w:rPr>
                <w:b w:val="false"/>
                <w:bCs w:val="false"/>
                <w:color w:val="000000"/>
                <w:sz w:val="20"/>
                <w:szCs w:val="20"/>
              </w:rPr>
              <w:t xml:space="preserve">112 × 318</w:t>
            </w:r>
          </w:p>
        </w:tc>
        <w:tc>
          <w:tcPr>
            <w:tcW w:type="dxa" w:w="3500"/>
            <w:tcMar>
              <w:top w:type="dxa" w:w="80"/>
              <w:left w:type="dxa" w:w="100"/>
              <w:bottom w:type="dxa" w:w="80"/>
              <w:right w:type="dxa" w:w="100"/>
            </w:tcMar>
          </w:tcPr>
          <w:p>
            <w:r>
              <w:rPr>
                <w:b w:val="false"/>
                <w:bCs w:val="false"/>
                <w:color w:val="000000"/>
                <w:sz w:val="20"/>
                <w:szCs w:val="20"/>
              </w:rPr>
              <w:t xml:space="preserve">One-hot de categoría semilla + TF-IDF (máx. 300 términos, min_df=2) sobre la sinopsis limpia — 97 libros con vector TF-IDF real, 15 solo con categoría/década (sin sinopsis)</w:t>
            </w:r>
          </w:p>
        </w:tc>
      </w:tr>
      <w:tr>
        <w:tc>
          <w:tcPr>
            <w:tcW w:type="dxa" w:w="2600"/>
            <w:tcMar>
              <w:top w:type="dxa" w:w="80"/>
              <w:left w:type="dxa" w:w="100"/>
              <w:bottom w:type="dxa" w:w="80"/>
              <w:right w:type="dxa" w:w="100"/>
            </w:tcMar>
          </w:tcPr>
          <w:p>
            <w:r>
              <w:rPr>
                <w:b w:val="false"/>
                <w:bCs w:val="false"/>
                <w:color w:val="000000"/>
                <w:sz w:val="20"/>
                <w:szCs w:val="20"/>
              </w:rPr>
              <w:t xml:space="preserve">pares_features.csv</w:t>
            </w:r>
          </w:p>
        </w:tc>
        <w:tc>
          <w:tcPr>
            <w:tcW w:type="dxa" w:w="1500"/>
            <w:tcMar>
              <w:top w:type="dxa" w:w="80"/>
              <w:left w:type="dxa" w:w="100"/>
              <w:bottom w:type="dxa" w:w="80"/>
              <w:right w:type="dxa" w:w="100"/>
            </w:tcMar>
          </w:tcPr>
          <w:p>
            <w:r>
              <w:rPr>
                <w:b w:val="false"/>
                <w:bCs w:val="false"/>
                <w:color w:val="000000"/>
                <w:sz w:val="20"/>
                <w:szCs w:val="20"/>
              </w:rPr>
              <w:t xml:space="preserve">105 × 385</w:t>
            </w:r>
          </w:p>
        </w:tc>
        <w:tc>
          <w:tcPr>
            <w:tcW w:type="dxa" w:w="3500"/>
            <w:tcMar>
              <w:top w:type="dxa" w:w="80"/>
              <w:left w:type="dxa" w:w="100"/>
              <w:bottom w:type="dxa" w:w="80"/>
              <w:right w:type="dxa" w:w="100"/>
            </w:tcMar>
          </w:tcPr>
          <w:p>
            <w:r>
              <w:rPr>
                <w:b w:val="false"/>
                <w:bCs w:val="false"/>
                <w:color w:val="000000"/>
                <w:sz w:val="20"/>
                <w:szCs w:val="20"/>
              </w:rPr>
              <w:t xml:space="preserve">Merge de los 105 pares de evaluación con las features de ambos lados; 0 pares quedaron sin match de features en ningún lado</w:t>
            </w:r>
          </w:p>
        </w:tc>
      </w:tr>
    </w:tbl>
    <w:p>
      <w:pPr>
        <w:spacing w:after="240"/>
      </w:pPr>
      <w:r>
        <w:rPr>
          <w:i/>
          <w:iCs/>
          <w:color w:val="555555"/>
          <w:sz w:val="18"/>
          <w:szCs w:val="18"/>
        </w:rPr>
        <w:t xml:space="preserve">Tabla 3. Tablas de características generadas en la fase de ingeniería de variables.</w:t>
      </w:r>
    </w:p>
    <w:p>
      <w:pPr>
        <w:pStyle w:val="Heading1"/>
        <w:spacing w:after="160" w:before="360"/>
      </w:pPr>
      <w:r>
        <w:t xml:space="preserve">5. Modelado: recomendador por similitud de contenido</w:t>
      </w:r>
    </w:p>
    <w:p>
      <w:pPr>
        <w:pStyle w:val="Heading2"/>
        <w:spacing w:after="120" w:before="260"/>
      </w:pPr>
      <w:r>
        <w:t xml:space="preserve">5.1 Decisión de diseño</w:t>
      </w:r>
    </w:p>
    <w:p>
      <w:pPr>
        <w:spacing w:after="160"/>
        <w:jc w:val="both"/>
      </w:pPr>
      <w:r>
        <w:t xml:space="preserve">Con solo 105 pares etiquetados a mano, entrenar una red desde cero (por ejemplo, un dual encoder supervisado) tiene un riesgo alto de memorizar esos 105 casos en vez de aprender un patrón generalizable — no hay suficientes ejemplos para separar entrenamiento y validación de forma confiable. Se optó, en cambio, por un recomendador de similitud de contenido: representar cada libro y cada banda como un vector en un espacio semántico compartido, medir similitud coseno entre ambos lados, y usar los 105 pares únicamente para evaluar qué tan bien funciona esa similitud — nunca para ajustar parámetros de un modelo entrenado.</w:t>
      </w:r>
    </w:p>
    <w:p>
      <w:pPr>
        <w:spacing w:after="160"/>
        <w:jc w:val="both"/>
      </w:pPr>
      <w:r>
        <w:t xml:space="preserve">La evaluación, implementada en una función reusable (evalua()) en inkriff_modelado_similitud.ipynb, calcula para cada uno de los 105 pares conocidos en qué posición (rank) queda el elemento correcto del otro lado al ordenar todos los candidatos por similitud, y resume esto en cuatro métricas: rank promedio (comparado contra lo que daría el azar, n/2), Recall@5, Recall@10 y MRR (Mean Reciprocal Rank).</w:t>
      </w:r>
    </w:p>
    <w:p>
      <w:pPr>
        <w:pStyle w:val="Heading2"/>
        <w:spacing w:after="120" w:before="260"/>
      </w:pPr>
      <w:r>
        <w:t xml:space="preserve">5.2 Enfoque 1 — TF-IDF (línea base)</w:t>
      </w:r>
    </w:p>
    <w:p>
      <w:pPr>
        <w:spacing w:after="160"/>
        <w:jc w:val="both"/>
      </w:pPr>
      <w:r>
        <w:t xml:space="preserve">El primer intento representa el perfil de cada banda (subgénero repetido + sus tags de MusicBrainz) y el perfil de cada libro (categoría + sinopsis limpia) con un TF-IDF conjunto (500 términos, min_df=2), y mide similitud coseno. El resultado es prácticamente indistinguible del azar: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00"/>
      </w:tblGrid>
      <w:tr>
        <w:tc>
          <w:tcPr>
            <w:tcW w:type="dxa" w:w="3200"/>
            <w:shd w:fill="6B2D5C" w:val="clear"/>
            <w:tcMar>
              <w:top w:type="dxa" w:w="80"/>
              <w:left w:type="dxa" w:w="100"/>
              <w:bottom w:type="dxa" w:w="80"/>
              <w:right w:type="dxa" w:w="100"/>
            </w:tcMar>
          </w:tcPr>
          <w:p>
            <w:r>
              <w:rPr>
                <w:b/>
                <w:bCs/>
                <w:color w:val="FFFFFF"/>
                <w:sz w:val="20"/>
                <w:szCs w:val="20"/>
              </w:rPr>
              <w:t xml:space="preserve">Métrica</w:t>
            </w:r>
          </w:p>
        </w:tc>
        <w:tc>
          <w:tcPr>
            <w:tcW w:type="dxa" w:w="2900"/>
            <w:shd w:fill="6B2D5C" w:val="clear"/>
            <w:tcMar>
              <w:top w:type="dxa" w:w="80"/>
              <w:left w:type="dxa" w:w="100"/>
              <w:bottom w:type="dxa" w:w="80"/>
              <w:right w:type="dxa" w:w="100"/>
            </w:tcMar>
          </w:tcPr>
          <w:p>
            <w:r>
              <w:rPr>
                <w:b/>
                <w:bCs/>
                <w:color w:val="FFFFFF"/>
                <w:sz w:val="20"/>
                <w:szCs w:val="20"/>
              </w:rPr>
              <w:t xml:space="preserve">Banda correcta</w:t>
            </w:r>
          </w:p>
        </w:tc>
        <w:tc>
          <w:tcPr>
            <w:tcW w:type="dxa" w:w="2900"/>
            <w:shd w:fill="6B2D5C" w:val="clear"/>
            <w:tcMar>
              <w:top w:type="dxa" w:w="80"/>
              <w:left w:type="dxa" w:w="100"/>
              <w:bottom w:type="dxa" w:w="80"/>
              <w:right w:type="dxa" w:w="100"/>
            </w:tcMar>
          </w:tcPr>
          <w:p>
            <w:r>
              <w:rPr>
                <w:b/>
                <w:bCs/>
                <w:color w:val="FFFFFF"/>
                <w:sz w:val="20"/>
                <w:szCs w:val="20"/>
              </w:rPr>
              <w:t xml:space="preserve">Libro correcto</w:t>
            </w:r>
          </w:p>
        </w:tc>
      </w:tr>
      <w:tr>
        <w:tc>
          <w:tcPr>
            <w:tcW w:type="dxa" w:w="3200"/>
            <w:tcMar>
              <w:top w:type="dxa" w:w="80"/>
              <w:left w:type="dxa" w:w="100"/>
              <w:bottom w:type="dxa" w:w="80"/>
              <w:right w:type="dxa" w:w="100"/>
            </w:tcMar>
          </w:tcPr>
          <w:p>
            <w:r>
              <w:rPr>
                <w:b w:val="false"/>
                <w:bCs w:val="false"/>
                <w:color w:val="000000"/>
                <w:sz w:val="20"/>
                <w:szCs w:val="20"/>
              </w:rPr>
              <w:t xml:space="preserve">Rank promedio (azar)</w:t>
            </w:r>
          </w:p>
        </w:tc>
        <w:tc>
          <w:tcPr>
            <w:tcW w:type="dxa" w:w="2900"/>
            <w:tcMar>
              <w:top w:type="dxa" w:w="80"/>
              <w:left w:type="dxa" w:w="100"/>
              <w:bottom w:type="dxa" w:w="80"/>
              <w:right w:type="dxa" w:w="100"/>
            </w:tcMar>
          </w:tcPr>
          <w:p>
            <w:r>
              <w:rPr>
                <w:b w:val="false"/>
                <w:bCs w:val="false"/>
                <w:color w:val="000000"/>
                <w:sz w:val="20"/>
                <w:szCs w:val="20"/>
              </w:rPr>
              <w:t xml:space="preserve">44.4 (azar 40.5)</w:t>
            </w:r>
          </w:p>
        </w:tc>
        <w:tc>
          <w:tcPr>
            <w:tcW w:type="dxa" w:w="2900"/>
            <w:tcMar>
              <w:top w:type="dxa" w:w="80"/>
              <w:left w:type="dxa" w:w="100"/>
              <w:bottom w:type="dxa" w:w="80"/>
              <w:right w:type="dxa" w:w="100"/>
            </w:tcMar>
          </w:tcPr>
          <w:p>
            <w:r>
              <w:rPr>
                <w:b w:val="false"/>
                <w:bCs w:val="false"/>
                <w:color w:val="000000"/>
                <w:sz w:val="20"/>
                <w:szCs w:val="20"/>
              </w:rPr>
              <w:t xml:space="preserve">54.5 (azar 56.0)</w:t>
            </w:r>
          </w:p>
        </w:tc>
      </w:tr>
      <w:tr>
        <w:tc>
          <w:tcPr>
            <w:tcW w:type="dxa" w:w="3200"/>
            <w:tcMar>
              <w:top w:type="dxa" w:w="80"/>
              <w:left w:type="dxa" w:w="100"/>
              <w:bottom w:type="dxa" w:w="80"/>
              <w:right w:type="dxa" w:w="100"/>
            </w:tcMar>
          </w:tcPr>
          <w:p>
            <w:r>
              <w:rPr>
                <w:b w:val="false"/>
                <w:bCs w:val="false"/>
                <w:color w:val="000000"/>
                <w:sz w:val="20"/>
                <w:szCs w:val="20"/>
              </w:rPr>
              <w:t xml:space="preserve">Recall@5</w:t>
            </w:r>
          </w:p>
        </w:tc>
        <w:tc>
          <w:tcPr>
            <w:tcW w:type="dxa" w:w="2900"/>
            <w:tcMar>
              <w:top w:type="dxa" w:w="80"/>
              <w:left w:type="dxa" w:w="100"/>
              <w:bottom w:type="dxa" w:w="80"/>
              <w:right w:type="dxa" w:w="100"/>
            </w:tcMar>
          </w:tcPr>
          <w:p>
            <w:r>
              <w:rPr>
                <w:b w:val="false"/>
                <w:bCs w:val="false"/>
                <w:color w:val="000000"/>
                <w:sz w:val="20"/>
                <w:szCs w:val="20"/>
              </w:rPr>
              <w:t xml:space="preserve">5.7%</w:t>
            </w:r>
          </w:p>
        </w:tc>
        <w:tc>
          <w:tcPr>
            <w:tcW w:type="dxa" w:w="2900"/>
            <w:tcMar>
              <w:top w:type="dxa" w:w="80"/>
              <w:left w:type="dxa" w:w="100"/>
              <w:bottom w:type="dxa" w:w="80"/>
              <w:right w:type="dxa" w:w="100"/>
            </w:tcMar>
          </w:tcPr>
          <w:p>
            <w:r>
              <w:rPr>
                <w:b w:val="false"/>
                <w:bCs w:val="false"/>
                <w:color w:val="000000"/>
                <w:sz w:val="20"/>
                <w:szCs w:val="20"/>
              </w:rPr>
              <w:t xml:space="preserve">8.6%</w:t>
            </w:r>
          </w:p>
        </w:tc>
      </w:tr>
      <w:tr>
        <w:tc>
          <w:tcPr>
            <w:tcW w:type="dxa" w:w="3200"/>
            <w:tcMar>
              <w:top w:type="dxa" w:w="80"/>
              <w:left w:type="dxa" w:w="100"/>
              <w:bottom w:type="dxa" w:w="80"/>
              <w:right w:type="dxa" w:w="100"/>
            </w:tcMar>
          </w:tcPr>
          <w:p>
            <w:r>
              <w:rPr>
                <w:b w:val="false"/>
                <w:bCs w:val="false"/>
                <w:color w:val="000000"/>
                <w:sz w:val="20"/>
                <w:szCs w:val="20"/>
              </w:rPr>
              <w:t xml:space="preserve">Recall@10</w:t>
            </w:r>
          </w:p>
        </w:tc>
        <w:tc>
          <w:tcPr>
            <w:tcW w:type="dxa" w:w="2900"/>
            <w:tcMar>
              <w:top w:type="dxa" w:w="80"/>
              <w:left w:type="dxa" w:w="100"/>
              <w:bottom w:type="dxa" w:w="80"/>
              <w:right w:type="dxa" w:w="100"/>
            </w:tcMar>
          </w:tcPr>
          <w:p>
            <w:r>
              <w:rPr>
                <w:b w:val="false"/>
                <w:bCs w:val="false"/>
                <w:color w:val="000000"/>
                <w:sz w:val="20"/>
                <w:szCs w:val="20"/>
              </w:rPr>
              <w:t xml:space="preserve">13.3%</w:t>
            </w:r>
          </w:p>
        </w:tc>
        <w:tc>
          <w:tcPr>
            <w:tcW w:type="dxa" w:w="2900"/>
            <w:tcMar>
              <w:top w:type="dxa" w:w="80"/>
              <w:left w:type="dxa" w:w="100"/>
              <w:bottom w:type="dxa" w:w="80"/>
              <w:right w:type="dxa" w:w="100"/>
            </w:tcMar>
          </w:tcPr>
          <w:p>
            <w:r>
              <w:rPr>
                <w:b w:val="false"/>
                <w:bCs w:val="false"/>
                <w:color w:val="000000"/>
                <w:sz w:val="20"/>
                <w:szCs w:val="20"/>
              </w:rPr>
              <w:t xml:space="preserve">12.4%</w:t>
            </w:r>
          </w:p>
        </w:tc>
      </w:tr>
      <w:tr>
        <w:tc>
          <w:tcPr>
            <w:tcW w:type="dxa" w:w="3200"/>
            <w:tcMar>
              <w:top w:type="dxa" w:w="80"/>
              <w:left w:type="dxa" w:w="100"/>
              <w:bottom w:type="dxa" w:w="80"/>
              <w:right w:type="dxa" w:w="100"/>
            </w:tcMar>
          </w:tcPr>
          <w:p>
            <w:r>
              <w:rPr>
                <w:b w:val="false"/>
                <w:bCs w:val="false"/>
                <w:color w:val="000000"/>
                <w:sz w:val="20"/>
                <w:szCs w:val="20"/>
              </w:rPr>
              <w:t xml:space="preserve">MRR</w:t>
            </w:r>
          </w:p>
        </w:tc>
        <w:tc>
          <w:tcPr>
            <w:tcW w:type="dxa" w:w="2900"/>
            <w:tcMar>
              <w:top w:type="dxa" w:w="80"/>
              <w:left w:type="dxa" w:w="100"/>
              <w:bottom w:type="dxa" w:w="80"/>
              <w:right w:type="dxa" w:w="100"/>
            </w:tcMar>
          </w:tcPr>
          <w:p>
            <w:r>
              <w:rPr>
                <w:b w:val="false"/>
                <w:bCs w:val="false"/>
                <w:color w:val="000000"/>
                <w:sz w:val="20"/>
                <w:szCs w:val="20"/>
              </w:rPr>
              <w:t xml:space="preserve">0.064</w:t>
            </w:r>
          </w:p>
        </w:tc>
        <w:tc>
          <w:tcPr>
            <w:tcW w:type="dxa" w:w="2900"/>
            <w:tcMar>
              <w:top w:type="dxa" w:w="80"/>
              <w:left w:type="dxa" w:w="100"/>
              <w:bottom w:type="dxa" w:w="80"/>
              <w:right w:type="dxa" w:w="100"/>
            </w:tcMar>
          </w:tcPr>
          <w:p>
            <w:r>
              <w:rPr>
                <w:b w:val="false"/>
                <w:bCs w:val="false"/>
                <w:color w:val="000000"/>
                <w:sz w:val="20"/>
                <w:szCs w:val="20"/>
              </w:rPr>
              <w:t xml:space="preserve">0.065</w:t>
            </w:r>
          </w:p>
        </w:tc>
      </w:tr>
    </w:tbl>
    <w:p>
      <w:pPr>
        <w:spacing w:after="240"/>
      </w:pPr>
      <w:r>
        <w:rPr>
          <w:i/>
          <w:iCs/>
          <w:color w:val="555555"/>
          <w:sz w:val="18"/>
          <w:szCs w:val="18"/>
        </w:rPr>
        <w:t xml:space="preserve">Tabla 4. Resultados del enfoque TF-IDF sobre los 105 pares conocidos.</w:t>
      </w:r>
    </w:p>
    <w:p>
      <w:pPr>
        <w:spacing w:after="160"/>
        <w:jc w:val="both"/>
      </w:pPr>
      <w:r>
        <w:t xml:space="preserve">Este resultado no es un error de código: es evidencia real de que el vocabulario de tags musicales (“power metal”, “gothic”, “djent”) casi nunca coincide literalmente con las palabras de una sinopsis de libro (“guerra”, “reino”, “espada”). TF-IDF solo puede detectar coincidencias exactas de palabras, y entre estos dos dominios casi no las hay.</w:t>
      </w:r>
    </w:p>
    <w:p>
      <w:pPr>
        <w:pStyle w:val="Heading2"/>
        <w:spacing w:after="120" w:before="260"/>
      </w:pPr>
      <w:r>
        <w:t xml:space="preserve">5.3 Enfoque 2 — Embeddings de oración pre-entrenados (multilingüe)</w:t>
      </w:r>
    </w:p>
    <w:p>
      <w:pPr>
        <w:spacing w:after="160"/>
        <w:jc w:val="both"/>
      </w:pPr>
      <w:r>
        <w:t xml:space="preserve">Para capturar similitud semántica y no solo léxica, se codificó el mismo texto con un modelo de embeddings de oración pre-entrenado y multilingüe (paraphrase-multilingual-MiniLM-L12-v2, vía la librería sentence-transformers, corrido en Google Colab por requerir descargar el modelo). No se entrena nada: el modelo ya viene ajustado, solo se usa para codificar texto, por lo que la decisión de no entrenar una red desde cero (5.1) se mantiene.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00"/>
      </w:tblGrid>
      <w:tr>
        <w:tc>
          <w:tcPr>
            <w:tcW w:type="dxa" w:w="3200"/>
            <w:shd w:fill="6B2D5C" w:val="clear"/>
            <w:tcMar>
              <w:top w:type="dxa" w:w="80"/>
              <w:left w:type="dxa" w:w="100"/>
              <w:bottom w:type="dxa" w:w="80"/>
              <w:right w:type="dxa" w:w="100"/>
            </w:tcMar>
          </w:tcPr>
          <w:p>
            <w:r>
              <w:rPr>
                <w:b/>
                <w:bCs/>
                <w:color w:val="FFFFFF"/>
                <w:sz w:val="20"/>
                <w:szCs w:val="20"/>
              </w:rPr>
              <w:t xml:space="preserve">Métrica</w:t>
            </w:r>
          </w:p>
        </w:tc>
        <w:tc>
          <w:tcPr>
            <w:tcW w:type="dxa" w:w="2900"/>
            <w:shd w:fill="6B2D5C" w:val="clear"/>
            <w:tcMar>
              <w:top w:type="dxa" w:w="80"/>
              <w:left w:type="dxa" w:w="100"/>
              <w:bottom w:type="dxa" w:w="80"/>
              <w:right w:type="dxa" w:w="100"/>
            </w:tcMar>
          </w:tcPr>
          <w:p>
            <w:r>
              <w:rPr>
                <w:b/>
                <w:bCs/>
                <w:color w:val="FFFFFF"/>
                <w:sz w:val="20"/>
                <w:szCs w:val="20"/>
              </w:rPr>
              <w:t xml:space="preserve">Banda correcta</w:t>
            </w:r>
          </w:p>
        </w:tc>
        <w:tc>
          <w:tcPr>
            <w:tcW w:type="dxa" w:w="2900"/>
            <w:shd w:fill="6B2D5C" w:val="clear"/>
            <w:tcMar>
              <w:top w:type="dxa" w:w="80"/>
              <w:left w:type="dxa" w:w="100"/>
              <w:bottom w:type="dxa" w:w="80"/>
              <w:right w:type="dxa" w:w="100"/>
            </w:tcMar>
          </w:tcPr>
          <w:p>
            <w:r>
              <w:rPr>
                <w:b/>
                <w:bCs/>
                <w:color w:val="FFFFFF"/>
                <w:sz w:val="20"/>
                <w:szCs w:val="20"/>
              </w:rPr>
              <w:t xml:space="preserve">Libro correcto</w:t>
            </w:r>
          </w:p>
        </w:tc>
      </w:tr>
      <w:tr>
        <w:tc>
          <w:tcPr>
            <w:tcW w:type="dxa" w:w="3200"/>
            <w:tcMar>
              <w:top w:type="dxa" w:w="80"/>
              <w:left w:type="dxa" w:w="100"/>
              <w:bottom w:type="dxa" w:w="80"/>
              <w:right w:type="dxa" w:w="100"/>
            </w:tcMar>
          </w:tcPr>
          <w:p>
            <w:r>
              <w:rPr>
                <w:b w:val="false"/>
                <w:bCs w:val="false"/>
                <w:color w:val="000000"/>
                <w:sz w:val="20"/>
                <w:szCs w:val="20"/>
              </w:rPr>
              <w:t xml:space="preserve">Rank promedio (azar)</w:t>
            </w:r>
          </w:p>
        </w:tc>
        <w:tc>
          <w:tcPr>
            <w:tcW w:type="dxa" w:w="2900"/>
            <w:tcMar>
              <w:top w:type="dxa" w:w="80"/>
              <w:left w:type="dxa" w:w="100"/>
              <w:bottom w:type="dxa" w:w="80"/>
              <w:right w:type="dxa" w:w="100"/>
            </w:tcMar>
          </w:tcPr>
          <w:p>
            <w:r>
              <w:rPr>
                <w:b w:val="false"/>
                <w:bCs w:val="false"/>
                <w:color w:val="000000"/>
                <w:sz w:val="20"/>
                <w:szCs w:val="20"/>
              </w:rPr>
              <w:t xml:space="preserve">37.5 (azar 40.5)</w:t>
            </w:r>
          </w:p>
        </w:tc>
        <w:tc>
          <w:tcPr>
            <w:tcW w:type="dxa" w:w="2900"/>
            <w:tcMar>
              <w:top w:type="dxa" w:w="80"/>
              <w:left w:type="dxa" w:w="100"/>
              <w:bottom w:type="dxa" w:w="80"/>
              <w:right w:type="dxa" w:w="100"/>
            </w:tcMar>
          </w:tcPr>
          <w:p>
            <w:r>
              <w:rPr>
                <w:b w:val="false"/>
                <w:bCs w:val="false"/>
                <w:color w:val="000000"/>
                <w:sz w:val="20"/>
                <w:szCs w:val="20"/>
              </w:rPr>
              <w:t xml:space="preserve">46.2 (azar 56.0)</w:t>
            </w:r>
          </w:p>
        </w:tc>
      </w:tr>
      <w:tr>
        <w:tc>
          <w:tcPr>
            <w:tcW w:type="dxa" w:w="3200"/>
            <w:tcMar>
              <w:top w:type="dxa" w:w="80"/>
              <w:left w:type="dxa" w:w="100"/>
              <w:bottom w:type="dxa" w:w="80"/>
              <w:right w:type="dxa" w:w="100"/>
            </w:tcMar>
          </w:tcPr>
          <w:p>
            <w:r>
              <w:rPr>
                <w:b w:val="false"/>
                <w:bCs w:val="false"/>
                <w:color w:val="000000"/>
                <w:sz w:val="20"/>
                <w:szCs w:val="20"/>
              </w:rPr>
              <w:t xml:space="preserve">Recall@5</w:t>
            </w:r>
          </w:p>
        </w:tc>
        <w:tc>
          <w:tcPr>
            <w:tcW w:type="dxa" w:w="2900"/>
            <w:tcMar>
              <w:top w:type="dxa" w:w="80"/>
              <w:left w:type="dxa" w:w="100"/>
              <w:bottom w:type="dxa" w:w="80"/>
              <w:right w:type="dxa" w:w="100"/>
            </w:tcMar>
          </w:tcPr>
          <w:p>
            <w:r>
              <w:rPr>
                <w:b w:val="false"/>
                <w:bCs w:val="false"/>
                <w:color w:val="000000"/>
                <w:sz w:val="20"/>
                <w:szCs w:val="20"/>
              </w:rPr>
              <w:t xml:space="preserve">6.7%</w:t>
            </w:r>
          </w:p>
        </w:tc>
        <w:tc>
          <w:tcPr>
            <w:tcW w:type="dxa" w:w="2900"/>
            <w:tcMar>
              <w:top w:type="dxa" w:w="80"/>
              <w:left w:type="dxa" w:w="100"/>
              <w:bottom w:type="dxa" w:w="80"/>
              <w:right w:type="dxa" w:w="100"/>
            </w:tcMar>
          </w:tcPr>
          <w:p>
            <w:r>
              <w:rPr>
                <w:b w:val="false"/>
                <w:bCs w:val="false"/>
                <w:color w:val="000000"/>
                <w:sz w:val="20"/>
                <w:szCs w:val="20"/>
              </w:rPr>
              <w:t xml:space="preserve">8.6%</w:t>
            </w:r>
          </w:p>
        </w:tc>
      </w:tr>
      <w:tr>
        <w:tc>
          <w:tcPr>
            <w:tcW w:type="dxa" w:w="3200"/>
            <w:tcMar>
              <w:top w:type="dxa" w:w="80"/>
              <w:left w:type="dxa" w:w="100"/>
              <w:bottom w:type="dxa" w:w="80"/>
              <w:right w:type="dxa" w:w="100"/>
            </w:tcMar>
          </w:tcPr>
          <w:p>
            <w:r>
              <w:rPr>
                <w:b w:val="false"/>
                <w:bCs w:val="false"/>
                <w:color w:val="000000"/>
                <w:sz w:val="20"/>
                <w:szCs w:val="20"/>
              </w:rPr>
              <w:t xml:space="preserve">Recall@10</w:t>
            </w:r>
          </w:p>
        </w:tc>
        <w:tc>
          <w:tcPr>
            <w:tcW w:type="dxa" w:w="2900"/>
            <w:tcMar>
              <w:top w:type="dxa" w:w="80"/>
              <w:left w:type="dxa" w:w="100"/>
              <w:bottom w:type="dxa" w:w="80"/>
              <w:right w:type="dxa" w:w="100"/>
            </w:tcMar>
          </w:tcPr>
          <w:p>
            <w:r>
              <w:rPr>
                <w:b w:val="false"/>
                <w:bCs w:val="false"/>
                <w:color w:val="000000"/>
                <w:sz w:val="20"/>
                <w:szCs w:val="20"/>
              </w:rPr>
              <w:t xml:space="preserve">17.1%</w:t>
            </w:r>
          </w:p>
        </w:tc>
        <w:tc>
          <w:tcPr>
            <w:tcW w:type="dxa" w:w="2900"/>
            <w:tcMar>
              <w:top w:type="dxa" w:w="80"/>
              <w:left w:type="dxa" w:w="100"/>
              <w:bottom w:type="dxa" w:w="80"/>
              <w:right w:type="dxa" w:w="100"/>
            </w:tcMar>
          </w:tcPr>
          <w:p>
            <w:r>
              <w:rPr>
                <w:b w:val="false"/>
                <w:bCs w:val="false"/>
                <w:color w:val="000000"/>
                <w:sz w:val="20"/>
                <w:szCs w:val="20"/>
              </w:rPr>
              <w:t xml:space="preserve">13.3%</w:t>
            </w:r>
          </w:p>
        </w:tc>
      </w:tr>
      <w:tr>
        <w:tc>
          <w:tcPr>
            <w:tcW w:type="dxa" w:w="3200"/>
            <w:tcMar>
              <w:top w:type="dxa" w:w="80"/>
              <w:left w:type="dxa" w:w="100"/>
              <w:bottom w:type="dxa" w:w="80"/>
              <w:right w:type="dxa" w:w="100"/>
            </w:tcMar>
          </w:tcPr>
          <w:p>
            <w:r>
              <w:rPr>
                <w:b w:val="false"/>
                <w:bCs w:val="false"/>
                <w:color w:val="000000"/>
                <w:sz w:val="20"/>
                <w:szCs w:val="20"/>
              </w:rPr>
              <w:t xml:space="preserve">MRR</w:t>
            </w:r>
          </w:p>
        </w:tc>
        <w:tc>
          <w:tcPr>
            <w:tcW w:type="dxa" w:w="2900"/>
            <w:tcMar>
              <w:top w:type="dxa" w:w="80"/>
              <w:left w:type="dxa" w:w="100"/>
              <w:bottom w:type="dxa" w:w="80"/>
              <w:right w:type="dxa" w:w="100"/>
            </w:tcMar>
          </w:tcPr>
          <w:p>
            <w:r>
              <w:rPr>
                <w:b w:val="false"/>
                <w:bCs w:val="false"/>
                <w:color w:val="000000"/>
                <w:sz w:val="20"/>
                <w:szCs w:val="20"/>
              </w:rPr>
              <w:t xml:space="preserve">0.065</w:t>
            </w:r>
          </w:p>
        </w:tc>
        <w:tc>
          <w:tcPr>
            <w:tcW w:type="dxa" w:w="2900"/>
            <w:tcMar>
              <w:top w:type="dxa" w:w="80"/>
              <w:left w:type="dxa" w:w="100"/>
              <w:bottom w:type="dxa" w:w="80"/>
              <w:right w:type="dxa" w:w="100"/>
            </w:tcMar>
          </w:tcPr>
          <w:p>
            <w:r>
              <w:rPr>
                <w:b w:val="false"/>
                <w:bCs w:val="false"/>
                <w:color w:val="000000"/>
                <w:sz w:val="20"/>
                <w:szCs w:val="20"/>
              </w:rPr>
              <w:t xml:space="preserve">0.069</w:t>
            </w:r>
          </w:p>
        </w:tc>
      </w:tr>
    </w:tbl>
    <w:p>
      <w:pPr>
        <w:spacing w:after="240"/>
      </w:pPr>
      <w:r>
        <w:rPr>
          <w:i/>
          <w:iCs/>
          <w:color w:val="555555"/>
          <w:sz w:val="18"/>
          <w:szCs w:val="18"/>
        </w:rPr>
        <w:t xml:space="preserve">Tabla 5. Resultados del enfoque de embeddings multilingües sobre los 105 pares conocidos.</w:t>
      </w:r>
    </w:p>
    <w:p>
      <w:pPr>
        <w:spacing w:after="160"/>
        <w:jc w:val="both"/>
      </w:pPr>
      <w:r>
        <w:t xml:space="preserve">La mejora sobre TF-IDF es real aunque modesta: el rank promedio ya supera al azar en ambos sentidos (antes solo lo hacía marginalmente del lado libro), y Recall@10 sube en ambos sentidos.</w:t>
      </w:r>
    </w:p>
    <w:p>
      <w:pPr>
        <w:pStyle w:val="Heading2"/>
        <w:spacing w:after="120" w:before="260"/>
      </w:pPr>
      <w:r>
        <w:t xml:space="preserve">5.4 Problema detectado: concentración en “hubs”</w:t>
      </w:r>
    </w:p>
    <w:p>
      <w:pPr>
        <w:spacing w:after="160"/>
        <w:jc w:val="both"/>
      </w:pPr>
      <w:r>
        <w:t xml:space="preserve">Al revisar a fondo las recomendaciones reales generadas con el enfoque de embeddings, se encontró un patrón que las métricas agregadas de la sección anterior no capturan: unos pocos libros dominaban el top-5 de una fracción muy grande de bandas, sin relación aparente con su subgénero musical. En la corrida real:</w:t>
      </w:r>
    </w:p>
    <w:p>
      <w:pPr>
        <w:pStyle w:val="ListParagraph"/>
        <w:numPr>
          <w:ilvl w:val="0"/>
          <w:numId w:val="2"/>
        </w:numPr>
        <w:spacing w:after="80"/>
      </w:pPr>
      <w:r>
        <w:t xml:space="preserve">“El Señor de los Anillos” aparecía en el top-5 de 41 de 81 bandas (50.6%).</w:t>
      </w:r>
    </w:p>
    <w:p>
      <w:pPr>
        <w:pStyle w:val="ListParagraph"/>
        <w:numPr>
          <w:ilvl w:val="0"/>
          <w:numId w:val="2"/>
        </w:numPr>
        <w:spacing w:after="80"/>
      </w:pPr>
      <w:r>
        <w:t xml:space="preserve">“La guerra de la amapola” en 34 de 81 (42.0%); “Trono de Cristal” en 29.6%; “Eleanor &amp; Park” en 23.5%.</w:t>
      </w:r>
    </w:p>
    <w:p>
      <w:pPr>
        <w:spacing w:after="160"/>
        <w:jc w:val="both"/>
      </w:pPr>
      <w:r>
        <w:t xml:space="preserve">Se identificaron dos causas distintas:</w:t>
      </w:r>
    </w:p>
    <w:p>
      <w:pPr>
        <w:pStyle w:val="ListParagraph"/>
        <w:numPr>
          <w:ilvl w:val="0"/>
          <w:numId w:val="2"/>
        </w:numPr>
        <w:spacing w:after="80"/>
      </w:pPr>
      <w:r>
        <w:t xml:space="preserve">Perfiles degenerados: tres de esos libros (“La guerra de la amapola”, “El priorato del naranjo”, “Rey de cicatrices”) resultaron tener sinopsis vacía — su perfil de texto quedaba reducido a solo la categoría repetida, un texto genérico que superficialmente se parece a todo.</w:t>
      </w:r>
    </w:p>
    <w:p>
      <w:pPr>
        <w:pStyle w:val="ListParagraph"/>
        <w:numPr>
          <w:ilvl w:val="0"/>
          <w:numId w:val="2"/>
        </w:numPr>
        <w:spacing w:after="80"/>
      </w:pPr>
      <w:r>
        <w:t xml:space="preserve">“Hubness” genuina: otros libros hub (“El Señor de los Anillos”, “Trono de Cristal”, “Eleanor &amp; Park”) sí tenían sinopsis larga y real, y aun así dominaban. Este es un fenómeno conocido en espacios de embeddings de alta dimensión — unos pocos puntos terminan siendo “vecinos cercanos” de casi todo — agravado aquí por la asimetría de longitud entre los perfiles cortos de banda (~10-20 palabras) y las sinopsis largas de libro (~100-300 palabras).</w:t>
      </w:r>
    </w:p>
    <w:p>
      <w:pPr>
        <w:pStyle w:val="Heading2"/>
        <w:spacing w:after="120" w:before="260"/>
      </w:pPr>
      <w:r>
        <w:t xml:space="preserve">5.5 Corrección aplicada y enfoque final</w:t>
      </w:r>
    </w:p>
    <w:p>
      <w:pPr>
        <w:spacing w:after="160"/>
        <w:jc w:val="both"/>
      </w:pPr>
      <w:r>
        <w:t xml:space="preserve">Se aplicaron dos correcciones, evaluadas con la misma función evalua() para mantener la comparación justa:</w:t>
      </w:r>
    </w:p>
    <w:p>
      <w:pPr>
        <w:pStyle w:val="ListParagraph"/>
        <w:numPr>
          <w:ilvl w:val="0"/>
          <w:numId w:val="2"/>
        </w:numPr>
        <w:spacing w:after="80"/>
      </w:pPr>
      <w:r>
        <w:t xml:space="preserve">Exclusión de candidatos degenerados: los 15 libros sin sinopsis se excluyen como candidatos al construir el top-5 final por banda (siguen contando en la evaluación de métricas, para no maquillar los números ocultando los casos difíciles).</w:t>
      </w:r>
    </w:p>
    <w:p>
      <w:pPr>
        <w:pStyle w:val="ListParagraph"/>
        <w:numPr>
          <w:ilvl w:val="0"/>
          <w:numId w:val="2"/>
        </w:numPr>
        <w:spacing w:after="80"/>
      </w:pPr>
      <w:r>
        <w:t xml:space="preserve">Corrección de hubness por centrado: una versión simplificada de “centrado” (en el espíritu de CSLS, una técnica usada en matching cross-lingual de embeddings). A cada similitud se le resta el promedio de similitud de ese libro contra todas las bandas y el promedio de esa banda contra todos los libros. Un libro que “le cae bien a todo el mundo” en promedio pierde puntos: ya no puede ganar solo por ser genérico.</w:t>
      </w:r>
    </w:p>
    <w:p>
      <w:pPr>
        <w:spacing w:after="160"/>
        <w:jc w:val="both"/>
      </w:pPr>
      <w:r>
        <w:t xml:space="preserve">El resultado, verificado con la corrida real de Viry en Colab, mejoró tanto las métricas de evaluación como — el objetivo original — la concentración de hubs: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900"/>
        <w:gridCol w:w="2900"/>
      </w:tblGrid>
      <w:tr>
        <w:tc>
          <w:tcPr>
            <w:tcW w:type="dxa" w:w="4200"/>
            <w:shd w:fill="6B2D5C" w:val="clear"/>
            <w:tcMar>
              <w:top w:type="dxa" w:w="80"/>
              <w:left w:type="dxa" w:w="100"/>
              <w:bottom w:type="dxa" w:w="80"/>
              <w:right w:type="dxa" w:w="100"/>
            </w:tcMar>
          </w:tcPr>
          <w:p>
            <w:r>
              <w:rPr>
                <w:b/>
                <w:bCs/>
                <w:color w:val="FFFFFF"/>
                <w:sz w:val="20"/>
                <w:szCs w:val="20"/>
              </w:rPr>
              <w:t xml:space="preserve">Métrica</w:t>
            </w:r>
          </w:p>
        </w:tc>
        <w:tc>
          <w:tcPr>
            <w:tcW w:type="dxa" w:w="2900"/>
            <w:shd w:fill="6B2D5C" w:val="clear"/>
            <w:tcMar>
              <w:top w:type="dxa" w:w="80"/>
              <w:left w:type="dxa" w:w="100"/>
              <w:bottom w:type="dxa" w:w="80"/>
              <w:right w:type="dxa" w:w="100"/>
            </w:tcMar>
          </w:tcPr>
          <w:p>
            <w:r>
              <w:rPr>
                <w:b/>
                <w:bCs/>
                <w:color w:val="FFFFFF"/>
                <w:sz w:val="20"/>
                <w:szCs w:val="20"/>
              </w:rPr>
              <w:t xml:space="preserve">Embeddings (sin corregir)</w:t>
            </w:r>
          </w:p>
        </w:tc>
        <w:tc>
          <w:tcPr>
            <w:tcW w:type="dxa" w:w="2900"/>
            <w:shd w:fill="6B2D5C" w:val="clear"/>
            <w:tcMar>
              <w:top w:type="dxa" w:w="80"/>
              <w:left w:type="dxa" w:w="100"/>
              <w:bottom w:type="dxa" w:w="80"/>
              <w:right w:type="dxa" w:w="100"/>
            </w:tcMar>
          </w:tcPr>
          <w:p>
            <w:r>
              <w:rPr>
                <w:b/>
                <w:bCs/>
                <w:color w:val="FFFFFF"/>
                <w:sz w:val="20"/>
                <w:szCs w:val="20"/>
              </w:rPr>
              <w:t xml:space="preserve">Embeddings + corrección de hubness</w:t>
            </w:r>
          </w:p>
        </w:tc>
      </w:tr>
      <w:tr>
        <w:tc>
          <w:tcPr>
            <w:tcW w:type="dxa" w:w="4200"/>
            <w:tcMar>
              <w:top w:type="dxa" w:w="80"/>
              <w:left w:type="dxa" w:w="100"/>
              <w:bottom w:type="dxa" w:w="80"/>
              <w:right w:type="dxa" w:w="100"/>
            </w:tcMar>
          </w:tcPr>
          <w:p>
            <w:r>
              <w:rPr>
                <w:b w:val="false"/>
                <w:bCs w:val="false"/>
                <w:color w:val="000000"/>
                <w:sz w:val="20"/>
                <w:szCs w:val="20"/>
              </w:rPr>
              <w:t xml:space="preserve">Rank promedio banda (azar 40.5)</w:t>
            </w:r>
          </w:p>
        </w:tc>
        <w:tc>
          <w:tcPr>
            <w:tcW w:type="dxa" w:w="2900"/>
            <w:tcMar>
              <w:top w:type="dxa" w:w="80"/>
              <w:left w:type="dxa" w:w="100"/>
              <w:bottom w:type="dxa" w:w="80"/>
              <w:right w:type="dxa" w:w="100"/>
            </w:tcMar>
          </w:tcPr>
          <w:p>
            <w:r>
              <w:rPr>
                <w:b w:val="false"/>
                <w:bCs w:val="false"/>
                <w:color w:val="000000"/>
                <w:sz w:val="20"/>
                <w:szCs w:val="20"/>
              </w:rPr>
              <w:t xml:space="preserve">37.5</w:t>
            </w:r>
          </w:p>
        </w:tc>
        <w:tc>
          <w:tcPr>
            <w:tcW w:type="dxa" w:w="2900"/>
            <w:tcMar>
              <w:top w:type="dxa" w:w="80"/>
              <w:left w:type="dxa" w:w="100"/>
              <w:bottom w:type="dxa" w:w="80"/>
              <w:right w:type="dxa" w:w="100"/>
            </w:tcMar>
          </w:tcPr>
          <w:p>
            <w:r>
              <w:rPr>
                <w:b w:val="false"/>
                <w:bCs w:val="false"/>
                <w:color w:val="000000"/>
                <w:sz w:val="20"/>
                <w:szCs w:val="20"/>
              </w:rPr>
              <w:t xml:space="preserve">34.6</w:t>
            </w:r>
          </w:p>
        </w:tc>
      </w:tr>
      <w:tr>
        <w:tc>
          <w:tcPr>
            <w:tcW w:type="dxa" w:w="4200"/>
            <w:tcMar>
              <w:top w:type="dxa" w:w="80"/>
              <w:left w:type="dxa" w:w="100"/>
              <w:bottom w:type="dxa" w:w="80"/>
              <w:right w:type="dxa" w:w="100"/>
            </w:tcMar>
          </w:tcPr>
          <w:p>
            <w:r>
              <w:rPr>
                <w:b w:val="false"/>
                <w:bCs w:val="false"/>
                <w:color w:val="000000"/>
                <w:sz w:val="20"/>
                <w:szCs w:val="20"/>
              </w:rPr>
              <w:t xml:space="preserve">Recall@5 banda</w:t>
            </w:r>
          </w:p>
        </w:tc>
        <w:tc>
          <w:tcPr>
            <w:tcW w:type="dxa" w:w="2900"/>
            <w:tcMar>
              <w:top w:type="dxa" w:w="80"/>
              <w:left w:type="dxa" w:w="100"/>
              <w:bottom w:type="dxa" w:w="80"/>
              <w:right w:type="dxa" w:w="100"/>
            </w:tcMar>
          </w:tcPr>
          <w:p>
            <w:r>
              <w:rPr>
                <w:b w:val="false"/>
                <w:bCs w:val="false"/>
                <w:color w:val="000000"/>
                <w:sz w:val="20"/>
                <w:szCs w:val="20"/>
              </w:rPr>
              <w:t xml:space="preserve">6.7%</w:t>
            </w:r>
          </w:p>
        </w:tc>
        <w:tc>
          <w:tcPr>
            <w:tcW w:type="dxa" w:w="2900"/>
            <w:tcMar>
              <w:top w:type="dxa" w:w="80"/>
              <w:left w:type="dxa" w:w="100"/>
              <w:bottom w:type="dxa" w:w="80"/>
              <w:right w:type="dxa" w:w="100"/>
            </w:tcMar>
          </w:tcPr>
          <w:p>
            <w:r>
              <w:rPr>
                <w:b w:val="false"/>
                <w:bCs w:val="false"/>
                <w:color w:val="000000"/>
                <w:sz w:val="20"/>
                <w:szCs w:val="20"/>
              </w:rPr>
              <w:t xml:space="preserve">10.5%</w:t>
            </w:r>
          </w:p>
        </w:tc>
      </w:tr>
      <w:tr>
        <w:tc>
          <w:tcPr>
            <w:tcW w:type="dxa" w:w="4200"/>
            <w:tcMar>
              <w:top w:type="dxa" w:w="80"/>
              <w:left w:type="dxa" w:w="100"/>
              <w:bottom w:type="dxa" w:w="80"/>
              <w:right w:type="dxa" w:w="100"/>
            </w:tcMar>
          </w:tcPr>
          <w:p>
            <w:r>
              <w:rPr>
                <w:b w:val="false"/>
                <w:bCs w:val="false"/>
                <w:color w:val="000000"/>
                <w:sz w:val="20"/>
                <w:szCs w:val="20"/>
              </w:rPr>
              <w:t xml:space="preserve">Recall@10 banda</w:t>
            </w:r>
          </w:p>
        </w:tc>
        <w:tc>
          <w:tcPr>
            <w:tcW w:type="dxa" w:w="2900"/>
            <w:tcMar>
              <w:top w:type="dxa" w:w="80"/>
              <w:left w:type="dxa" w:w="100"/>
              <w:bottom w:type="dxa" w:w="80"/>
              <w:right w:type="dxa" w:w="100"/>
            </w:tcMar>
          </w:tcPr>
          <w:p>
            <w:r>
              <w:rPr>
                <w:b w:val="false"/>
                <w:bCs w:val="false"/>
                <w:color w:val="000000"/>
                <w:sz w:val="20"/>
                <w:szCs w:val="20"/>
              </w:rPr>
              <w:t xml:space="preserve">17.1%</w:t>
            </w:r>
          </w:p>
        </w:tc>
        <w:tc>
          <w:tcPr>
            <w:tcW w:type="dxa" w:w="2900"/>
            <w:tcMar>
              <w:top w:type="dxa" w:w="80"/>
              <w:left w:type="dxa" w:w="100"/>
              <w:bottom w:type="dxa" w:w="80"/>
              <w:right w:type="dxa" w:w="100"/>
            </w:tcMar>
          </w:tcPr>
          <w:p>
            <w:r>
              <w:rPr>
                <w:b w:val="false"/>
                <w:bCs w:val="false"/>
                <w:color w:val="000000"/>
                <w:sz w:val="20"/>
                <w:szCs w:val="20"/>
              </w:rPr>
              <w:t xml:space="preserve">18.1%</w:t>
            </w:r>
          </w:p>
        </w:tc>
      </w:tr>
      <w:tr>
        <w:tc>
          <w:tcPr>
            <w:tcW w:type="dxa" w:w="4200"/>
            <w:tcMar>
              <w:top w:type="dxa" w:w="80"/>
              <w:left w:type="dxa" w:w="100"/>
              <w:bottom w:type="dxa" w:w="80"/>
              <w:right w:type="dxa" w:w="100"/>
            </w:tcMar>
          </w:tcPr>
          <w:p>
            <w:r>
              <w:rPr>
                <w:b w:val="false"/>
                <w:bCs w:val="false"/>
                <w:color w:val="000000"/>
                <w:sz w:val="20"/>
                <w:szCs w:val="20"/>
              </w:rPr>
              <w:t xml:space="preserve">MRR banda</w:t>
            </w:r>
          </w:p>
        </w:tc>
        <w:tc>
          <w:tcPr>
            <w:tcW w:type="dxa" w:w="2900"/>
            <w:tcMar>
              <w:top w:type="dxa" w:w="80"/>
              <w:left w:type="dxa" w:w="100"/>
              <w:bottom w:type="dxa" w:w="80"/>
              <w:right w:type="dxa" w:w="100"/>
            </w:tcMar>
          </w:tcPr>
          <w:p>
            <w:r>
              <w:rPr>
                <w:b w:val="false"/>
                <w:bCs w:val="false"/>
                <w:color w:val="000000"/>
                <w:sz w:val="20"/>
                <w:szCs w:val="20"/>
              </w:rPr>
              <w:t xml:space="preserve">0.065</w:t>
            </w:r>
          </w:p>
        </w:tc>
        <w:tc>
          <w:tcPr>
            <w:tcW w:type="dxa" w:w="2900"/>
            <w:tcMar>
              <w:top w:type="dxa" w:w="80"/>
              <w:left w:type="dxa" w:w="100"/>
              <w:bottom w:type="dxa" w:w="80"/>
              <w:right w:type="dxa" w:w="100"/>
            </w:tcMar>
          </w:tcPr>
          <w:p>
            <w:r>
              <w:rPr>
                <w:b w:val="false"/>
                <w:bCs w:val="false"/>
                <w:color w:val="000000"/>
                <w:sz w:val="20"/>
                <w:szCs w:val="20"/>
              </w:rPr>
              <w:t xml:space="preserve">0.083</w:t>
            </w:r>
          </w:p>
        </w:tc>
      </w:tr>
      <w:tr>
        <w:tc>
          <w:tcPr>
            <w:tcW w:type="dxa" w:w="4200"/>
            <w:tcMar>
              <w:top w:type="dxa" w:w="80"/>
              <w:left w:type="dxa" w:w="100"/>
              <w:bottom w:type="dxa" w:w="80"/>
              <w:right w:type="dxa" w:w="100"/>
            </w:tcMar>
          </w:tcPr>
          <w:p>
            <w:r>
              <w:rPr>
                <w:b w:val="false"/>
                <w:bCs w:val="false"/>
                <w:color w:val="000000"/>
                <w:sz w:val="20"/>
                <w:szCs w:val="20"/>
              </w:rPr>
              <w:t xml:space="preserve">Rank promedio libro (azar 56.0)</w:t>
            </w:r>
          </w:p>
        </w:tc>
        <w:tc>
          <w:tcPr>
            <w:tcW w:type="dxa" w:w="2900"/>
            <w:tcMar>
              <w:top w:type="dxa" w:w="80"/>
              <w:left w:type="dxa" w:w="100"/>
              <w:bottom w:type="dxa" w:w="80"/>
              <w:right w:type="dxa" w:w="100"/>
            </w:tcMar>
          </w:tcPr>
          <w:p>
            <w:r>
              <w:rPr>
                <w:b w:val="false"/>
                <w:bCs w:val="false"/>
                <w:color w:val="000000"/>
                <w:sz w:val="20"/>
                <w:szCs w:val="20"/>
              </w:rPr>
              <w:t xml:space="preserve">46.2</w:t>
            </w:r>
          </w:p>
        </w:tc>
        <w:tc>
          <w:tcPr>
            <w:tcW w:type="dxa" w:w="2900"/>
            <w:tcMar>
              <w:top w:type="dxa" w:w="80"/>
              <w:left w:type="dxa" w:w="100"/>
              <w:bottom w:type="dxa" w:w="80"/>
              <w:right w:type="dxa" w:w="100"/>
            </w:tcMar>
          </w:tcPr>
          <w:p>
            <w:r>
              <w:rPr>
                <w:b w:val="false"/>
                <w:bCs w:val="false"/>
                <w:color w:val="000000"/>
                <w:sz w:val="20"/>
                <w:szCs w:val="20"/>
              </w:rPr>
              <w:t xml:space="preserve">45.9</w:t>
            </w:r>
          </w:p>
        </w:tc>
      </w:tr>
      <w:tr>
        <w:tc>
          <w:tcPr>
            <w:tcW w:type="dxa" w:w="4200"/>
            <w:tcMar>
              <w:top w:type="dxa" w:w="80"/>
              <w:left w:type="dxa" w:w="100"/>
              <w:bottom w:type="dxa" w:w="80"/>
              <w:right w:type="dxa" w:w="100"/>
            </w:tcMar>
          </w:tcPr>
          <w:p>
            <w:r>
              <w:rPr>
                <w:b w:val="false"/>
                <w:bCs w:val="false"/>
                <w:color w:val="000000"/>
                <w:sz w:val="20"/>
                <w:szCs w:val="20"/>
              </w:rPr>
              <w:t xml:space="preserve">Recall@5 libro</w:t>
            </w:r>
          </w:p>
        </w:tc>
        <w:tc>
          <w:tcPr>
            <w:tcW w:type="dxa" w:w="2900"/>
            <w:tcMar>
              <w:top w:type="dxa" w:w="80"/>
              <w:left w:type="dxa" w:w="100"/>
              <w:bottom w:type="dxa" w:w="80"/>
              <w:right w:type="dxa" w:w="100"/>
            </w:tcMar>
          </w:tcPr>
          <w:p>
            <w:r>
              <w:rPr>
                <w:b w:val="false"/>
                <w:bCs w:val="false"/>
                <w:color w:val="000000"/>
                <w:sz w:val="20"/>
                <w:szCs w:val="20"/>
              </w:rPr>
              <w:t xml:space="preserve">8.6%</w:t>
            </w:r>
          </w:p>
        </w:tc>
        <w:tc>
          <w:tcPr>
            <w:tcW w:type="dxa" w:w="2900"/>
            <w:tcMar>
              <w:top w:type="dxa" w:w="80"/>
              <w:left w:type="dxa" w:w="100"/>
              <w:bottom w:type="dxa" w:w="80"/>
              <w:right w:type="dxa" w:w="100"/>
            </w:tcMar>
          </w:tcPr>
          <w:p>
            <w:r>
              <w:rPr>
                <w:b w:val="false"/>
                <w:bCs w:val="false"/>
                <w:color w:val="000000"/>
                <w:sz w:val="20"/>
                <w:szCs w:val="20"/>
              </w:rPr>
              <w:t xml:space="preserve">10.5%</w:t>
            </w:r>
          </w:p>
        </w:tc>
      </w:tr>
      <w:tr>
        <w:tc>
          <w:tcPr>
            <w:tcW w:type="dxa" w:w="4200"/>
            <w:tcMar>
              <w:top w:type="dxa" w:w="80"/>
              <w:left w:type="dxa" w:w="100"/>
              <w:bottom w:type="dxa" w:w="80"/>
              <w:right w:type="dxa" w:w="100"/>
            </w:tcMar>
          </w:tcPr>
          <w:p>
            <w:r>
              <w:rPr>
                <w:b w:val="false"/>
                <w:bCs w:val="false"/>
                <w:color w:val="000000"/>
                <w:sz w:val="20"/>
                <w:szCs w:val="20"/>
              </w:rPr>
              <w:t xml:space="preserve">Recall@10 libro</w:t>
            </w:r>
          </w:p>
        </w:tc>
        <w:tc>
          <w:tcPr>
            <w:tcW w:type="dxa" w:w="2900"/>
            <w:tcMar>
              <w:top w:type="dxa" w:w="80"/>
              <w:left w:type="dxa" w:w="100"/>
              <w:bottom w:type="dxa" w:w="80"/>
              <w:right w:type="dxa" w:w="100"/>
            </w:tcMar>
          </w:tcPr>
          <w:p>
            <w:r>
              <w:rPr>
                <w:b w:val="false"/>
                <w:bCs w:val="false"/>
                <w:color w:val="000000"/>
                <w:sz w:val="20"/>
                <w:szCs w:val="20"/>
              </w:rPr>
              <w:t xml:space="preserve">13.3%</w:t>
            </w:r>
          </w:p>
        </w:tc>
        <w:tc>
          <w:tcPr>
            <w:tcW w:type="dxa" w:w="2900"/>
            <w:tcMar>
              <w:top w:type="dxa" w:w="80"/>
              <w:left w:type="dxa" w:w="100"/>
              <w:bottom w:type="dxa" w:w="80"/>
              <w:right w:type="dxa" w:w="100"/>
            </w:tcMar>
          </w:tcPr>
          <w:p>
            <w:r>
              <w:rPr>
                <w:b w:val="false"/>
                <w:bCs w:val="false"/>
                <w:color w:val="000000"/>
                <w:sz w:val="20"/>
                <w:szCs w:val="20"/>
              </w:rPr>
              <w:t xml:space="preserve">15.2%</w:t>
            </w:r>
          </w:p>
        </w:tc>
      </w:tr>
      <w:tr>
        <w:tc>
          <w:tcPr>
            <w:tcW w:type="dxa" w:w="4200"/>
            <w:tcMar>
              <w:top w:type="dxa" w:w="80"/>
              <w:left w:type="dxa" w:w="100"/>
              <w:bottom w:type="dxa" w:w="80"/>
              <w:right w:type="dxa" w:w="100"/>
            </w:tcMar>
          </w:tcPr>
          <w:p>
            <w:r>
              <w:rPr>
                <w:b w:val="false"/>
                <w:bCs w:val="false"/>
                <w:color w:val="000000"/>
                <w:sz w:val="20"/>
                <w:szCs w:val="20"/>
              </w:rPr>
              <w:t xml:space="preserve">MRR libro</w:t>
            </w:r>
          </w:p>
        </w:tc>
        <w:tc>
          <w:tcPr>
            <w:tcW w:type="dxa" w:w="2900"/>
            <w:tcMar>
              <w:top w:type="dxa" w:w="80"/>
              <w:left w:type="dxa" w:w="100"/>
              <w:bottom w:type="dxa" w:w="80"/>
              <w:right w:type="dxa" w:w="100"/>
            </w:tcMar>
          </w:tcPr>
          <w:p>
            <w:r>
              <w:rPr>
                <w:b w:val="false"/>
                <w:bCs w:val="false"/>
                <w:color w:val="000000"/>
                <w:sz w:val="20"/>
                <w:szCs w:val="20"/>
              </w:rPr>
              <w:t xml:space="preserve">0.069</w:t>
            </w:r>
          </w:p>
        </w:tc>
        <w:tc>
          <w:tcPr>
            <w:tcW w:type="dxa" w:w="2900"/>
            <w:tcMar>
              <w:top w:type="dxa" w:w="80"/>
              <w:left w:type="dxa" w:w="100"/>
              <w:bottom w:type="dxa" w:w="80"/>
              <w:right w:type="dxa" w:w="100"/>
            </w:tcMar>
          </w:tcPr>
          <w:p>
            <w:r>
              <w:rPr>
                <w:b w:val="false"/>
                <w:bCs w:val="false"/>
                <w:color w:val="000000"/>
                <w:sz w:val="20"/>
                <w:szCs w:val="20"/>
              </w:rPr>
              <w:t xml:space="preserve">0.077</w:t>
            </w:r>
          </w:p>
        </w:tc>
      </w:tr>
    </w:tbl>
    <w:p>
      <w:pPr>
        <w:spacing w:after="240"/>
      </w:pPr>
      <w:r>
        <w:rPr>
          <w:i/>
          <w:iCs/>
          <w:color w:val="555555"/>
          <w:sz w:val="18"/>
          <w:szCs w:val="18"/>
        </w:rPr>
        <w:t xml:space="preserve">Tabla 6. Comparación final: embeddings sin corregir vs. con corrección de hubness, sobre los 105 pares conocidos.</w:t>
      </w:r>
    </w:p>
    <w:p>
      <w:pPr>
        <w:spacing w:after="160"/>
        <w:jc w:val="both"/>
      </w:pPr>
      <w:r>
        <w:rPr>
          <w:b/>
          <w:bCs/>
        </w:rPr>
        <w:t xml:space="preserve">Concentración de hubs, antes vs. después: </w:t>
      </w:r>
      <w:r>
        <w:t xml:space="preserve">el libro top-1 más repetido bajó de 31 de 81 bandas (38.3%) a 6 de 81 (7.4%). En el conjunto final de recomendaciones (top-5 por banda, ya con los libros sin sinopsis excluidos), el libro más repetido aparece en 18 de 81 bandas (22.2%) — y ya no es un solo título dominando, sino cerca de diez libros distintos repartiéndose entre 10 y 18 bandas cada uno, una distribución mucho más sana.</w:t>
      </w:r>
    </w:p>
    <w:p>
      <w:pPr>
        <w:spacing w:after="160"/>
        <w:jc w:val="both"/>
      </w:pPr>
      <w:r>
        <w:t xml:space="preserve">El notebook elige automáticamente el enfoque final comparando el MRR combinado de banda y libro entre los tres enfoques; en la corrida real, el enfoque con corrección de hubness ganó también por esta métrica (MRR combinado 0.160 vs. 0.133 sin corregir), por lo que es el que se usó para generar las recomendaciones finales.</w:t>
      </w:r>
    </w:p>
    <w:p>
      <w:pPr>
        <w:pStyle w:val="Heading2"/>
        <w:spacing w:after="120" w:before="260"/>
      </w:pPr>
      <w:r>
        <w:t xml:space="preserve">5.6 Revisión cualitativa</w:t>
      </w:r>
    </w:p>
    <w:p>
      <w:pPr>
        <w:spacing w:after="160"/>
        <w:jc w:val="both"/>
      </w:pPr>
      <w:r>
        <w:t xml:space="preserve">Más allá de las métricas, las recomendaciones finales ya se sienten coherentes por subgénero — algo que no ocurría antes de la corrección, cuando casi todas las bandas terminaban recomendando el mismo puñado de libros sin importar su estilo: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6B2D5C" w:val="clear"/>
            <w:tcMar>
              <w:top w:type="dxa" w:w="80"/>
              <w:left w:type="dxa" w:w="100"/>
              <w:bottom w:type="dxa" w:w="80"/>
              <w:right w:type="dxa" w:w="100"/>
            </w:tcMar>
          </w:tcPr>
          <w:p>
            <w:r>
              <w:rPr>
                <w:b/>
                <w:bCs/>
                <w:color w:val="FFFFFF"/>
                <w:sz w:val="20"/>
                <w:szCs w:val="20"/>
              </w:rPr>
              <w:t xml:space="preserve">Libro / Banda de consulta</w:t>
            </w:r>
          </w:p>
        </w:tc>
        <w:tc>
          <w:tcPr>
            <w:tcW w:type="dxa" w:w="5600"/>
            <w:shd w:fill="6B2D5C" w:val="clear"/>
            <w:tcMar>
              <w:top w:type="dxa" w:w="80"/>
              <w:left w:type="dxa" w:w="100"/>
              <w:bottom w:type="dxa" w:w="80"/>
              <w:right w:type="dxa" w:w="100"/>
            </w:tcMar>
          </w:tcPr>
          <w:p>
            <w:r>
              <w:rPr>
                <w:b/>
                <w:bCs/>
                <w:color w:val="FFFFFF"/>
                <w:sz w:val="20"/>
                <w:szCs w:val="20"/>
              </w:rPr>
              <w:t xml:space="preserve">Top-5 recomendaciones</w:t>
            </w:r>
          </w:p>
        </w:tc>
      </w:tr>
      <w:tr>
        <w:tc>
          <w:tcPr>
            <w:tcW w:type="dxa" w:w="3400"/>
            <w:tcMar>
              <w:top w:type="dxa" w:w="80"/>
              <w:left w:type="dxa" w:w="100"/>
              <w:bottom w:type="dxa" w:w="80"/>
              <w:right w:type="dxa" w:w="100"/>
            </w:tcMar>
          </w:tcPr>
          <w:p>
            <w:r>
              <w:rPr>
                <w:b w:val="false"/>
                <w:bCs w:val="false"/>
                <w:color w:val="000000"/>
                <w:sz w:val="20"/>
                <w:szCs w:val="20"/>
              </w:rPr>
              <w:t xml:space="preserve">Libro: “El Señor de los Anillos” → bandas</w:t>
            </w:r>
          </w:p>
        </w:tc>
        <w:tc>
          <w:tcPr>
            <w:tcW w:type="dxa" w:w="5600"/>
            <w:tcMar>
              <w:top w:type="dxa" w:w="80"/>
              <w:left w:type="dxa" w:w="100"/>
              <w:bottom w:type="dxa" w:w="80"/>
              <w:right w:type="dxa" w:w="100"/>
            </w:tcMar>
          </w:tcPr>
          <w:p>
            <w:r>
              <w:rPr>
                <w:b w:val="false"/>
                <w:bCs w:val="false"/>
                <w:color w:val="000000"/>
                <w:sz w:val="20"/>
                <w:szCs w:val="20"/>
              </w:rPr>
              <w:t xml:space="preserve">Sabaton, Jinjer, DragonForce, Avenged Sevenfold, Judas Priest (power/heavy metal)</w:t>
            </w:r>
          </w:p>
        </w:tc>
      </w:tr>
      <w:tr>
        <w:tc>
          <w:tcPr>
            <w:tcW w:type="dxa" w:w="3400"/>
            <w:tcMar>
              <w:top w:type="dxa" w:w="80"/>
              <w:left w:type="dxa" w:w="100"/>
              <w:bottom w:type="dxa" w:w="80"/>
              <w:right w:type="dxa" w:w="100"/>
            </w:tcMar>
          </w:tcPr>
          <w:p>
            <w:r>
              <w:rPr>
                <w:b w:val="false"/>
                <w:bCs w:val="false"/>
                <w:color w:val="000000"/>
                <w:sz w:val="20"/>
                <w:szCs w:val="20"/>
              </w:rPr>
              <w:t xml:space="preserve">Banda: Chelsea Wolfe (Gothic Metal) → libros</w:t>
            </w:r>
          </w:p>
        </w:tc>
        <w:tc>
          <w:tcPr>
            <w:tcW w:type="dxa" w:w="5600"/>
            <w:tcMar>
              <w:top w:type="dxa" w:w="80"/>
              <w:left w:type="dxa" w:w="100"/>
              <w:bottom w:type="dxa" w:w="80"/>
              <w:right w:type="dxa" w:w="100"/>
            </w:tcMar>
          </w:tcPr>
          <w:p>
            <w:r>
              <w:rPr>
                <w:b w:val="false"/>
                <w:bCs w:val="false"/>
                <w:color w:val="000000"/>
                <w:sz w:val="20"/>
                <w:szCs w:val="20"/>
              </w:rPr>
              <w:t xml:space="preserve">El castillo de Otranto, Carmilla, Drácula, El retrato de Dorian Gray, El vampiro Lestat (gótico clásico/vampiros)</w:t>
            </w:r>
          </w:p>
        </w:tc>
      </w:tr>
      <w:tr>
        <w:tc>
          <w:tcPr>
            <w:tcW w:type="dxa" w:w="3400"/>
            <w:tcMar>
              <w:top w:type="dxa" w:w="80"/>
              <w:left w:type="dxa" w:w="100"/>
              <w:bottom w:type="dxa" w:w="80"/>
              <w:right w:type="dxa" w:w="100"/>
            </w:tcMar>
          </w:tcPr>
          <w:p>
            <w:r>
              <w:rPr>
                <w:b w:val="false"/>
                <w:bCs w:val="false"/>
                <w:color w:val="000000"/>
                <w:sz w:val="20"/>
                <w:szCs w:val="20"/>
              </w:rPr>
              <w:t xml:space="preserve">Banda: Emperor (Black Metal) → libros</w:t>
            </w:r>
          </w:p>
        </w:tc>
        <w:tc>
          <w:tcPr>
            <w:tcW w:type="dxa" w:w="5600"/>
            <w:tcMar>
              <w:top w:type="dxa" w:w="80"/>
              <w:left w:type="dxa" w:w="100"/>
              <w:bottom w:type="dxa" w:w="80"/>
              <w:right w:type="dxa" w:w="100"/>
            </w:tcMar>
          </w:tcPr>
          <w:p>
            <w:r>
              <w:rPr>
                <w:b w:val="false"/>
                <w:bCs w:val="false"/>
                <w:color w:val="000000"/>
                <w:sz w:val="20"/>
                <w:szCs w:val="20"/>
              </w:rPr>
              <w:t xml:space="preserve">Babel, Berserk, El circo de la noche, La compañía negra, Frankenstein (fantasía oscura/dark academia)</w:t>
            </w:r>
          </w:p>
        </w:tc>
      </w:tr>
    </w:tbl>
    <w:p>
      <w:pPr>
        <w:spacing w:after="240"/>
      </w:pPr>
      <w:r>
        <w:rPr>
          <w:i/>
          <w:iCs/>
          <w:color w:val="555555"/>
          <w:sz w:val="18"/>
          <w:szCs w:val="18"/>
        </w:rPr>
        <w:t xml:space="preserve">Tabla 7. Ejemplos de recomendaciones finales, tras la corrección de hubness.</w:t>
      </w:r>
    </w:p>
    <w:p>
      <w:pPr>
        <w:pStyle w:val="Heading1"/>
        <w:spacing w:after="160" w:before="360"/>
      </w:pPr>
      <w:r>
        <w:t xml:space="preserve">6. Limitaciones</w:t>
      </w:r>
    </w:p>
    <w:p>
      <w:pPr>
        <w:pStyle w:val="ListParagraph"/>
        <w:numPr>
          <w:ilvl w:val="0"/>
          <w:numId w:val="2"/>
        </w:numPr>
        <w:spacing w:after="80"/>
      </w:pPr>
      <w:r>
        <w:t xml:space="preserve">Solo 105 pares de evaluación: es una muestra pequeña para medir con precisión estadística alta; las métricas reportadas deben leerse como una estimación, no como un número exacto.</w:t>
      </w:r>
    </w:p>
    <w:p>
      <w:pPr>
        <w:pStyle w:val="ListParagraph"/>
        <w:numPr>
          <w:ilvl w:val="0"/>
          <w:numId w:val="2"/>
        </w:numPr>
        <w:spacing w:after="80"/>
      </w:pPr>
      <w:r>
        <w:t xml:space="preserve">15 de 112 libros (13.4%) se quedaron sin sinopsis pese al reintento en dos fuentes distintas; se excluyeron como candidatos de recomendación, lo que reduce el universo disponible del lado de los libros.</w:t>
      </w:r>
    </w:p>
    <w:p>
      <w:pPr>
        <w:pStyle w:val="ListParagraph"/>
        <w:numPr>
          <w:ilvl w:val="0"/>
          <w:numId w:val="2"/>
        </w:numPr>
        <w:spacing w:after="80"/>
      </w:pPr>
      <w:r>
        <w:t xml:space="preserve">El vocabulario musical (tags de género) y la prosa narrativa de un libro son dominios semánticamente distantes incluso para un modelo de embeddings; por eso el rank promedio, aunque mejor que el azar, todavía está lejos de un sistema ideal.</w:t>
      </w:r>
    </w:p>
    <w:p>
      <w:pPr>
        <w:pStyle w:val="ListParagraph"/>
        <w:numPr>
          <w:ilvl w:val="0"/>
          <w:numId w:val="2"/>
        </w:numPr>
        <w:spacing w:after="80"/>
      </w:pPr>
      <w:r>
        <w:t xml:space="preserve">La corrección de hubness aplicada (centrado simple) es una heurística transparente y verificable con los recursos disponibles, no la técnica más sofisticada del estado del arte para este problema (por ejemplo, CSLS basado en k-vecinos, o un espacio aprendido con contrastive learning).</w:t>
      </w:r>
    </w:p>
    <w:p>
      <w:pPr>
        <w:pStyle w:val="ListParagraph"/>
        <w:numPr>
          <w:ilvl w:val="0"/>
          <w:numId w:val="2"/>
        </w:numPr>
        <w:spacing w:after="80"/>
      </w:pPr>
      <w:r>
        <w:t xml:space="preserve">10 de 81 bandas (12.3%) tienen un match de Genius poco confiable (ver 2.3); su métrica de popularidad no se usa como señal confiable en el resto del pipeline.</w:t>
      </w:r>
    </w:p>
    <w:p>
      <w:pPr>
        <w:pStyle w:val="Heading1"/>
        <w:spacing w:after="160" w:before="360"/>
      </w:pPr>
      <w:r>
        <w:t xml:space="preserve">7. Próximos pasos</w:t>
      </w:r>
    </w:p>
    <w:p>
      <w:pPr>
        <w:spacing w:after="160"/>
        <w:jc w:val="both"/>
      </w:pPr>
      <w:r>
        <w:t xml:space="preserve">Con el recomendador validado, los siguientes pasos naturales del proyecto son:</w:t>
      </w:r>
    </w:p>
    <w:p>
      <w:pPr>
        <w:pStyle w:val="ListParagraph"/>
        <w:numPr>
          <w:ilvl w:val="0"/>
          <w:numId w:val="2"/>
        </w:numPr>
        <w:spacing w:after="80"/>
      </w:pPr>
      <w:r>
        <w:t xml:space="preserve">Pipeline/interfaz de uso: una interfaz (Gradio) que reciba un libro o una banda y muestre las recomendaciones del lado contrario, consumiendo directamente los CSVs del modelo ya generados.</w:t>
      </w:r>
    </w:p>
    <w:p>
      <w:pPr>
        <w:pStyle w:val="ListParagraph"/>
        <w:numPr>
          <w:ilvl w:val="0"/>
          <w:numId w:val="2"/>
        </w:numPr>
        <w:spacing w:after="80"/>
      </w:pPr>
      <w:r>
        <w:t xml:space="preserve">Conseguir sinopsis para los 15 libros faltantes, para que puedan volver a ser candidatos de recomendación.</w:t>
      </w:r>
    </w:p>
    <w:p>
      <w:pPr>
        <w:pStyle w:val="ListParagraph"/>
        <w:numPr>
          <w:ilvl w:val="0"/>
          <w:numId w:val="2"/>
        </w:numPr>
        <w:spacing w:after="80"/>
      </w:pPr>
      <w:r>
        <w:t xml:space="preserve">Ampliar el conjunto de 105 pares de evaluación si el tiempo lo permite, para reducir la incertidumbre de las métricas.</w:t>
      </w:r>
    </w:p>
    <w:p>
      <w:pPr>
        <w:pStyle w:val="ListParagraph"/>
        <w:numPr>
          <w:ilvl w:val="0"/>
          <w:numId w:val="2"/>
        </w:numPr>
        <w:spacing w:after="80"/>
      </w:pPr>
      <w:r>
        <w:t xml:space="preserve">Presentación, video y documentación final para la entrega del Trabajo Final del Diplomado.</w:t>
      </w:r>
    </w:p>
    <w:p>
      <w:pPr>
        <w:pStyle w:val="Heading1"/>
        <w:spacing w:after="160" w:before="360"/>
      </w:pPr>
      <w:r>
        <w:t xml:space="preserve">Anexo — Notebooks y archivos generados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6B2D5C" w:val="clear"/>
            <w:tcMar>
              <w:top w:type="dxa" w:w="80"/>
              <w:left w:type="dxa" w:w="100"/>
              <w:bottom w:type="dxa" w:w="80"/>
              <w:right w:type="dxa" w:w="100"/>
            </w:tcMar>
          </w:tcPr>
          <w:p>
            <w:r>
              <w:rPr>
                <w:b/>
                <w:bCs/>
                <w:color w:val="FFFFFF"/>
                <w:sz w:val="20"/>
                <w:szCs w:val="20"/>
              </w:rPr>
              <w:t xml:space="preserve">Notebook</w:t>
            </w:r>
          </w:p>
        </w:tc>
        <w:tc>
          <w:tcPr>
            <w:tcW w:type="dxa" w:w="5400"/>
            <w:shd w:fill="6B2D5C" w:val="clear"/>
            <w:tcMar>
              <w:top w:type="dxa" w:w="80"/>
              <w:left w:type="dxa" w:w="100"/>
              <w:bottom w:type="dxa" w:w="80"/>
              <w:right w:type="dxa" w:w="100"/>
            </w:tcMar>
          </w:tcPr>
          <w:p>
            <w:r>
              <w:rPr>
                <w:b/>
                <w:bCs/>
                <w:color w:val="FFFFFF"/>
                <w:sz w:val="20"/>
                <w:szCs w:val="20"/>
              </w:rPr>
              <w:t xml:space="preserve">Propósito</w:t>
            </w:r>
          </w:p>
        </w:tc>
      </w:tr>
      <w:tr>
        <w:tc>
          <w:tcPr>
            <w:tcW w:type="dxa" w:w="3600"/>
            <w:tcMar>
              <w:top w:type="dxa" w:w="80"/>
              <w:left w:type="dxa" w:w="100"/>
              <w:bottom w:type="dxa" w:w="80"/>
              <w:right w:type="dxa" w:w="100"/>
            </w:tcMar>
          </w:tcPr>
          <w:p>
            <w:r>
              <w:rPr>
                <w:b w:val="false"/>
                <w:bCs w:val="false"/>
                <w:color w:val="000000"/>
                <w:sz w:val="20"/>
                <w:szCs w:val="20"/>
              </w:rPr>
              <w:t xml:space="preserve">inkriff_pilot_extraccion.ipynb</w:t>
            </w:r>
          </w:p>
        </w:tc>
        <w:tc>
          <w:tcPr>
            <w:tcW w:type="dxa" w:w="5400"/>
            <w:tcMar>
              <w:top w:type="dxa" w:w="80"/>
              <w:left w:type="dxa" w:w="100"/>
              <w:bottom w:type="dxa" w:w="80"/>
              <w:right w:type="dxa" w:w="100"/>
            </w:tcMar>
          </w:tcPr>
          <w:p>
            <w:r>
              <w:rPr>
                <w:b w:val="false"/>
                <w:bCs w:val="false"/>
                <w:color w:val="000000"/>
                <w:sz w:val="20"/>
                <w:szCs w:val="20"/>
              </w:rPr>
              <w:t xml:space="preserve">Validación de las 3 fuentes de datos sobre una muestra pequeña</w:t>
            </w:r>
          </w:p>
        </w:tc>
      </w:tr>
      <w:tr>
        <w:tc>
          <w:tcPr>
            <w:tcW w:type="dxa" w:w="3600"/>
            <w:tcMar>
              <w:top w:type="dxa" w:w="80"/>
              <w:left w:type="dxa" w:w="100"/>
              <w:bottom w:type="dxa" w:w="80"/>
              <w:right w:type="dxa" w:w="100"/>
            </w:tcMar>
          </w:tcPr>
          <w:p>
            <w:r>
              <w:rPr>
                <w:b w:val="false"/>
                <w:bCs w:val="false"/>
                <w:color w:val="000000"/>
                <w:sz w:val="20"/>
                <w:szCs w:val="20"/>
              </w:rPr>
              <w:t xml:space="preserve">inkriff_extraccion_completa.ipynb</w:t>
            </w:r>
          </w:p>
        </w:tc>
        <w:tc>
          <w:tcPr>
            <w:tcW w:type="dxa" w:w="5400"/>
            <w:tcMar>
              <w:top w:type="dxa" w:w="80"/>
              <w:left w:type="dxa" w:w="100"/>
              <w:bottom w:type="dxa" w:w="80"/>
              <w:right w:type="dxa" w:w="100"/>
            </w:tcMar>
          </w:tcPr>
          <w:p>
            <w:r>
              <w:rPr>
                <w:b w:val="false"/>
                <w:bCs w:val="false"/>
                <w:color w:val="000000"/>
                <w:sz w:val="20"/>
                <w:szCs w:val="20"/>
              </w:rPr>
              <w:t xml:space="preserve">Extracción completa: 81 bandas + 112 libros → bandas_completo.csv, libros.csv</w:t>
            </w:r>
          </w:p>
        </w:tc>
      </w:tr>
      <w:tr>
        <w:tc>
          <w:tcPr>
            <w:tcW w:type="dxa" w:w="3600"/>
            <w:tcMar>
              <w:top w:type="dxa" w:w="80"/>
              <w:left w:type="dxa" w:w="100"/>
              <w:bottom w:type="dxa" w:w="80"/>
              <w:right w:type="dxa" w:w="100"/>
            </w:tcMar>
          </w:tcPr>
          <w:p>
            <w:r>
              <w:rPr>
                <w:b w:val="false"/>
                <w:bCs w:val="false"/>
                <w:color w:val="000000"/>
                <w:sz w:val="20"/>
                <w:szCs w:val="20"/>
              </w:rPr>
              <w:t xml:space="preserve">inkriff_eda_ingenieria.ipynb</w:t>
            </w:r>
          </w:p>
        </w:tc>
        <w:tc>
          <w:tcPr>
            <w:tcW w:type="dxa" w:w="5400"/>
            <w:tcMar>
              <w:top w:type="dxa" w:w="80"/>
              <w:left w:type="dxa" w:w="100"/>
              <w:bottom w:type="dxa" w:w="80"/>
              <w:right w:type="dxa" w:w="100"/>
            </w:tcMar>
          </w:tcPr>
          <w:p>
            <w:r>
              <w:rPr>
                <w:b w:val="false"/>
                <w:bCs w:val="false"/>
                <w:color w:val="000000"/>
                <w:sz w:val="20"/>
                <w:szCs w:val="20"/>
              </w:rPr>
              <w:t xml:space="preserve">EDA, extracción de sinopsis, limpieza de texto e ingeniería de variables → bandas_features.csv, libros_features.csv, pares_features.csv</w:t>
            </w:r>
          </w:p>
        </w:tc>
      </w:tr>
      <w:tr>
        <w:tc>
          <w:tcPr>
            <w:tcW w:type="dxa" w:w="3600"/>
            <w:tcMar>
              <w:top w:type="dxa" w:w="80"/>
              <w:left w:type="dxa" w:w="100"/>
              <w:bottom w:type="dxa" w:w="80"/>
              <w:right w:type="dxa" w:w="100"/>
            </w:tcMar>
          </w:tcPr>
          <w:p>
            <w:r>
              <w:rPr>
                <w:b w:val="false"/>
                <w:bCs w:val="false"/>
                <w:color w:val="000000"/>
                <w:sz w:val="20"/>
                <w:szCs w:val="20"/>
              </w:rPr>
              <w:t xml:space="preserve">inkriff_modelado_similitud.ipynb</w:t>
            </w:r>
          </w:p>
        </w:tc>
        <w:tc>
          <w:tcPr>
            <w:tcW w:type="dxa" w:w="5400"/>
            <w:tcMar>
              <w:top w:type="dxa" w:w="80"/>
              <w:left w:type="dxa" w:w="100"/>
              <w:bottom w:type="dxa" w:w="80"/>
              <w:right w:type="dxa" w:w="100"/>
            </w:tcMar>
          </w:tcPr>
          <w:p>
            <w:r>
              <w:rPr>
                <w:b w:val="false"/>
                <w:bCs w:val="false"/>
                <w:color w:val="000000"/>
                <w:sz w:val="20"/>
                <w:szCs w:val="20"/>
              </w:rPr>
              <w:t xml:space="preserve">Recomendador por similitud de contenido: TF-IDF, embeddings, corrección de hubness → recomendaciones_libro_a_banda.csv, recomendaciones_banda_a_libro.csv</w:t>
            </w:r>
          </w:p>
        </w:tc>
      </w:tr>
    </w:tbl>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360"/>
    </w:pPr>
    <w:rPr>
      <w:b/>
      <w:bCs/>
      <w:color w:val="6B2D5C"/>
      <w:sz w:val="30"/>
      <w:szCs w:val="30"/>
    </w:rPr>
  </w:style>
  <w:style w:type="paragraph" w:styleId="Heading2">
    <w:name w:val="Heading 2"/>
    <w:basedOn w:val="Normal"/>
    <w:next w:val="Normal"/>
    <w:pPr>
      <w:spacing w:after="120" w:before="260"/>
    </w:pPr>
    <w:rPr>
      <w:b/>
      <w:bCs/>
      <w:color w:val="3D1A3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2026-09-18T01:14:21.188Z</dcterms:created>
  <dcterms:modified xsi:type="dcterms:W3CDTF">2026-09-18T01:14:21.188Z</dcterms:modified>
</cp:coreProperties>
</file>

<file path=docProps/custom.xml><?xml version="1.0" encoding="utf-8"?>
<Properties xmlns="http://schemas.openxmlformats.org/officeDocument/2006/custom-properties" xmlns:vt="http://schemas.openxmlformats.org/officeDocument/2006/docPropsVTypes"/>
</file>