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6B45" w14:textId="73278ADB" w:rsidR="00563989" w:rsidRDefault="00417189" w:rsidP="00126DDF">
      <w:pPr>
        <w:jc w:val="both"/>
        <w:rPr>
          <w:b/>
          <w:bCs/>
          <w:sz w:val="28"/>
          <w:szCs w:val="28"/>
        </w:rPr>
      </w:pPr>
      <w:r w:rsidRPr="00417189">
        <w:rPr>
          <w:b/>
          <w:bCs/>
          <w:sz w:val="28"/>
          <w:szCs w:val="28"/>
        </w:rPr>
        <w:t>RESULTADOS E INTERPRETACIÓN DE RESULTADOS:</w:t>
      </w:r>
    </w:p>
    <w:p w14:paraId="58268FDD" w14:textId="5993F95E" w:rsidR="00417189" w:rsidRPr="00417189" w:rsidRDefault="00417189" w:rsidP="00126DDF">
      <w:pPr>
        <w:jc w:val="both"/>
        <w:rPr>
          <w:b/>
          <w:bCs/>
          <w:sz w:val="24"/>
          <w:szCs w:val="24"/>
        </w:rPr>
      </w:pPr>
      <w:r w:rsidRPr="00417189">
        <w:rPr>
          <w:b/>
          <w:bCs/>
          <w:sz w:val="24"/>
          <w:szCs w:val="24"/>
        </w:rPr>
        <w:t xml:space="preserve">1. </w:t>
      </w:r>
      <w:r w:rsidR="00736089" w:rsidRPr="00C461FF">
        <w:rPr>
          <w:b/>
          <w:bCs/>
          <w:sz w:val="24"/>
          <w:szCs w:val="24"/>
        </w:rPr>
        <w:t>Controles de calidad de secuencia (datos crudos y filtrados)</w:t>
      </w:r>
    </w:p>
    <w:p w14:paraId="615944C5" w14:textId="21099D87" w:rsidR="00417189" w:rsidRDefault="00417189" w:rsidP="00126DDF">
      <w:pPr>
        <w:jc w:val="both"/>
      </w:pPr>
      <w:r w:rsidRPr="00417189">
        <w:t xml:space="preserve">El primer panel del informe </w:t>
      </w:r>
      <w:r w:rsidR="00276150">
        <w:t>(</w:t>
      </w:r>
      <w:r w:rsidR="00276150" w:rsidRPr="00417189">
        <w:rPr>
          <w:i/>
          <w:iCs/>
        </w:rPr>
        <w:t xml:space="preserve">General </w:t>
      </w:r>
      <w:proofErr w:type="spellStart"/>
      <w:r w:rsidR="00276150" w:rsidRPr="00417189">
        <w:rPr>
          <w:i/>
          <w:iCs/>
        </w:rPr>
        <w:t>Statistics</w:t>
      </w:r>
      <w:proofErr w:type="spellEnd"/>
      <w:r w:rsidR="00276150">
        <w:t xml:space="preserve">) </w:t>
      </w:r>
      <w:r w:rsidRPr="00417189">
        <w:t>confirma una alta homogeneidad entre todas las muestras analizadas.</w:t>
      </w:r>
      <w:r>
        <w:t xml:space="preserve"> </w:t>
      </w:r>
    </w:p>
    <w:p w14:paraId="6D96653D" w14:textId="61400ED8" w:rsidR="00AF4747" w:rsidRDefault="00AF4747" w:rsidP="00126DDF">
      <w:pPr>
        <w:jc w:val="both"/>
      </w:pPr>
      <w:r w:rsidRPr="00417189">
        <w:t>Los valores de calidad se mantienen en la "zona verde" (</w:t>
      </w:r>
      <w:proofErr w:type="spellStart"/>
      <w:r w:rsidRPr="00417189">
        <w:t>Phred</w:t>
      </w:r>
      <w:proofErr w:type="spellEnd"/>
      <w:r w:rsidRPr="00417189">
        <w:t xml:space="preserve"> &gt; 30) desde el inicio hasta el final de las lecturas de </w:t>
      </w:r>
      <w:r w:rsidR="00DB4C5E">
        <w:t>1</w:t>
      </w:r>
      <w:r w:rsidRPr="00417189">
        <w:t>5</w:t>
      </w:r>
      <w:r w:rsidR="00DB4C5E">
        <w:t>1</w:t>
      </w:r>
      <w:r w:rsidRPr="00417189">
        <w:t xml:space="preserve"> </w:t>
      </w:r>
      <w:proofErr w:type="spellStart"/>
      <w:r w:rsidRPr="00417189">
        <w:t>bp</w:t>
      </w:r>
      <w:proofErr w:type="spellEnd"/>
      <w:r w:rsidRPr="00417189">
        <w:t>. Esto significa que la precisión en la identificación de cada nucleótido es superior al 99.9%</w:t>
      </w:r>
      <w:r>
        <w:t xml:space="preserve">, es decir, que la calidad de las secuencias es muy alta. </w:t>
      </w:r>
    </w:p>
    <w:p w14:paraId="0ED1D3FB" w14:textId="1938700D" w:rsidR="00AF4747" w:rsidRPr="00417189" w:rsidRDefault="00AF4747" w:rsidP="00126DDF">
      <w:pPr>
        <w:jc w:val="both"/>
      </w:pPr>
      <w:r>
        <w:t xml:space="preserve">En el caso de este ejercicio, donde las secuencias fueron creadas </w:t>
      </w:r>
      <w:r w:rsidR="00126DDF">
        <w:t xml:space="preserve">artificialmente de manera </w:t>
      </w:r>
      <w:r>
        <w:t>computacional, tiene sentido que la calidad, las lecturas y todos los parámetros tengan muy buenos valores. A la vez, se entiende que debido a esto no se observe</w:t>
      </w:r>
      <w:r w:rsidRPr="00417189">
        <w:t xml:space="preserve"> la degradación típica de calidad hacia el final de la lectura que suele obligar a</w:t>
      </w:r>
      <w:r w:rsidR="00126DDF">
        <w:t xml:space="preserve"> realizar un paso</w:t>
      </w:r>
      <w:r w:rsidRPr="00417189">
        <w:t xml:space="preserve"> </w:t>
      </w:r>
      <w:proofErr w:type="spellStart"/>
      <w:r w:rsidRPr="00417189">
        <w:rPr>
          <w:i/>
          <w:iCs/>
        </w:rPr>
        <w:t>trimming</w:t>
      </w:r>
      <w:proofErr w:type="spellEnd"/>
      <w:r w:rsidRPr="00417189">
        <w:t xml:space="preserve">, lo que justifica el uso de las secuencias </w:t>
      </w:r>
      <w:r w:rsidR="00126DDF">
        <w:t>de las lecturas crudas</w:t>
      </w:r>
      <w:r w:rsidRPr="00417189">
        <w:t xml:space="preserve"> para el </w:t>
      </w:r>
      <w:r w:rsidR="00126DDF">
        <w:t>alineamiento posterior</w:t>
      </w:r>
      <w:r w:rsidRPr="00417189">
        <w:t>.</w:t>
      </w:r>
    </w:p>
    <w:p w14:paraId="007B14DC" w14:textId="15582E07" w:rsidR="00417189" w:rsidRPr="00DB4C5E" w:rsidRDefault="00AF4747" w:rsidP="00126DDF">
      <w:pPr>
        <w:jc w:val="both"/>
      </w:pPr>
      <w:r>
        <w:t>Respecto a</w:t>
      </w:r>
      <w:r w:rsidR="00417189" w:rsidRPr="00417189">
        <w:t>l porcentaje de GC</w:t>
      </w:r>
      <w:r>
        <w:t>, este</w:t>
      </w:r>
      <w:r w:rsidR="00417189" w:rsidRPr="00417189">
        <w:t xml:space="preserve"> se sitúa consistentemente entre el 45% y el 46%. Una distribución tan estrecha indica que no existen sesgos en la preparación de las librerías y que las muestras son comparables entre sí.</w:t>
      </w:r>
      <w:r w:rsidR="00736089">
        <w:t xml:space="preserve"> </w:t>
      </w:r>
      <w:r>
        <w:t>Tambi</w:t>
      </w:r>
      <w:r w:rsidR="0069796D">
        <w:t>é</w:t>
      </w:r>
      <w:r>
        <w:t>n s</w:t>
      </w:r>
      <w:r w:rsidR="00417189" w:rsidRPr="00417189">
        <w:t>e observa un porcentaje de duplicación cercano al 0.5%</w:t>
      </w:r>
      <w:r w:rsidR="0069796D">
        <w:t>, un</w:t>
      </w:r>
      <w:r w:rsidR="00417189" w:rsidRPr="00417189">
        <w:t xml:space="preserve"> valor excepcionalmente </w:t>
      </w:r>
      <w:r w:rsidR="00417189" w:rsidRPr="00DB4C5E">
        <w:t>bajo</w:t>
      </w:r>
      <w:r w:rsidR="0069796D" w:rsidRPr="00DB4C5E">
        <w:t>.</w:t>
      </w:r>
    </w:p>
    <w:p w14:paraId="5BC133C3" w14:textId="57923B61" w:rsidR="00AF4747" w:rsidRPr="00DB4C5E" w:rsidRDefault="00417189" w:rsidP="00126DDF">
      <w:pPr>
        <w:jc w:val="both"/>
      </w:pPr>
      <w:r w:rsidRPr="00DB4C5E">
        <w:t xml:space="preserve">El informe detecta la presencia </w:t>
      </w:r>
      <w:r w:rsidR="00AF4747" w:rsidRPr="00DB4C5E">
        <w:t xml:space="preserve">significativa de secuencias contaminantes provenientes de adaptadores de secuenciación. Los niveles de contenido de adaptadores oscilaron entre el 10.3% en la muestra de Marge Simpson y el 17.4% en la de Lisa Simpson. </w:t>
      </w:r>
      <w:r w:rsidR="0069796D" w:rsidRPr="00DB4C5E">
        <w:t>Con el filtrado se logra un valor residual del 0.0% en todas las muestras procesadas.</w:t>
      </w:r>
    </w:p>
    <w:p w14:paraId="5D6ABB7E" w14:textId="2FAAD972" w:rsidR="00937E5C" w:rsidRDefault="00085EC1" w:rsidP="00126DDF">
      <w:pPr>
        <w:jc w:val="both"/>
      </w:pPr>
      <w:r w:rsidRPr="00DB4C5E">
        <w:t>Si este estudio fuera real, el uso de datos crudos cuando la calidad es óptima</w:t>
      </w:r>
      <w:r w:rsidRPr="00085EC1">
        <w:t xml:space="preserve"> evita</w:t>
      </w:r>
      <w:r w:rsidR="00736089">
        <w:t>r</w:t>
      </w:r>
      <w:r w:rsidR="00126DDF">
        <w:t>í</w:t>
      </w:r>
      <w:r w:rsidR="00736089">
        <w:t>a</w:t>
      </w:r>
      <w:r w:rsidRPr="00085EC1">
        <w:t xml:space="preserve"> la pérdida innecesaria de información biológica que a veces ocurre durante el </w:t>
      </w:r>
      <w:r w:rsidR="00126DDF">
        <w:t xml:space="preserve">proceso de </w:t>
      </w:r>
      <w:proofErr w:type="spellStart"/>
      <w:r w:rsidRPr="00085EC1">
        <w:rPr>
          <w:i/>
          <w:iCs/>
        </w:rPr>
        <w:t>trimming</w:t>
      </w:r>
      <w:proofErr w:type="spellEnd"/>
      <w:r w:rsidRPr="00085EC1">
        <w:t xml:space="preserve"> excesivo.</w:t>
      </w:r>
      <w:r>
        <w:t xml:space="preserve"> En general se acostumbra a filtrar para obte</w:t>
      </w:r>
      <w:r w:rsidR="00126DDF">
        <w:t>n</w:t>
      </w:r>
      <w:r>
        <w:t>e</w:t>
      </w:r>
      <w:r w:rsidR="00126DDF">
        <w:t>r</w:t>
      </w:r>
      <w:r>
        <w:t xml:space="preserve"> mejor calidad de secuencia, pero la calidad inicial ya era muy buena y, por tanto, se ha decidido </w:t>
      </w:r>
      <w:r w:rsidR="00736089">
        <w:t>usar los datos crudos en vez de los filtrados.</w:t>
      </w:r>
    </w:p>
    <w:p w14:paraId="1956F38F" w14:textId="7C5AC02A" w:rsidR="00937E5C" w:rsidRPr="00937E5C" w:rsidRDefault="00937E5C" w:rsidP="00126DDF">
      <w:pPr>
        <w:jc w:val="center"/>
      </w:pPr>
      <w:r w:rsidRPr="00937E5C">
        <w:rPr>
          <w:noProof/>
        </w:rPr>
        <w:drawing>
          <wp:inline distT="0" distB="0" distL="0" distR="0" wp14:anchorId="43972AEF" wp14:editId="32EE6188">
            <wp:extent cx="4038962" cy="2019481"/>
            <wp:effectExtent l="0" t="0" r="0" b="0"/>
            <wp:docPr id="1979618348" name="Imagen 2"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8348" name="Imagen 2" descr="Gráfico, Gráfico de rectángulos&#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6379" cy="2023189"/>
                    </a:xfrm>
                    <a:prstGeom prst="rect">
                      <a:avLst/>
                    </a:prstGeom>
                    <a:noFill/>
                    <a:ln>
                      <a:noFill/>
                    </a:ln>
                  </pic:spPr>
                </pic:pic>
              </a:graphicData>
            </a:graphic>
          </wp:inline>
        </w:drawing>
      </w:r>
    </w:p>
    <w:p w14:paraId="59A46887" w14:textId="77777777" w:rsidR="00937E5C" w:rsidRDefault="00937E5C" w:rsidP="00126DDF">
      <w:pPr>
        <w:jc w:val="both"/>
      </w:pPr>
    </w:p>
    <w:p w14:paraId="5F4DC4CA" w14:textId="4CD9DFC7" w:rsidR="00C461FF" w:rsidRPr="00C461FF" w:rsidRDefault="00736089" w:rsidP="00126DDF">
      <w:pPr>
        <w:jc w:val="both"/>
        <w:rPr>
          <w:b/>
          <w:bCs/>
        </w:rPr>
      </w:pPr>
      <w:r>
        <w:br w:type="page"/>
      </w:r>
      <w:r w:rsidRPr="00C461FF">
        <w:rPr>
          <w:b/>
          <w:bCs/>
          <w:sz w:val="24"/>
          <w:szCs w:val="24"/>
        </w:rPr>
        <w:lastRenderedPageBreak/>
        <w:t xml:space="preserve">2. </w:t>
      </w:r>
      <w:r w:rsidRPr="00417189">
        <w:rPr>
          <w:b/>
          <w:bCs/>
          <w:sz w:val="24"/>
          <w:szCs w:val="24"/>
        </w:rPr>
        <w:t xml:space="preserve"> </w:t>
      </w:r>
      <w:r w:rsidR="00C461FF" w:rsidRPr="00C461FF">
        <w:rPr>
          <w:b/>
          <w:bCs/>
          <w:sz w:val="24"/>
          <w:szCs w:val="24"/>
        </w:rPr>
        <w:t>Informe de Cuantificación (Salmon)</w:t>
      </w:r>
    </w:p>
    <w:p w14:paraId="45836A00" w14:textId="680D08A5" w:rsidR="00C461FF" w:rsidRPr="00C461FF" w:rsidRDefault="00C461FF" w:rsidP="00126DDF">
      <w:pPr>
        <w:jc w:val="both"/>
      </w:pPr>
      <w:r w:rsidRPr="00C461FF">
        <w:t>El informe refleja una</w:t>
      </w:r>
      <w:r>
        <w:t xml:space="preserve"> muy buena</w:t>
      </w:r>
      <w:r w:rsidRPr="00C461FF">
        <w:t xml:space="preserve"> eficiencia de mapeo, lo que confirma que la decisión de utilizar los datos crudos fue acertada debido a la alta calidad de las bases.</w:t>
      </w:r>
    </w:p>
    <w:p w14:paraId="795CA15A" w14:textId="5DAAF9EA" w:rsidR="00C461FF" w:rsidRPr="00C461FF" w:rsidRDefault="00C461FF" w:rsidP="00126DDF">
      <w:pPr>
        <w:jc w:val="both"/>
      </w:pPr>
      <w:r>
        <w:t>T</w:t>
      </w:r>
      <w:r w:rsidRPr="00C461FF">
        <w:t xml:space="preserve">odas las muestras presentan una tasa de alineamiento extremadamente alta, situándose </w:t>
      </w:r>
      <w:r w:rsidR="006E6403">
        <w:t>en el 100</w:t>
      </w:r>
      <w:r w:rsidRPr="00C461FF">
        <w:t>%</w:t>
      </w:r>
      <w:r>
        <w:t>;</w:t>
      </w:r>
      <w:r w:rsidRPr="00C461FF">
        <w:t xml:space="preserve"> </w:t>
      </w:r>
      <w:r w:rsidR="00937E5C">
        <w:t>todos</w:t>
      </w:r>
      <w:r w:rsidR="00DB4C5E">
        <w:t xml:space="preserve"> los fragmentos iniciales</w:t>
      </w:r>
      <w:r w:rsidRPr="00C461FF">
        <w:t xml:space="preserve"> han sido asignados a transcritos específicos.</w:t>
      </w:r>
      <w:r>
        <w:t xml:space="preserve"> </w:t>
      </w:r>
      <w:r w:rsidRPr="00C461FF">
        <w:t>En experimentos de RNA-seq, una tasa superior al 80% se considera muy buena; alcanzar casi el 99% es un resultado excepcional. Esto indica que prácticamente la totalidad de las 46 millones de lecturas por muestra coinciden con secuencias del transcriptoma de referencia.</w:t>
      </w:r>
      <w:r w:rsidR="006E6403">
        <w:t xml:space="preserve"> </w:t>
      </w:r>
    </w:p>
    <w:p w14:paraId="71A6EF68" w14:textId="67C61ED0" w:rsidR="00C461FF" w:rsidRPr="00C461FF" w:rsidRDefault="00C461FF" w:rsidP="00126DDF">
      <w:pPr>
        <w:jc w:val="both"/>
      </w:pPr>
      <w:r w:rsidRPr="00C461FF">
        <w:t>Además, esta cifra tan alta demuestra que la presencia de adaptadores (que vimos en el informe anterior) no impidió que Salmon identificara los genes correctamente</w:t>
      </w:r>
      <w:r>
        <w:t>. Esto pasa probablemente</w:t>
      </w:r>
      <w:r w:rsidRPr="00C461FF">
        <w:t xml:space="preserve"> gracias a su algoritmo de </w:t>
      </w:r>
      <w:proofErr w:type="spellStart"/>
      <w:r w:rsidRPr="00C461FF">
        <w:rPr>
          <w:i/>
          <w:iCs/>
        </w:rPr>
        <w:t>quasi-mapping</w:t>
      </w:r>
      <w:proofErr w:type="spellEnd"/>
      <w:r w:rsidRPr="00C461FF">
        <w:t xml:space="preserve"> que ignora secuencias técnicas si la señal biológica es fuerte.</w:t>
      </w:r>
      <w:r w:rsidR="006E6403">
        <w:t xml:space="preserve"> </w:t>
      </w:r>
    </w:p>
    <w:p w14:paraId="23F1CB79" w14:textId="33BC0C5D" w:rsidR="00937E5C" w:rsidRPr="00937E5C" w:rsidRDefault="00937E5C" w:rsidP="00126DDF">
      <w:pPr>
        <w:jc w:val="both"/>
      </w:pPr>
      <w:r w:rsidRPr="00DB4C5E">
        <w:t xml:space="preserve">El </w:t>
      </w:r>
      <w:proofErr w:type="spellStart"/>
      <w:r w:rsidRPr="00DB4C5E">
        <w:rPr>
          <w:i/>
          <w:iCs/>
        </w:rPr>
        <w:t>Computed</w:t>
      </w:r>
      <w:proofErr w:type="spellEnd"/>
      <w:r w:rsidRPr="00DB4C5E">
        <w:rPr>
          <w:i/>
          <w:iCs/>
        </w:rPr>
        <w:t xml:space="preserve"> </w:t>
      </w:r>
      <w:proofErr w:type="spellStart"/>
      <w:r w:rsidRPr="00DB4C5E">
        <w:rPr>
          <w:i/>
          <w:iCs/>
        </w:rPr>
        <w:t>Fragment</w:t>
      </w:r>
      <w:proofErr w:type="spellEnd"/>
      <w:r w:rsidRPr="00DB4C5E">
        <w:rPr>
          <w:i/>
          <w:iCs/>
        </w:rPr>
        <w:t xml:space="preserve"> Ratio</w:t>
      </w:r>
      <w:r w:rsidRPr="00DB4C5E">
        <w:t xml:space="preserve"> tiene un valor de 1</w:t>
      </w:r>
      <w:r w:rsidR="00DB4C5E" w:rsidRPr="00DB4C5E">
        <w:t>00%</w:t>
      </w:r>
      <w:r w:rsidRPr="00DB4C5E">
        <w:t>, lo cual indica</w:t>
      </w:r>
      <w:r w:rsidRPr="00937E5C">
        <w:t xml:space="preserve"> que el número de fragmentos que Salmon esperaba observar coincide exactamente con lo que observó. Es un indicador de consistencia perfecta.</w:t>
      </w:r>
    </w:p>
    <w:p w14:paraId="0E17A43F" w14:textId="522ABE78" w:rsidR="00937E5C" w:rsidRDefault="00937E5C" w:rsidP="00126DDF">
      <w:pPr>
        <w:jc w:val="both"/>
      </w:pPr>
      <w:r>
        <w:t xml:space="preserve">El </w:t>
      </w:r>
      <w:r>
        <w:rPr>
          <w:i/>
          <w:iCs/>
        </w:rPr>
        <w:t>M Bias</w:t>
      </w:r>
      <w:r>
        <w:t xml:space="preserve"> muestra</w:t>
      </w:r>
      <w:r w:rsidRPr="00937E5C">
        <w:t xml:space="preserve"> si hay un sesgo de mapeo (si Salmon prefiere mapear al principio o al final de la lectura). Un valor de 1.0 significa que no hay sesgo; la cobertura es uniforme en todo el gen.</w:t>
      </w:r>
    </w:p>
    <w:tbl>
      <w:tblPr>
        <w:tblpPr w:leftFromText="141" w:rightFromText="141" w:vertAnchor="page" w:horzAnchor="margin" w:tblpXSpec="center" w:tblpY="7942"/>
        <w:tblW w:w="8080" w:type="dxa"/>
        <w:shd w:val="clear" w:color="auto" w:fill="FFFFFF"/>
        <w:tblCellMar>
          <w:top w:w="15" w:type="dxa"/>
          <w:left w:w="15" w:type="dxa"/>
          <w:bottom w:w="15" w:type="dxa"/>
          <w:right w:w="15" w:type="dxa"/>
        </w:tblCellMar>
        <w:tblLook w:val="04A0" w:firstRow="1" w:lastRow="0" w:firstColumn="1" w:lastColumn="0" w:noHBand="0" w:noVBand="1"/>
      </w:tblPr>
      <w:tblGrid>
        <w:gridCol w:w="2268"/>
        <w:gridCol w:w="1690"/>
        <w:gridCol w:w="1287"/>
        <w:gridCol w:w="1276"/>
        <w:gridCol w:w="1559"/>
      </w:tblGrid>
      <w:tr w:rsidR="00937E5C" w:rsidRPr="00937E5C" w14:paraId="40B7015A" w14:textId="77777777" w:rsidTr="008134E2">
        <w:trPr>
          <w:trHeight w:val="426"/>
          <w:tblHeader/>
        </w:trPr>
        <w:tc>
          <w:tcPr>
            <w:tcW w:w="2268" w:type="dxa"/>
            <w:tcBorders>
              <w:top w:val="single" w:sz="2" w:space="0" w:color="auto"/>
              <w:left w:val="nil"/>
              <w:bottom w:val="nil"/>
              <w:right w:val="single" w:sz="2" w:space="0" w:color="auto"/>
            </w:tcBorders>
            <w:shd w:val="clear" w:color="auto" w:fill="FFFFFF"/>
            <w:noWrap/>
            <w:vAlign w:val="center"/>
            <w:hideMark/>
          </w:tcPr>
          <w:p w14:paraId="391588DD" w14:textId="77777777" w:rsidR="00937E5C" w:rsidRPr="00937E5C" w:rsidRDefault="00937E5C" w:rsidP="00126DDF">
            <w:pPr>
              <w:jc w:val="both"/>
              <w:rPr>
                <w:b/>
                <w:bCs/>
              </w:rPr>
            </w:pPr>
            <w:r w:rsidRPr="00937E5C">
              <w:rPr>
                <w:b/>
                <w:bCs/>
              </w:rPr>
              <w:t>Sample Name</w:t>
            </w:r>
          </w:p>
        </w:tc>
        <w:tc>
          <w:tcPr>
            <w:tcW w:w="1690" w:type="dxa"/>
            <w:tcBorders>
              <w:top w:val="single" w:sz="2" w:space="0" w:color="auto"/>
              <w:left w:val="single" w:sz="2" w:space="0" w:color="auto"/>
              <w:bottom w:val="nil"/>
              <w:right w:val="single" w:sz="2" w:space="0" w:color="auto"/>
            </w:tcBorders>
            <w:shd w:val="clear" w:color="auto" w:fill="FFFFFF"/>
            <w:noWrap/>
            <w:vAlign w:val="center"/>
            <w:hideMark/>
          </w:tcPr>
          <w:p w14:paraId="0A30484D" w14:textId="77777777" w:rsidR="00937E5C" w:rsidRPr="00937E5C" w:rsidRDefault="00937E5C" w:rsidP="00126DDF">
            <w:pPr>
              <w:jc w:val="both"/>
              <w:rPr>
                <w:b/>
                <w:bCs/>
              </w:rPr>
            </w:pPr>
            <w:r w:rsidRPr="00937E5C">
              <w:rPr>
                <w:b/>
                <w:bCs/>
              </w:rPr>
              <w:t xml:space="preserve">% </w:t>
            </w:r>
            <w:proofErr w:type="spellStart"/>
            <w:r w:rsidRPr="00937E5C">
              <w:rPr>
                <w:b/>
                <w:bCs/>
              </w:rPr>
              <w:t>Aligned</w:t>
            </w:r>
            <w:proofErr w:type="spellEnd"/>
          </w:p>
        </w:tc>
        <w:tc>
          <w:tcPr>
            <w:tcW w:w="1287" w:type="dxa"/>
            <w:tcBorders>
              <w:top w:val="single" w:sz="2" w:space="0" w:color="auto"/>
              <w:left w:val="single" w:sz="2" w:space="0" w:color="auto"/>
              <w:bottom w:val="nil"/>
              <w:right w:val="single" w:sz="2" w:space="0" w:color="auto"/>
            </w:tcBorders>
            <w:shd w:val="clear" w:color="auto" w:fill="E9ECEF"/>
            <w:noWrap/>
            <w:vAlign w:val="center"/>
            <w:hideMark/>
          </w:tcPr>
          <w:p w14:paraId="7952666B" w14:textId="77777777" w:rsidR="00937E5C" w:rsidRPr="00937E5C" w:rsidRDefault="00937E5C" w:rsidP="00126DDF">
            <w:pPr>
              <w:jc w:val="both"/>
              <w:rPr>
                <w:b/>
                <w:bCs/>
              </w:rPr>
            </w:pPr>
            <w:r w:rsidRPr="00937E5C">
              <w:rPr>
                <w:b/>
                <w:bCs/>
              </w:rPr>
              <w:t xml:space="preserve">M </w:t>
            </w:r>
            <w:proofErr w:type="spellStart"/>
            <w:r w:rsidRPr="00937E5C">
              <w:rPr>
                <w:b/>
                <w:bCs/>
              </w:rPr>
              <w:t>Aligned</w:t>
            </w:r>
            <w:proofErr w:type="spellEnd"/>
          </w:p>
        </w:tc>
        <w:tc>
          <w:tcPr>
            <w:tcW w:w="1276" w:type="dxa"/>
            <w:tcBorders>
              <w:top w:val="single" w:sz="2" w:space="0" w:color="auto"/>
              <w:left w:val="single" w:sz="2" w:space="0" w:color="auto"/>
              <w:bottom w:val="nil"/>
              <w:right w:val="single" w:sz="2" w:space="0" w:color="auto"/>
            </w:tcBorders>
            <w:shd w:val="clear" w:color="auto" w:fill="FFFFFF"/>
            <w:noWrap/>
            <w:vAlign w:val="center"/>
            <w:hideMark/>
          </w:tcPr>
          <w:p w14:paraId="69301CC4" w14:textId="77777777" w:rsidR="00937E5C" w:rsidRPr="00937E5C" w:rsidRDefault="00937E5C" w:rsidP="00126DDF">
            <w:pPr>
              <w:jc w:val="both"/>
              <w:rPr>
                <w:b/>
                <w:bCs/>
              </w:rPr>
            </w:pPr>
            <w:r w:rsidRPr="00937E5C">
              <w:rPr>
                <w:b/>
                <w:bCs/>
              </w:rPr>
              <w:t>CFR</w:t>
            </w:r>
          </w:p>
        </w:tc>
        <w:tc>
          <w:tcPr>
            <w:tcW w:w="1559" w:type="dxa"/>
            <w:tcBorders>
              <w:top w:val="single" w:sz="2" w:space="0" w:color="auto"/>
              <w:left w:val="single" w:sz="2" w:space="0" w:color="auto"/>
              <w:bottom w:val="nil"/>
              <w:right w:val="single" w:sz="2" w:space="0" w:color="auto"/>
            </w:tcBorders>
            <w:shd w:val="clear" w:color="auto" w:fill="FFFFFF"/>
            <w:noWrap/>
            <w:vAlign w:val="center"/>
            <w:hideMark/>
          </w:tcPr>
          <w:p w14:paraId="75CC7BD1" w14:textId="77777777" w:rsidR="00937E5C" w:rsidRPr="00937E5C" w:rsidRDefault="00937E5C" w:rsidP="00126DDF">
            <w:pPr>
              <w:jc w:val="both"/>
              <w:rPr>
                <w:b/>
                <w:bCs/>
              </w:rPr>
            </w:pPr>
            <w:r w:rsidRPr="00937E5C">
              <w:rPr>
                <w:b/>
                <w:bCs/>
              </w:rPr>
              <w:t>M Bias</w:t>
            </w:r>
          </w:p>
        </w:tc>
      </w:tr>
      <w:tr w:rsidR="00937E5C" w:rsidRPr="00937E5C" w14:paraId="12CCBAD3"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47BBC06C" w14:textId="77777777" w:rsidR="00937E5C" w:rsidRPr="00937E5C" w:rsidRDefault="00937E5C" w:rsidP="00126DDF">
            <w:pPr>
              <w:jc w:val="both"/>
              <w:rPr>
                <w:b/>
                <w:bCs/>
              </w:rPr>
            </w:pPr>
            <w:proofErr w:type="spellStart"/>
            <w:r w:rsidRPr="00937E5C">
              <w:rPr>
                <w:b/>
                <w:bCs/>
              </w:rPr>
              <w:t>BartSimpson_quant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08D1CA33"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346CDA2"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E4BA826"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377EB403" w14:textId="77777777" w:rsidR="00937E5C" w:rsidRPr="00937E5C" w:rsidRDefault="00937E5C" w:rsidP="00126DDF">
            <w:pPr>
              <w:jc w:val="both"/>
            </w:pPr>
            <w:r w:rsidRPr="00937E5C">
              <w:t>1.0</w:t>
            </w:r>
          </w:p>
        </w:tc>
      </w:tr>
      <w:tr w:rsidR="00937E5C" w:rsidRPr="00937E5C" w14:paraId="5BEAC3E0"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327DB10" w14:textId="77777777" w:rsidR="00937E5C" w:rsidRPr="00937E5C" w:rsidRDefault="00937E5C" w:rsidP="00126DDF">
            <w:pPr>
              <w:jc w:val="both"/>
              <w:rPr>
                <w:b/>
                <w:bCs/>
              </w:rPr>
            </w:pPr>
            <w:proofErr w:type="spellStart"/>
            <w:r w:rsidRPr="00937E5C">
              <w:rPr>
                <w:b/>
                <w:bCs/>
              </w:rPr>
              <w:t>MaggieSimpson_quant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3B0BC74F"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DE9FB03"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244F8FB6"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B4908FE" w14:textId="77777777" w:rsidR="00937E5C" w:rsidRPr="00937E5C" w:rsidRDefault="00937E5C" w:rsidP="00126DDF">
            <w:pPr>
              <w:jc w:val="both"/>
            </w:pPr>
            <w:r w:rsidRPr="00937E5C">
              <w:t>1.0</w:t>
            </w:r>
          </w:p>
        </w:tc>
      </w:tr>
      <w:tr w:rsidR="00937E5C" w:rsidRPr="00937E5C" w14:paraId="5C237FBB"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8694CC7" w14:textId="77777777" w:rsidR="00937E5C" w:rsidRPr="00937E5C" w:rsidRDefault="00937E5C" w:rsidP="00126DDF">
            <w:pPr>
              <w:jc w:val="both"/>
              <w:rPr>
                <w:b/>
                <w:bCs/>
              </w:rPr>
            </w:pPr>
            <w:proofErr w:type="spellStart"/>
            <w:r w:rsidRPr="00937E5C">
              <w:rPr>
                <w:b/>
                <w:bCs/>
              </w:rPr>
              <w:t>MargeSimpson_quant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AB3576B"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2D2D77A4"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453AB44"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8DE1DA1" w14:textId="77777777" w:rsidR="00937E5C" w:rsidRPr="00937E5C" w:rsidRDefault="00937E5C" w:rsidP="00126DDF">
            <w:pPr>
              <w:jc w:val="both"/>
            </w:pPr>
            <w:r w:rsidRPr="00937E5C">
              <w:t>1.0</w:t>
            </w:r>
          </w:p>
        </w:tc>
      </w:tr>
      <w:tr w:rsidR="00937E5C" w:rsidRPr="00937E5C" w14:paraId="1CC1F3E8"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8E80565" w14:textId="77777777" w:rsidR="00937E5C" w:rsidRPr="00937E5C" w:rsidRDefault="00937E5C" w:rsidP="00126DDF">
            <w:pPr>
              <w:jc w:val="both"/>
              <w:rPr>
                <w:b/>
                <w:bCs/>
              </w:rPr>
            </w:pPr>
            <w:proofErr w:type="spellStart"/>
            <w:r w:rsidRPr="00937E5C">
              <w:rPr>
                <w:b/>
                <w:bCs/>
              </w:rPr>
              <w:t>SelmaBouvier_quant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823D313"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71656281"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980F090"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299AE56" w14:textId="77777777" w:rsidR="00937E5C" w:rsidRPr="00937E5C" w:rsidRDefault="00937E5C" w:rsidP="00126DDF">
            <w:pPr>
              <w:jc w:val="both"/>
            </w:pPr>
            <w:r w:rsidRPr="00937E5C">
              <w:t>1.0</w:t>
            </w:r>
          </w:p>
        </w:tc>
      </w:tr>
      <w:tr w:rsidR="00937E5C" w:rsidRPr="00937E5C" w14:paraId="601216FE"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57B6DCE1" w14:textId="77777777" w:rsidR="00937E5C" w:rsidRPr="00937E5C" w:rsidRDefault="00937E5C" w:rsidP="00126DDF">
            <w:pPr>
              <w:jc w:val="both"/>
              <w:rPr>
                <w:b/>
                <w:bCs/>
              </w:rPr>
            </w:pPr>
            <w:proofErr w:type="spellStart"/>
            <w:r w:rsidRPr="00937E5C">
              <w:rPr>
                <w:b/>
                <w:bCs/>
              </w:rPr>
              <w:t>LisaSimpson_quant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D447629"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6675D53D"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18276E7"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15184B6B" w14:textId="77777777" w:rsidR="00937E5C" w:rsidRPr="00937E5C" w:rsidRDefault="00937E5C" w:rsidP="00126DDF">
            <w:pPr>
              <w:jc w:val="both"/>
            </w:pPr>
            <w:r w:rsidRPr="00937E5C">
              <w:t>1.0</w:t>
            </w:r>
          </w:p>
        </w:tc>
      </w:tr>
      <w:tr w:rsidR="00937E5C" w:rsidRPr="00937E5C" w14:paraId="13F2DCEF" w14:textId="77777777" w:rsidTr="008134E2">
        <w:trPr>
          <w:trHeight w:val="450"/>
        </w:trPr>
        <w:tc>
          <w:tcPr>
            <w:tcW w:w="2268" w:type="dxa"/>
            <w:tcBorders>
              <w:top w:val="single" w:sz="2" w:space="0" w:color="auto"/>
              <w:left w:val="nil"/>
              <w:bottom w:val="single" w:sz="6" w:space="0" w:color="auto"/>
              <w:right w:val="single" w:sz="2" w:space="0" w:color="auto"/>
            </w:tcBorders>
            <w:shd w:val="clear" w:color="auto" w:fill="FFFFFF"/>
            <w:noWrap/>
            <w:vAlign w:val="center"/>
            <w:hideMark/>
          </w:tcPr>
          <w:p w14:paraId="31090749" w14:textId="77777777" w:rsidR="00937E5C" w:rsidRPr="00937E5C" w:rsidRDefault="00937E5C" w:rsidP="00126DDF">
            <w:pPr>
              <w:jc w:val="both"/>
              <w:rPr>
                <w:b/>
                <w:bCs/>
              </w:rPr>
            </w:pPr>
            <w:proofErr w:type="spellStart"/>
            <w:r w:rsidRPr="00937E5C">
              <w:rPr>
                <w:b/>
                <w:bCs/>
              </w:rPr>
              <w:t>PattyBouvier_quant</w:t>
            </w:r>
            <w:proofErr w:type="spellEnd"/>
          </w:p>
        </w:tc>
        <w:tc>
          <w:tcPr>
            <w:tcW w:w="169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2693C68" w14:textId="77777777" w:rsidR="00937E5C" w:rsidRPr="00937E5C" w:rsidRDefault="00937E5C" w:rsidP="00126DDF">
            <w:pPr>
              <w:jc w:val="both"/>
            </w:pPr>
            <w:r w:rsidRPr="00937E5C">
              <w:t>100.0%</w:t>
            </w:r>
          </w:p>
        </w:tc>
        <w:tc>
          <w:tcPr>
            <w:tcW w:w="128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5A3F4728" w14:textId="77777777" w:rsidR="00937E5C" w:rsidRPr="00937E5C" w:rsidRDefault="00937E5C" w:rsidP="00126DDF">
            <w:pPr>
              <w:jc w:val="both"/>
            </w:pPr>
            <w:r w:rsidRPr="00937E5C">
              <w:t>0.0M</w:t>
            </w:r>
          </w:p>
        </w:tc>
        <w:tc>
          <w:tcPr>
            <w:tcW w:w="1276"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899C084" w14:textId="77777777" w:rsidR="00937E5C" w:rsidRPr="00937E5C" w:rsidRDefault="00937E5C" w:rsidP="00126DDF">
            <w:pPr>
              <w:jc w:val="both"/>
            </w:pPr>
            <w:r w:rsidRPr="00937E5C">
              <w:t>100.0%</w:t>
            </w:r>
          </w:p>
        </w:tc>
        <w:tc>
          <w:tcPr>
            <w:tcW w:w="1559"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0" w:type="dxa"/>
              <w:right w:w="0" w:type="dxa"/>
            </w:tcMar>
            <w:vAlign w:val="center"/>
            <w:hideMark/>
          </w:tcPr>
          <w:p w14:paraId="4D7B72E0" w14:textId="77777777" w:rsidR="00937E5C" w:rsidRPr="00937E5C" w:rsidRDefault="00937E5C" w:rsidP="00126DDF">
            <w:pPr>
              <w:jc w:val="both"/>
            </w:pPr>
            <w:r w:rsidRPr="00937E5C">
              <w:t>1.0</w:t>
            </w:r>
          </w:p>
        </w:tc>
      </w:tr>
    </w:tbl>
    <w:p w14:paraId="410F5A49" w14:textId="77777777" w:rsidR="00937E5C" w:rsidRDefault="00937E5C" w:rsidP="00126DDF">
      <w:pPr>
        <w:jc w:val="both"/>
      </w:pPr>
    </w:p>
    <w:p w14:paraId="09DED6BF" w14:textId="77777777" w:rsidR="00937E5C" w:rsidRPr="00937E5C" w:rsidRDefault="00937E5C" w:rsidP="00126DDF">
      <w:pPr>
        <w:jc w:val="both"/>
      </w:pPr>
    </w:p>
    <w:p w14:paraId="68E52823" w14:textId="5D76228C" w:rsidR="00C461FF" w:rsidRPr="00C461FF" w:rsidRDefault="00C461FF" w:rsidP="00126DDF">
      <w:pPr>
        <w:jc w:val="both"/>
      </w:pPr>
    </w:p>
    <w:p w14:paraId="6F9EB3D8" w14:textId="239AAC3D" w:rsidR="008134E2" w:rsidRDefault="008134E2" w:rsidP="00126DDF">
      <w:pPr>
        <w:jc w:val="both"/>
      </w:pPr>
      <w:r>
        <w:br w:type="page"/>
      </w:r>
    </w:p>
    <w:p w14:paraId="7FCE78CC" w14:textId="06702369" w:rsidR="00AF4747" w:rsidRPr="004E0748" w:rsidRDefault="004E0748" w:rsidP="00126DDF">
      <w:pPr>
        <w:jc w:val="both"/>
        <w:rPr>
          <w:b/>
          <w:bCs/>
          <w:sz w:val="24"/>
          <w:szCs w:val="24"/>
        </w:rPr>
      </w:pPr>
      <w:r w:rsidRPr="004E0748">
        <w:rPr>
          <w:b/>
          <w:bCs/>
          <w:sz w:val="24"/>
          <w:szCs w:val="24"/>
        </w:rPr>
        <w:lastRenderedPageBreak/>
        <w:t xml:space="preserve">3. </w:t>
      </w:r>
      <w:proofErr w:type="spellStart"/>
      <w:r w:rsidRPr="004E0748">
        <w:rPr>
          <w:b/>
          <w:bCs/>
          <w:sz w:val="24"/>
          <w:szCs w:val="24"/>
        </w:rPr>
        <w:t>Heatmap</w:t>
      </w:r>
      <w:proofErr w:type="spellEnd"/>
    </w:p>
    <w:p w14:paraId="0582AF55" w14:textId="5EE6A23A" w:rsidR="00E04789" w:rsidRPr="00E04789" w:rsidRDefault="00E04789" w:rsidP="00126DDF">
      <w:pPr>
        <w:jc w:val="both"/>
      </w:pPr>
      <w:r>
        <w:t xml:space="preserve">El </w:t>
      </w:r>
      <w:proofErr w:type="spellStart"/>
      <w:r>
        <w:t>heatmap</w:t>
      </w:r>
      <w:proofErr w:type="spellEnd"/>
      <w:r w:rsidRPr="00E04789">
        <w:t xml:space="preserve"> revela una clara separación de las muestras en dos grupos principales, los cuales corresponden mayoritariamente a la condición </w:t>
      </w:r>
      <w:r>
        <w:t>d</w:t>
      </w:r>
      <w:r w:rsidRPr="00E04789">
        <w:t>e los individuos</w:t>
      </w:r>
      <w:r>
        <w:t xml:space="preserve"> (</w:t>
      </w:r>
      <w:proofErr w:type="spellStart"/>
      <w:r>
        <w:t>normopeso</w:t>
      </w:r>
      <w:proofErr w:type="spellEnd"/>
      <w:r>
        <w:t>/obesidad2)</w:t>
      </w:r>
      <w:r w:rsidRPr="00E04789">
        <w:t xml:space="preserve">. Este patrón sugiere que el estado de </w:t>
      </w:r>
      <w:proofErr w:type="spellStart"/>
      <w:r w:rsidRPr="00E04789">
        <w:t>normopeso</w:t>
      </w:r>
      <w:proofErr w:type="spellEnd"/>
      <w:r w:rsidRPr="00E04789">
        <w:t xml:space="preserve"> u obesidad está asociado a diferencias consistentes en la expresión de los genes analizados.</w:t>
      </w:r>
    </w:p>
    <w:p w14:paraId="018CFC2A" w14:textId="77777777" w:rsidR="00E04789" w:rsidRPr="00E04789" w:rsidRDefault="00E04789" w:rsidP="00126DDF">
      <w:pPr>
        <w:jc w:val="both"/>
      </w:pPr>
      <w:r w:rsidRPr="00E04789">
        <w:t xml:space="preserve">En general, se observan patrones opuestos de expresión entre ambos grupos. Varios genes presentan niveles relativamente bajos de expresión en individuos </w:t>
      </w:r>
      <w:proofErr w:type="spellStart"/>
      <w:r w:rsidRPr="00E04789">
        <w:t>normopeso</w:t>
      </w:r>
      <w:proofErr w:type="spellEnd"/>
      <w:r w:rsidRPr="00E04789">
        <w:t xml:space="preserve"> y niveles elevados en aquellos con sobrepeso u obesidad tipo 2, mientras que otros muestran el comportamiento inverso. Estas diferencias indican la presencia de cambios coordinados en la regulación génica asociados al exceso de peso.</w:t>
      </w:r>
    </w:p>
    <w:p w14:paraId="18B29826" w14:textId="40CB0C03" w:rsidR="00E04789" w:rsidRPr="00E04789" w:rsidRDefault="00E04789" w:rsidP="00126DDF">
      <w:pPr>
        <w:jc w:val="both"/>
      </w:pPr>
      <w:r w:rsidRPr="00E04789">
        <w:t xml:space="preserve">Entre los genes con mayor expresión en el grupo con sobrepeso/obesidad se encuentran </w:t>
      </w:r>
      <w:r w:rsidRPr="00E04789">
        <w:rPr>
          <w:i/>
          <w:iCs/>
        </w:rPr>
        <w:t>MC4R</w:t>
      </w:r>
      <w:r w:rsidRPr="00E04789">
        <w:t xml:space="preserve">, </w:t>
      </w:r>
      <w:r w:rsidRPr="00E04789">
        <w:rPr>
          <w:i/>
          <w:iCs/>
        </w:rPr>
        <w:t>FTO</w:t>
      </w:r>
      <w:r w:rsidRPr="00E04789">
        <w:t xml:space="preserve">, </w:t>
      </w:r>
      <w:r w:rsidRPr="00E04789">
        <w:rPr>
          <w:i/>
          <w:iCs/>
        </w:rPr>
        <w:t>AGRP</w:t>
      </w:r>
      <w:r w:rsidRPr="00E04789">
        <w:t xml:space="preserve"> y </w:t>
      </w:r>
      <w:r w:rsidRPr="00E04789">
        <w:rPr>
          <w:i/>
          <w:iCs/>
        </w:rPr>
        <w:t>PPARG</w:t>
      </w:r>
      <w:r>
        <w:t xml:space="preserve">, genes que </w:t>
      </w:r>
      <w:r w:rsidRPr="00E04789">
        <w:t xml:space="preserve">controlan el balance energético y el almacenamiento de energía. Por el contrario, genes como </w:t>
      </w:r>
      <w:r w:rsidRPr="00E04789">
        <w:rPr>
          <w:i/>
          <w:iCs/>
        </w:rPr>
        <w:t>BDNF</w:t>
      </w:r>
      <w:r w:rsidRPr="00E04789">
        <w:t xml:space="preserve">, </w:t>
      </w:r>
      <w:r w:rsidRPr="00E04789">
        <w:rPr>
          <w:i/>
          <w:iCs/>
        </w:rPr>
        <w:t>NTRK2</w:t>
      </w:r>
      <w:r w:rsidRPr="00E04789">
        <w:t xml:space="preserve"> y </w:t>
      </w:r>
      <w:r w:rsidRPr="00E04789">
        <w:rPr>
          <w:i/>
          <w:iCs/>
        </w:rPr>
        <w:t>CADM2</w:t>
      </w:r>
      <w:r w:rsidRPr="00E04789">
        <w:t xml:space="preserve">, vinculados al control central del apetito y a la función neuronal, muestran una expresión relativamente más alta en el grupo </w:t>
      </w:r>
      <w:proofErr w:type="spellStart"/>
      <w:r w:rsidRPr="00E04789">
        <w:t>normopeso</w:t>
      </w:r>
      <w:proofErr w:type="spellEnd"/>
      <w:r w:rsidRPr="00E04789">
        <w:t>.</w:t>
      </w:r>
    </w:p>
    <w:p w14:paraId="1683A8D3" w14:textId="77777777" w:rsidR="00E04789" w:rsidRPr="00E04789" w:rsidRDefault="00E04789" w:rsidP="00126DDF">
      <w:pPr>
        <w:jc w:val="both"/>
      </w:pPr>
      <w:r w:rsidRPr="00E04789">
        <w:t xml:space="preserve">El agrupamiento de los genes indica además que estos no actúan de manera aislada, sino que forman conjuntos con patrones de expresión similares, lo que sugiere la participación de vías biológicas comunes. Las variables demográficas incluidas, como la edad y el sexo, no parecen ser los principales determinantes del patrón de agrupamiento observado, ya que la separación entre muestras está dominada por la condición de </w:t>
      </w:r>
      <w:proofErr w:type="spellStart"/>
      <w:r w:rsidRPr="00E04789">
        <w:t>normopeso</w:t>
      </w:r>
      <w:proofErr w:type="spellEnd"/>
      <w:r w:rsidRPr="00E04789">
        <w:t xml:space="preserve"> o sobrepeso/obesidad.</w:t>
      </w:r>
    </w:p>
    <w:p w14:paraId="53F05C6A" w14:textId="2164FD5A" w:rsidR="00E04789" w:rsidRDefault="00E04789" w:rsidP="00126DDF">
      <w:pPr>
        <w:jc w:val="both"/>
      </w:pPr>
      <w:r w:rsidRPr="00E04789">
        <w:t>En conjunto, estos resultados apoyan la idea de que la obesidad tipo 2 se asocia con cambios específicos y coordinados en la expresión génica</w:t>
      </w:r>
      <w:r>
        <w:t>.</w:t>
      </w:r>
    </w:p>
    <w:p w14:paraId="662B60B5" w14:textId="2929EE0D" w:rsidR="00E04789" w:rsidRDefault="00E04789" w:rsidP="00126DDF">
      <w:pPr>
        <w:jc w:val="both"/>
      </w:pPr>
      <w:r>
        <w:br w:type="page"/>
      </w:r>
    </w:p>
    <w:p w14:paraId="081E24DE" w14:textId="69376666" w:rsidR="00E04789" w:rsidRPr="00E04789" w:rsidRDefault="00E04789" w:rsidP="00126DDF">
      <w:pPr>
        <w:jc w:val="both"/>
        <w:rPr>
          <w:b/>
          <w:bCs/>
          <w:sz w:val="24"/>
          <w:szCs w:val="24"/>
        </w:rPr>
      </w:pPr>
      <w:r w:rsidRPr="00E04789">
        <w:rPr>
          <w:b/>
          <w:bCs/>
          <w:sz w:val="24"/>
          <w:szCs w:val="24"/>
        </w:rPr>
        <w:lastRenderedPageBreak/>
        <w:t xml:space="preserve">4. </w:t>
      </w:r>
      <w:proofErr w:type="spellStart"/>
      <w:r w:rsidRPr="00E04789">
        <w:rPr>
          <w:b/>
          <w:bCs/>
          <w:sz w:val="24"/>
          <w:szCs w:val="24"/>
        </w:rPr>
        <w:t>Volcanoplot</w:t>
      </w:r>
      <w:proofErr w:type="spellEnd"/>
    </w:p>
    <w:p w14:paraId="4796F308" w14:textId="0D604042" w:rsidR="00E04789" w:rsidRPr="00E04789" w:rsidRDefault="00E04789" w:rsidP="00126DDF">
      <w:pPr>
        <w:jc w:val="both"/>
      </w:pPr>
      <w:r w:rsidRPr="00E04789">
        <w:t xml:space="preserve">El gráfico muestra la relación entre el cambio en la expresión génica (log₂ </w:t>
      </w:r>
      <w:proofErr w:type="spellStart"/>
      <w:r w:rsidRPr="00E04789">
        <w:t>fold</w:t>
      </w:r>
      <w:proofErr w:type="spellEnd"/>
      <w:r w:rsidRPr="00E04789">
        <w:t xml:space="preserve"> </w:t>
      </w:r>
      <w:proofErr w:type="spellStart"/>
      <w:r w:rsidRPr="00E04789">
        <w:t>change</w:t>
      </w:r>
      <w:proofErr w:type="spellEnd"/>
      <w:r w:rsidRPr="00E04789">
        <w:t>) y la significancia estadística (–log₁₀ FDR) para los genes analizados. Este tipo de gráfico permite identificar de forma visual aquellos genes que presentan cambios de expresión relevantes y estadísticamente significativos entre los grupos comparados.</w:t>
      </w:r>
    </w:p>
    <w:p w14:paraId="04F661C3" w14:textId="77777777" w:rsidR="00E04789" w:rsidRPr="00E04789" w:rsidRDefault="00E04789" w:rsidP="00126DDF">
      <w:pPr>
        <w:jc w:val="both"/>
        <w:rPr>
          <w:i/>
          <w:iCs/>
          <w:color w:val="A6A6A6" w:themeColor="background1" w:themeShade="A6"/>
        </w:rPr>
      </w:pPr>
      <w:r w:rsidRPr="00E04789">
        <w:rPr>
          <w:i/>
          <w:iCs/>
          <w:color w:val="A6A6A6" w:themeColor="background1" w:themeShade="A6"/>
        </w:rPr>
        <w:t xml:space="preserve">En el eje horizontal se observa el grado de sobreexpresión o </w:t>
      </w:r>
      <w:proofErr w:type="spellStart"/>
      <w:r w:rsidRPr="00E04789">
        <w:rPr>
          <w:i/>
          <w:iCs/>
          <w:color w:val="A6A6A6" w:themeColor="background1" w:themeShade="A6"/>
        </w:rPr>
        <w:t>infraexpresión</w:t>
      </w:r>
      <w:proofErr w:type="spellEnd"/>
      <w:r w:rsidRPr="00E04789">
        <w:rPr>
          <w:i/>
          <w:iCs/>
          <w:color w:val="A6A6A6" w:themeColor="background1" w:themeShade="A6"/>
        </w:rPr>
        <w:t xml:space="preserve"> de los genes en el grupo con sobrepeso/obesidad tipo 2 en comparación con el grupo </w:t>
      </w:r>
      <w:proofErr w:type="spellStart"/>
      <w:r w:rsidRPr="00E04789">
        <w:rPr>
          <w:i/>
          <w:iCs/>
          <w:color w:val="A6A6A6" w:themeColor="background1" w:themeShade="A6"/>
        </w:rPr>
        <w:t>normopeso</w:t>
      </w:r>
      <w:proofErr w:type="spellEnd"/>
      <w:r w:rsidRPr="00E04789">
        <w:rPr>
          <w:i/>
          <w:iCs/>
          <w:color w:val="A6A6A6" w:themeColor="background1" w:themeShade="A6"/>
        </w:rPr>
        <w:t>, mientras que el eje vertical representa el nivel de significancia estadística. Los genes resaltados en color corresponden a aquellos que superan los umbrales establecidos tanto para cambio de expresión como para significancia.</w:t>
      </w:r>
    </w:p>
    <w:p w14:paraId="7B111FDF" w14:textId="414B7EE2" w:rsidR="00E04789" w:rsidRPr="00E04789" w:rsidRDefault="00E04789" w:rsidP="00126DDF">
      <w:pPr>
        <w:jc w:val="both"/>
      </w:pPr>
      <w:r w:rsidRPr="00E04789">
        <w:t xml:space="preserve">Los genes </w:t>
      </w:r>
      <w:proofErr w:type="spellStart"/>
      <w:r w:rsidRPr="00E04789">
        <w:rPr>
          <w:b/>
          <w:bCs/>
        </w:rPr>
        <w:t>sobreexpresados</w:t>
      </w:r>
      <w:proofErr w:type="spellEnd"/>
      <w:r w:rsidRPr="00E04789">
        <w:t xml:space="preserve"> en el grupo con sobrepeso/obesidad tipo 2, representados en rojo, incluyen </w:t>
      </w:r>
      <w:r w:rsidRPr="00E04789">
        <w:rPr>
          <w:i/>
          <w:iCs/>
        </w:rPr>
        <w:t>FTO</w:t>
      </w:r>
      <w:r w:rsidRPr="00E04789">
        <w:t xml:space="preserve">, </w:t>
      </w:r>
      <w:r w:rsidRPr="00E04789">
        <w:rPr>
          <w:i/>
          <w:iCs/>
        </w:rPr>
        <w:t>SIM1</w:t>
      </w:r>
      <w:r w:rsidRPr="00E04789">
        <w:t xml:space="preserve"> y </w:t>
      </w:r>
      <w:r w:rsidRPr="00E04789">
        <w:rPr>
          <w:i/>
          <w:iCs/>
        </w:rPr>
        <w:t>MC4R</w:t>
      </w:r>
      <w:r w:rsidRPr="00E04789">
        <w:t xml:space="preserve">, los cuales muestran valores positivos de log₂ </w:t>
      </w:r>
      <w:proofErr w:type="spellStart"/>
      <w:r w:rsidRPr="00E04789">
        <w:t>fold</w:t>
      </w:r>
      <w:proofErr w:type="spellEnd"/>
      <w:r w:rsidRPr="00E04789">
        <w:t xml:space="preserve"> </w:t>
      </w:r>
      <w:proofErr w:type="spellStart"/>
      <w:r w:rsidRPr="00E04789">
        <w:t>change</w:t>
      </w:r>
      <w:proofErr w:type="spellEnd"/>
      <w:r w:rsidRPr="00E04789">
        <w:t xml:space="preserve"> y alta significancia estadística. </w:t>
      </w:r>
      <w:r w:rsidR="00D11009">
        <w:t xml:space="preserve">Aparece también UBR2 que muestra mucha significancia estadística, pero su valor de expresión se encuentra un poco por debajo del límite de expresión génica para considerar-se sobreexpresión. Puede que se tenga que valorar modificar el limite. </w:t>
      </w:r>
    </w:p>
    <w:p w14:paraId="5B00AA64" w14:textId="5DB1FB51" w:rsidR="00E04789" w:rsidRPr="00E04789" w:rsidRDefault="00E04789" w:rsidP="00126DDF">
      <w:pPr>
        <w:jc w:val="both"/>
      </w:pPr>
      <w:r w:rsidRPr="00E04789">
        <w:t xml:space="preserve">Por otro lado, los genes </w:t>
      </w:r>
      <w:proofErr w:type="spellStart"/>
      <w:r w:rsidRPr="00E04789">
        <w:rPr>
          <w:b/>
          <w:bCs/>
        </w:rPr>
        <w:t>infraexpresados</w:t>
      </w:r>
      <w:proofErr w:type="spellEnd"/>
      <w:r w:rsidRPr="00E04789">
        <w:t xml:space="preserve"> en el grupo con sobrepeso/obesidad, mostrados en azul, incluyen </w:t>
      </w:r>
      <w:r w:rsidRPr="00E04789">
        <w:rPr>
          <w:i/>
          <w:iCs/>
        </w:rPr>
        <w:t>NTRK2</w:t>
      </w:r>
      <w:r w:rsidR="00D11009">
        <w:t xml:space="preserve"> y</w:t>
      </w:r>
      <w:r w:rsidRPr="00E04789">
        <w:t xml:space="preserve"> </w:t>
      </w:r>
      <w:r w:rsidRPr="00E04789">
        <w:rPr>
          <w:i/>
          <w:iCs/>
        </w:rPr>
        <w:t>LEP</w:t>
      </w:r>
      <w:r w:rsidRPr="00E04789">
        <w:t>. Estos genes presentan una menor expresión relativa en obesidad</w:t>
      </w:r>
      <w:r w:rsidR="00D11009">
        <w:t>. En este caso también observamos tres genes que tienen significación estadística, pero se encuentran por debajo del límite establecido para considerar disminución de la expresión</w:t>
      </w:r>
      <w:proofErr w:type="gramStart"/>
      <w:r w:rsidR="00D11009">
        <w:t xml:space="preserve">: </w:t>
      </w:r>
      <w:r w:rsidR="00D11009" w:rsidRPr="00E04789">
        <w:t>,</w:t>
      </w:r>
      <w:proofErr w:type="gramEnd"/>
      <w:r w:rsidR="00D11009" w:rsidRPr="00E04789">
        <w:t xml:space="preserve"> </w:t>
      </w:r>
      <w:r w:rsidR="00D11009" w:rsidRPr="00D11009">
        <w:rPr>
          <w:i/>
          <w:iCs/>
        </w:rPr>
        <w:t>UHMK1</w:t>
      </w:r>
      <w:r w:rsidR="00D11009">
        <w:t xml:space="preserve"> se encuentra en el límite y </w:t>
      </w:r>
      <w:r w:rsidR="00D11009" w:rsidRPr="00E04789">
        <w:rPr>
          <w:i/>
          <w:iCs/>
        </w:rPr>
        <w:t>BDNF</w:t>
      </w:r>
      <w:r w:rsidR="00D11009" w:rsidRPr="00E04789">
        <w:t xml:space="preserve"> y </w:t>
      </w:r>
      <w:r w:rsidR="00D11009" w:rsidRPr="00E04789">
        <w:rPr>
          <w:i/>
          <w:iCs/>
        </w:rPr>
        <w:t>CADM2</w:t>
      </w:r>
      <w:r w:rsidR="00D11009">
        <w:rPr>
          <w:i/>
          <w:iCs/>
        </w:rPr>
        <w:t xml:space="preserve"> </w:t>
      </w:r>
      <w:proofErr w:type="spellStart"/>
      <w:r w:rsidR="00D11009">
        <w:t>estan</w:t>
      </w:r>
      <w:proofErr w:type="spellEnd"/>
      <w:r w:rsidR="00D11009">
        <w:t xml:space="preserve"> muy cercanos.</w:t>
      </w:r>
    </w:p>
    <w:p w14:paraId="4395AC3F" w14:textId="77777777" w:rsidR="00E04789" w:rsidRPr="00E04789" w:rsidRDefault="00E04789" w:rsidP="00126DDF">
      <w:pPr>
        <w:jc w:val="both"/>
      </w:pPr>
      <w:r w:rsidRPr="00E04789">
        <w:t xml:space="preserve">En conjunto, el gráfico </w:t>
      </w:r>
      <w:proofErr w:type="spellStart"/>
      <w:r w:rsidRPr="00E04789">
        <w:t>volcano</w:t>
      </w:r>
      <w:proofErr w:type="spellEnd"/>
      <w:r w:rsidRPr="00E04789">
        <w:t xml:space="preserve"> evidencia un subconjunto de genes con cambios de expresión significativos entre </w:t>
      </w:r>
      <w:proofErr w:type="spellStart"/>
      <w:r w:rsidRPr="00E04789">
        <w:t>normopeso</w:t>
      </w:r>
      <w:proofErr w:type="spellEnd"/>
      <w:r w:rsidRPr="00E04789">
        <w:t xml:space="preserve"> y sobrepeso/obesidad tipo 2, destacando tanto genes activados como reprimidos en esta condición.</w:t>
      </w:r>
    </w:p>
    <w:p w14:paraId="489E2A96" w14:textId="77777777" w:rsidR="00E04789" w:rsidRPr="00E04789" w:rsidRDefault="00E04789" w:rsidP="00126DDF">
      <w:pPr>
        <w:jc w:val="both"/>
      </w:pPr>
    </w:p>
    <w:p w14:paraId="22B42626" w14:textId="10034538" w:rsidR="00D11009" w:rsidRDefault="00D11009" w:rsidP="00126DDF">
      <w:pPr>
        <w:jc w:val="both"/>
      </w:pPr>
      <w:r>
        <w:br w:type="page"/>
      </w:r>
    </w:p>
    <w:p w14:paraId="3FB56DB3" w14:textId="649BDF04" w:rsidR="00D11009" w:rsidRPr="00D11009" w:rsidRDefault="00D11009" w:rsidP="00126DDF">
      <w:pPr>
        <w:jc w:val="both"/>
        <w:rPr>
          <w:b/>
          <w:bCs/>
          <w:sz w:val="24"/>
          <w:szCs w:val="24"/>
        </w:rPr>
      </w:pPr>
      <w:r w:rsidRPr="00D11009">
        <w:rPr>
          <w:b/>
          <w:bCs/>
          <w:sz w:val="24"/>
          <w:szCs w:val="24"/>
        </w:rPr>
        <w:lastRenderedPageBreak/>
        <w:t>2. Gráfico MA</w:t>
      </w:r>
    </w:p>
    <w:p w14:paraId="2E3E3FB9" w14:textId="77777777" w:rsidR="00D11009" w:rsidRPr="00D11009" w:rsidRDefault="00D11009" w:rsidP="00126DDF">
      <w:pPr>
        <w:jc w:val="both"/>
      </w:pPr>
      <w:r w:rsidRPr="00D11009">
        <w:t>El gráfico MA representa la relación entre el nivel promedio de expresión génica (</w:t>
      </w:r>
      <w:proofErr w:type="spellStart"/>
      <w:r w:rsidRPr="00D11009">
        <w:t>average</w:t>
      </w:r>
      <w:proofErr w:type="spellEnd"/>
      <w:r w:rsidRPr="00D11009">
        <w:t xml:space="preserve"> log CPM) y el cambio de expresión (log-</w:t>
      </w:r>
      <w:proofErr w:type="spellStart"/>
      <w:r w:rsidRPr="00D11009">
        <w:t>fold</w:t>
      </w:r>
      <w:proofErr w:type="spellEnd"/>
      <w:r w:rsidRPr="00D11009">
        <w:t xml:space="preserve"> </w:t>
      </w:r>
      <w:proofErr w:type="spellStart"/>
      <w:r w:rsidRPr="00D11009">
        <w:t>change</w:t>
      </w:r>
      <w:proofErr w:type="spellEnd"/>
      <w:r w:rsidRPr="00D11009">
        <w:t>) entre los grupos analizados. Este enfoque permite evaluar si los cambios observados dependen del nivel basal de expresión de los genes.</w:t>
      </w:r>
    </w:p>
    <w:p w14:paraId="251F71ED" w14:textId="77777777" w:rsidR="00D11009" w:rsidRPr="00D11009" w:rsidRDefault="00D11009" w:rsidP="00126DDF">
      <w:pPr>
        <w:jc w:val="both"/>
      </w:pPr>
      <w:r w:rsidRPr="00D11009">
        <w:t>La mayoría de los genes se agrupan alrededor del valor cero en el eje vertical, lo que indica que no presentan cambios relevantes de expresión entre los grupos. Sin embargo, algunos genes se separan claramente de este patrón y muestran cambios consistentes y significativos.</w:t>
      </w:r>
    </w:p>
    <w:p w14:paraId="42626325" w14:textId="5F017B0F" w:rsidR="00D11009" w:rsidRPr="00D11009" w:rsidRDefault="00D11009" w:rsidP="00126DDF">
      <w:pPr>
        <w:jc w:val="both"/>
      </w:pPr>
      <w:r w:rsidRPr="00D11009">
        <w:t xml:space="preserve">Entre los genes </w:t>
      </w:r>
      <w:proofErr w:type="spellStart"/>
      <w:r w:rsidRPr="00D11009">
        <w:rPr>
          <w:b/>
          <w:bCs/>
        </w:rPr>
        <w:t>sobreexpresados</w:t>
      </w:r>
      <w:proofErr w:type="spellEnd"/>
      <w:r w:rsidRPr="00D11009">
        <w:t xml:space="preserve"> en el grupo con sobrepeso/obesidad tipo 2 destacan </w:t>
      </w:r>
      <w:r w:rsidRPr="00D11009">
        <w:rPr>
          <w:i/>
          <w:iCs/>
        </w:rPr>
        <w:t>FTO</w:t>
      </w:r>
      <w:r w:rsidRPr="00D11009">
        <w:t xml:space="preserve">, </w:t>
      </w:r>
      <w:r w:rsidRPr="00D11009">
        <w:rPr>
          <w:i/>
          <w:iCs/>
        </w:rPr>
        <w:t>SIM1</w:t>
      </w:r>
      <w:r w:rsidR="004137D6">
        <w:rPr>
          <w:i/>
          <w:iCs/>
        </w:rPr>
        <w:t xml:space="preserve"> </w:t>
      </w:r>
      <w:r w:rsidR="004137D6">
        <w:t>y</w:t>
      </w:r>
      <w:r w:rsidRPr="00D11009">
        <w:t xml:space="preserve"> </w:t>
      </w:r>
      <w:r w:rsidRPr="00D11009">
        <w:rPr>
          <w:i/>
          <w:iCs/>
        </w:rPr>
        <w:t>MC4R</w:t>
      </w:r>
      <w:r w:rsidRPr="00D11009">
        <w:t>, los cuales presentan valores positivos de log-</w:t>
      </w:r>
      <w:proofErr w:type="spellStart"/>
      <w:r w:rsidRPr="00D11009">
        <w:t>fold</w:t>
      </w:r>
      <w:proofErr w:type="spellEnd"/>
      <w:r w:rsidRPr="00D11009">
        <w:t xml:space="preserve"> </w:t>
      </w:r>
      <w:proofErr w:type="spellStart"/>
      <w:r w:rsidRPr="00D11009">
        <w:t>change</w:t>
      </w:r>
      <w:proofErr w:type="spellEnd"/>
      <w:r w:rsidRPr="00D11009">
        <w:t xml:space="preserve">, indicando un aumento de su expresión respecto al grupo </w:t>
      </w:r>
      <w:proofErr w:type="spellStart"/>
      <w:r w:rsidRPr="00D11009">
        <w:t>normopeso</w:t>
      </w:r>
      <w:proofErr w:type="spellEnd"/>
      <w:r w:rsidRPr="00D11009">
        <w:t>. Estos genes mantienen niveles de expresión promedio relativamente altos, lo que refuerza la robustez de los cambios observados.</w:t>
      </w:r>
      <w:r>
        <w:t xml:space="preserve"> En este caso también vemos que UBR2 se queda por debajo del límite establecido aún ser estadísticamente significativo.  </w:t>
      </w:r>
    </w:p>
    <w:p w14:paraId="5382584F" w14:textId="6C86FF85" w:rsidR="00D11009" w:rsidRPr="004137D6" w:rsidRDefault="00D11009" w:rsidP="00126DDF">
      <w:pPr>
        <w:jc w:val="both"/>
      </w:pPr>
      <w:r w:rsidRPr="00D11009">
        <w:t xml:space="preserve">En contraste, </w:t>
      </w:r>
      <w:r>
        <w:t xml:space="preserve">los </w:t>
      </w:r>
      <w:r w:rsidRPr="00D11009">
        <w:t xml:space="preserve">genes </w:t>
      </w:r>
      <w:r w:rsidRPr="00D11009">
        <w:rPr>
          <w:i/>
          <w:iCs/>
        </w:rPr>
        <w:t>NTRK2</w:t>
      </w:r>
      <w:r w:rsidR="004137D6">
        <w:rPr>
          <w:i/>
          <w:iCs/>
        </w:rPr>
        <w:t xml:space="preserve"> </w:t>
      </w:r>
      <w:r w:rsidR="004137D6">
        <w:t xml:space="preserve">y </w:t>
      </w:r>
      <w:r w:rsidRPr="00D11009">
        <w:rPr>
          <w:i/>
          <w:iCs/>
        </w:rPr>
        <w:t>LEP</w:t>
      </w:r>
      <w:r w:rsidR="004137D6">
        <w:t xml:space="preserve"> </w:t>
      </w:r>
      <w:r w:rsidRPr="00D11009">
        <w:t xml:space="preserve">aparecen como </w:t>
      </w:r>
      <w:proofErr w:type="spellStart"/>
      <w:r w:rsidRPr="00D11009">
        <w:rPr>
          <w:b/>
          <w:bCs/>
        </w:rPr>
        <w:t>infraexpresados</w:t>
      </w:r>
      <w:proofErr w:type="spellEnd"/>
      <w:r w:rsidRPr="00D11009">
        <w:t xml:space="preserve"> en el grupo con sobrepeso/obesidad, con valores negativos de log-</w:t>
      </w:r>
      <w:proofErr w:type="spellStart"/>
      <w:r w:rsidRPr="00D11009">
        <w:t>fold</w:t>
      </w:r>
      <w:proofErr w:type="spellEnd"/>
      <w:r w:rsidRPr="00D11009">
        <w:t xml:space="preserve"> </w:t>
      </w:r>
      <w:proofErr w:type="spellStart"/>
      <w:r w:rsidRPr="00D11009">
        <w:t>change</w:t>
      </w:r>
      <w:proofErr w:type="spellEnd"/>
      <w:r w:rsidRPr="00D11009">
        <w:t>. La disminución de su expresión es consistente a lo largo de diferentes niveles de expresión promedio, lo que sugiere que estos cambios no son producto de variaciones técnicas, sino de diferencias biológicas reales entre los grupos.</w:t>
      </w:r>
      <w:r w:rsidR="004137D6">
        <w:t xml:space="preserve"> </w:t>
      </w:r>
      <w:r w:rsidR="004137D6" w:rsidRPr="00D11009">
        <w:rPr>
          <w:i/>
          <w:iCs/>
        </w:rPr>
        <w:t>BDNF</w:t>
      </w:r>
      <w:r w:rsidR="004137D6" w:rsidRPr="00D11009">
        <w:t xml:space="preserve">, </w:t>
      </w:r>
      <w:r w:rsidR="004137D6" w:rsidRPr="00D11009">
        <w:rPr>
          <w:i/>
          <w:iCs/>
        </w:rPr>
        <w:t>CADM2</w:t>
      </w:r>
      <w:r w:rsidR="004137D6" w:rsidRPr="00D11009">
        <w:t xml:space="preserve"> y </w:t>
      </w:r>
      <w:r w:rsidR="004137D6" w:rsidRPr="00D11009">
        <w:rPr>
          <w:i/>
          <w:iCs/>
        </w:rPr>
        <w:t>UHMK1</w:t>
      </w:r>
      <w:r w:rsidR="004137D6">
        <w:rPr>
          <w:i/>
          <w:iCs/>
        </w:rPr>
        <w:t xml:space="preserve"> </w:t>
      </w:r>
      <w:proofErr w:type="spellStart"/>
      <w:r w:rsidR="004137D6">
        <w:t>tambien</w:t>
      </w:r>
      <w:proofErr w:type="spellEnd"/>
      <w:r w:rsidR="004137D6">
        <w:t xml:space="preserve"> se muestran significativos aún </w:t>
      </w:r>
      <w:r w:rsidR="004D4492">
        <w:t xml:space="preserve">no superar el umbral. </w:t>
      </w:r>
    </w:p>
    <w:p w14:paraId="6883334F" w14:textId="77777777" w:rsidR="00E04789" w:rsidRDefault="00E04789" w:rsidP="00126DDF">
      <w:pPr>
        <w:jc w:val="both"/>
      </w:pPr>
    </w:p>
    <w:sectPr w:rsidR="00E047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29E"/>
    <w:multiLevelType w:val="multilevel"/>
    <w:tmpl w:val="76B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91A03"/>
    <w:multiLevelType w:val="multilevel"/>
    <w:tmpl w:val="4B4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F0649"/>
    <w:multiLevelType w:val="multilevel"/>
    <w:tmpl w:val="858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12D55"/>
    <w:multiLevelType w:val="multilevel"/>
    <w:tmpl w:val="B16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002E4"/>
    <w:multiLevelType w:val="multilevel"/>
    <w:tmpl w:val="3DB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849B8"/>
    <w:multiLevelType w:val="multilevel"/>
    <w:tmpl w:val="B27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950FA"/>
    <w:multiLevelType w:val="multilevel"/>
    <w:tmpl w:val="780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65585"/>
    <w:multiLevelType w:val="multilevel"/>
    <w:tmpl w:val="0850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37677B"/>
    <w:multiLevelType w:val="multilevel"/>
    <w:tmpl w:val="2A4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455BE"/>
    <w:multiLevelType w:val="multilevel"/>
    <w:tmpl w:val="54A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64D53"/>
    <w:multiLevelType w:val="multilevel"/>
    <w:tmpl w:val="771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70DD5"/>
    <w:multiLevelType w:val="multilevel"/>
    <w:tmpl w:val="B41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9320F"/>
    <w:multiLevelType w:val="multilevel"/>
    <w:tmpl w:val="589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966BD"/>
    <w:multiLevelType w:val="multilevel"/>
    <w:tmpl w:val="7BB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67973"/>
    <w:multiLevelType w:val="multilevel"/>
    <w:tmpl w:val="EB3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C5B1C"/>
    <w:multiLevelType w:val="multilevel"/>
    <w:tmpl w:val="19D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783233">
    <w:abstractNumId w:val="9"/>
  </w:num>
  <w:num w:numId="2" w16cid:durableId="1225095798">
    <w:abstractNumId w:val="12"/>
  </w:num>
  <w:num w:numId="3" w16cid:durableId="811364292">
    <w:abstractNumId w:val="2"/>
  </w:num>
  <w:num w:numId="4" w16cid:durableId="1314529093">
    <w:abstractNumId w:val="3"/>
  </w:num>
  <w:num w:numId="5" w16cid:durableId="837233092">
    <w:abstractNumId w:val="14"/>
  </w:num>
  <w:num w:numId="6" w16cid:durableId="1805655662">
    <w:abstractNumId w:val="4"/>
  </w:num>
  <w:num w:numId="7" w16cid:durableId="1634284179">
    <w:abstractNumId w:val="10"/>
  </w:num>
  <w:num w:numId="8" w16cid:durableId="1211108822">
    <w:abstractNumId w:val="5"/>
  </w:num>
  <w:num w:numId="9" w16cid:durableId="1603101963">
    <w:abstractNumId w:val="13"/>
  </w:num>
  <w:num w:numId="10" w16cid:durableId="999893424">
    <w:abstractNumId w:val="6"/>
  </w:num>
  <w:num w:numId="11" w16cid:durableId="1427461201">
    <w:abstractNumId w:val="0"/>
  </w:num>
  <w:num w:numId="12" w16cid:durableId="249314922">
    <w:abstractNumId w:val="7"/>
  </w:num>
  <w:num w:numId="13" w16cid:durableId="1166284116">
    <w:abstractNumId w:val="11"/>
  </w:num>
  <w:num w:numId="14" w16cid:durableId="976951399">
    <w:abstractNumId w:val="1"/>
  </w:num>
  <w:num w:numId="15" w16cid:durableId="1296567782">
    <w:abstractNumId w:val="8"/>
  </w:num>
  <w:num w:numId="16" w16cid:durableId="243301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9E"/>
    <w:rsid w:val="00085EC1"/>
    <w:rsid w:val="00086E70"/>
    <w:rsid w:val="00126DDF"/>
    <w:rsid w:val="00276150"/>
    <w:rsid w:val="004137D6"/>
    <w:rsid w:val="00417189"/>
    <w:rsid w:val="004D4492"/>
    <w:rsid w:val="004E0748"/>
    <w:rsid w:val="00563989"/>
    <w:rsid w:val="005E5158"/>
    <w:rsid w:val="0069796D"/>
    <w:rsid w:val="006A5470"/>
    <w:rsid w:val="006D629E"/>
    <w:rsid w:val="006E6403"/>
    <w:rsid w:val="00736089"/>
    <w:rsid w:val="00810997"/>
    <w:rsid w:val="008134E2"/>
    <w:rsid w:val="00937E5C"/>
    <w:rsid w:val="009B1175"/>
    <w:rsid w:val="00A86DC1"/>
    <w:rsid w:val="00AF4747"/>
    <w:rsid w:val="00C461FF"/>
    <w:rsid w:val="00D11009"/>
    <w:rsid w:val="00DB4C5E"/>
    <w:rsid w:val="00E047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7F9A"/>
  <w15:chartTrackingRefBased/>
  <w15:docId w15:val="{40D88E1F-5F8B-4736-88DE-D5C53DB2B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6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629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629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629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62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2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2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2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29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629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629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629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629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62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2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2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29E"/>
    <w:rPr>
      <w:rFonts w:eastAsiaTheme="majorEastAsia" w:cstheme="majorBidi"/>
      <w:color w:val="272727" w:themeColor="text1" w:themeTint="D8"/>
    </w:rPr>
  </w:style>
  <w:style w:type="paragraph" w:styleId="Ttulo">
    <w:name w:val="Title"/>
    <w:basedOn w:val="Normal"/>
    <w:next w:val="Normal"/>
    <w:link w:val="TtuloCar"/>
    <w:uiPriority w:val="10"/>
    <w:qFormat/>
    <w:rsid w:val="006D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2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2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2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29E"/>
    <w:pPr>
      <w:spacing w:before="160"/>
      <w:jc w:val="center"/>
    </w:pPr>
    <w:rPr>
      <w:i/>
      <w:iCs/>
      <w:color w:val="404040" w:themeColor="text1" w:themeTint="BF"/>
    </w:rPr>
  </w:style>
  <w:style w:type="character" w:customStyle="1" w:styleId="CitaCar">
    <w:name w:val="Cita Car"/>
    <w:basedOn w:val="Fuentedeprrafopredeter"/>
    <w:link w:val="Cita"/>
    <w:uiPriority w:val="29"/>
    <w:rsid w:val="006D629E"/>
    <w:rPr>
      <w:i/>
      <w:iCs/>
      <w:color w:val="404040" w:themeColor="text1" w:themeTint="BF"/>
    </w:rPr>
  </w:style>
  <w:style w:type="paragraph" w:styleId="Prrafodelista">
    <w:name w:val="List Paragraph"/>
    <w:basedOn w:val="Normal"/>
    <w:uiPriority w:val="34"/>
    <w:qFormat/>
    <w:rsid w:val="006D629E"/>
    <w:pPr>
      <w:ind w:left="720"/>
      <w:contextualSpacing/>
    </w:pPr>
  </w:style>
  <w:style w:type="character" w:styleId="nfasisintenso">
    <w:name w:val="Intense Emphasis"/>
    <w:basedOn w:val="Fuentedeprrafopredeter"/>
    <w:uiPriority w:val="21"/>
    <w:qFormat/>
    <w:rsid w:val="006D629E"/>
    <w:rPr>
      <w:i/>
      <w:iCs/>
      <w:color w:val="2F5496" w:themeColor="accent1" w:themeShade="BF"/>
    </w:rPr>
  </w:style>
  <w:style w:type="paragraph" w:styleId="Citadestacada">
    <w:name w:val="Intense Quote"/>
    <w:basedOn w:val="Normal"/>
    <w:next w:val="Normal"/>
    <w:link w:val="CitadestacadaCar"/>
    <w:uiPriority w:val="30"/>
    <w:qFormat/>
    <w:rsid w:val="006D6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629E"/>
    <w:rPr>
      <w:i/>
      <w:iCs/>
      <w:color w:val="2F5496" w:themeColor="accent1" w:themeShade="BF"/>
    </w:rPr>
  </w:style>
  <w:style w:type="character" w:styleId="Referenciaintensa">
    <w:name w:val="Intense Reference"/>
    <w:basedOn w:val="Fuentedeprrafopredeter"/>
    <w:uiPriority w:val="32"/>
    <w:qFormat/>
    <w:rsid w:val="006D62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5</Pages>
  <Words>1341</Words>
  <Characters>7379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Pellissa</dc:creator>
  <cp:keywords/>
  <dc:description/>
  <cp:lastModifiedBy>Rita Pellissa</cp:lastModifiedBy>
  <cp:revision>4</cp:revision>
  <dcterms:created xsi:type="dcterms:W3CDTF">2025-12-19T23:54:00Z</dcterms:created>
  <dcterms:modified xsi:type="dcterms:W3CDTF">2025-12-20T15:42:00Z</dcterms:modified>
</cp:coreProperties>
</file>