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619B" w14:textId="241A771A" w:rsidR="005C4BE9" w:rsidRDefault="00E54A6A" w:rsidP="005C4BE9">
      <w:pPr>
        <w:rPr>
          <w:sz w:val="40"/>
          <w:szCs w:val="40"/>
        </w:rPr>
      </w:pPr>
      <w:r w:rsidRPr="00E54A6A">
        <w:rPr>
          <w:sz w:val="40"/>
          <w:szCs w:val="40"/>
        </w:rPr>
        <w:t>Actividad 3 (grupal): Anotación e interpretación de variantes</w:t>
      </w:r>
    </w:p>
    <w:p w14:paraId="46EAD537" w14:textId="77777777" w:rsidR="00DD75F9" w:rsidRDefault="00DD75F9" w:rsidP="007B115F">
      <w:pPr>
        <w:pStyle w:val="Vietaprimernivel"/>
      </w:pPr>
      <w:r w:rsidRPr="00DD75F9">
        <w:t xml:space="preserve">El </w:t>
      </w:r>
      <w:r w:rsidRPr="00DD75F9">
        <w:rPr>
          <w:b/>
          <w:bCs/>
        </w:rPr>
        <w:t>gen afectado</w:t>
      </w:r>
      <w:r w:rsidRPr="00DD75F9">
        <w:t xml:space="preserve"> y las </w:t>
      </w:r>
      <w:r w:rsidRPr="00DD75F9">
        <w:rPr>
          <w:b/>
          <w:bCs/>
        </w:rPr>
        <w:t>coordenadas</w:t>
      </w:r>
      <w:r w:rsidRPr="00DD75F9">
        <w:t xml:space="preserve"> asociadas a la/s variante/s detectada/s según hg38.</w:t>
      </w:r>
    </w:p>
    <w:p w14:paraId="10D5280A" w14:textId="154BFA96" w:rsidR="00E33949" w:rsidRDefault="00E33949" w:rsidP="00E33949">
      <w:pPr>
        <w:pStyle w:val="Vietaprimernivel"/>
        <w:numPr>
          <w:ilvl w:val="0"/>
          <w:numId w:val="0"/>
        </w:numPr>
        <w:ind w:left="284"/>
      </w:pPr>
      <w:r>
        <w:t>G</w:t>
      </w:r>
      <w:r w:rsidR="008F31A8">
        <w:t>en afectado</w:t>
      </w:r>
      <w:r>
        <w:t>:</w:t>
      </w:r>
      <w:r w:rsidR="008F31A8">
        <w:t xml:space="preserve"> TP53 (</w:t>
      </w:r>
      <w:r w:rsidR="008F31A8" w:rsidRPr="008F31A8">
        <w:t>ENSG00000141510</w:t>
      </w:r>
      <w:r w:rsidR="008F31A8">
        <w:t>)</w:t>
      </w:r>
    </w:p>
    <w:p w14:paraId="27936148" w14:textId="1DB520A5" w:rsidR="008F31A8" w:rsidRPr="00E33949" w:rsidRDefault="00E33949" w:rsidP="008F31A8">
      <w:pPr>
        <w:pStyle w:val="Vietaprimernivel"/>
        <w:numPr>
          <w:ilvl w:val="0"/>
          <w:numId w:val="0"/>
        </w:numPr>
        <w:ind w:left="284"/>
      </w:pPr>
      <w:r>
        <w:t xml:space="preserve">Variante </w:t>
      </w:r>
      <w:r w:rsidR="008F31A8" w:rsidRPr="00E33949">
        <w:rPr>
          <w:b/>
          <w:bCs/>
        </w:rPr>
        <w:t>chr17:7676154 G&gt;A</w:t>
      </w:r>
      <w:r>
        <w:rPr>
          <w:b/>
          <w:bCs/>
        </w:rPr>
        <w:t xml:space="preserve">, </w:t>
      </w:r>
      <w:r w:rsidRPr="00E33949">
        <w:t xml:space="preserve">localización: </w:t>
      </w:r>
      <w:r w:rsidRPr="00E33949">
        <w:t>chr17:7,676,154 (hg38)</w:t>
      </w:r>
    </w:p>
    <w:p w14:paraId="3A026DF5" w14:textId="77777777" w:rsidR="00DD75F9" w:rsidRPr="008F31A8" w:rsidRDefault="00DD75F9" w:rsidP="00DD75F9">
      <w:pPr>
        <w:rPr>
          <w:lang w:val="en-GB"/>
        </w:rPr>
      </w:pPr>
    </w:p>
    <w:p w14:paraId="0A4114B7" w14:textId="77777777" w:rsidR="00DD75F9" w:rsidRDefault="00DD75F9" w:rsidP="000628CC">
      <w:pPr>
        <w:pStyle w:val="Vietaprimernivel"/>
      </w:pPr>
      <w:r w:rsidRPr="00DD75F9">
        <w:rPr>
          <w:b/>
          <w:bCs/>
        </w:rPr>
        <w:t xml:space="preserve">La nomenclatura de la variante en c. </w:t>
      </w:r>
      <w:r w:rsidRPr="00DD75F9">
        <w:t xml:space="preserve">(indicando el </w:t>
      </w:r>
      <w:r w:rsidRPr="00DD75F9">
        <w:rPr>
          <w:b/>
          <w:bCs/>
        </w:rPr>
        <w:t>número del transcrito</w:t>
      </w:r>
      <w:r w:rsidRPr="00DD75F9">
        <w:t xml:space="preserve"> del NCBI o de </w:t>
      </w:r>
      <w:proofErr w:type="spellStart"/>
      <w:r w:rsidRPr="00DD75F9">
        <w:t>Ensembl</w:t>
      </w:r>
      <w:proofErr w:type="spellEnd"/>
      <w:r w:rsidRPr="00DD75F9">
        <w:t>),</w:t>
      </w:r>
      <w:r w:rsidRPr="00DD75F9">
        <w:rPr>
          <w:b/>
          <w:bCs/>
        </w:rPr>
        <w:t xml:space="preserve"> tipo</w:t>
      </w:r>
      <w:r w:rsidRPr="00DD75F9">
        <w:t xml:space="preserve"> de </w:t>
      </w:r>
      <w:r w:rsidRPr="00DD75F9">
        <w:rPr>
          <w:b/>
          <w:bCs/>
        </w:rPr>
        <w:t>variante</w:t>
      </w:r>
      <w:r w:rsidRPr="00DD75F9">
        <w:t xml:space="preserve"> identificada (SNP, deleción, inserción o </w:t>
      </w:r>
      <w:proofErr w:type="spellStart"/>
      <w:r w:rsidRPr="00DD75F9">
        <w:rPr>
          <w:i/>
          <w:iCs/>
        </w:rPr>
        <w:t>indel</w:t>
      </w:r>
      <w:proofErr w:type="spellEnd"/>
      <w:r w:rsidRPr="00DD75F9">
        <w:t xml:space="preserve">) y si el individuo es </w:t>
      </w:r>
      <w:r w:rsidRPr="00DD75F9">
        <w:rPr>
          <w:b/>
          <w:bCs/>
        </w:rPr>
        <w:t>homocigoto,</w:t>
      </w:r>
      <w:r w:rsidRPr="00DD75F9">
        <w:t xml:space="preserve"> </w:t>
      </w:r>
      <w:r w:rsidRPr="00DD75F9">
        <w:rPr>
          <w:b/>
          <w:bCs/>
        </w:rPr>
        <w:t xml:space="preserve">heterocigoto o </w:t>
      </w:r>
      <w:proofErr w:type="spellStart"/>
      <w:r w:rsidRPr="00DD75F9">
        <w:rPr>
          <w:b/>
          <w:bCs/>
        </w:rPr>
        <w:t>hemicigoto</w:t>
      </w:r>
      <w:proofErr w:type="spellEnd"/>
      <w:r w:rsidRPr="00DD75F9">
        <w:rPr>
          <w:b/>
          <w:bCs/>
        </w:rPr>
        <w:t xml:space="preserve">. </w:t>
      </w:r>
      <w:r w:rsidRPr="00DD75F9">
        <w:t>Además, debéis indicar la</w:t>
      </w:r>
      <w:r w:rsidRPr="00DD75F9">
        <w:rPr>
          <w:b/>
          <w:bCs/>
        </w:rPr>
        <w:t xml:space="preserve"> frecuencia alélica </w:t>
      </w:r>
      <w:r w:rsidRPr="00DD75F9">
        <w:t xml:space="preserve">de las variantes en la población en general (según </w:t>
      </w:r>
      <w:proofErr w:type="spellStart"/>
      <w:r w:rsidRPr="00DD75F9">
        <w:t>gnomAD</w:t>
      </w:r>
      <w:proofErr w:type="spellEnd"/>
      <w:r w:rsidRPr="00DD75F9">
        <w:t xml:space="preserve"> y Proyecto 1000 Genomas) y si se tratan de </w:t>
      </w:r>
      <w:r w:rsidRPr="00DD75F9">
        <w:rPr>
          <w:b/>
          <w:bCs/>
        </w:rPr>
        <w:t>mutaciones o polimorfismos</w:t>
      </w:r>
      <w:r w:rsidRPr="00DD75F9">
        <w:t>.</w:t>
      </w:r>
    </w:p>
    <w:p w14:paraId="7123A0E7" w14:textId="430B3E0B" w:rsidR="00E33949" w:rsidRDefault="00E33949" w:rsidP="00DF59EB">
      <w:pPr>
        <w:pStyle w:val="Vietaprimernivel"/>
        <w:numPr>
          <w:ilvl w:val="0"/>
          <w:numId w:val="0"/>
        </w:numPr>
        <w:ind w:left="284"/>
      </w:pPr>
      <w:r>
        <w:t xml:space="preserve">Usamos el </w:t>
      </w:r>
      <w:r w:rsidR="009E4540">
        <w:t>transcrito</w:t>
      </w:r>
      <w:r w:rsidR="009E4540" w:rsidRPr="009E4540">
        <w:t xml:space="preserve">: ENST00000269305.9 (MANE </w:t>
      </w:r>
      <w:proofErr w:type="spellStart"/>
      <w:r w:rsidR="009E4540" w:rsidRPr="009E4540">
        <w:t>Select</w:t>
      </w:r>
      <w:proofErr w:type="spellEnd"/>
      <w:r w:rsidR="009E4540" w:rsidRPr="009E4540">
        <w:t>; NM_000546.6)</w:t>
      </w:r>
      <w:r>
        <w:t xml:space="preserve"> </w:t>
      </w:r>
    </w:p>
    <w:p w14:paraId="369B9ABD" w14:textId="4D69EF69" w:rsidR="00DF59EB" w:rsidRDefault="00DF59EB" w:rsidP="00DF59EB">
      <w:pPr>
        <w:pStyle w:val="Vietaprimernivel"/>
        <w:numPr>
          <w:ilvl w:val="0"/>
          <w:numId w:val="0"/>
        </w:numPr>
        <w:ind w:left="284"/>
      </w:pPr>
      <w:r w:rsidRPr="00DF59EB">
        <w:t>Nomenclatura de la variante en c.</w:t>
      </w:r>
      <w:r>
        <w:t xml:space="preserve">: </w:t>
      </w:r>
      <w:r w:rsidRPr="00DF59EB">
        <w:t>ENST00000269305.</w:t>
      </w:r>
      <w:proofErr w:type="gramStart"/>
      <w:r w:rsidRPr="00DF59EB">
        <w:t>9:c.</w:t>
      </w:r>
      <w:proofErr w:type="gramEnd"/>
      <w:r w:rsidRPr="00DF59EB">
        <w:t>215C&gt;T</w:t>
      </w:r>
      <w:r w:rsidR="009E4540">
        <w:t xml:space="preserve"> </w:t>
      </w:r>
    </w:p>
    <w:p w14:paraId="4C45B9E7" w14:textId="512C4CBA" w:rsidR="00DF59EB" w:rsidRDefault="00DF59EB" w:rsidP="00DF59EB">
      <w:pPr>
        <w:pStyle w:val="Vietaprimernivel"/>
        <w:numPr>
          <w:ilvl w:val="0"/>
          <w:numId w:val="0"/>
        </w:numPr>
        <w:ind w:left="284"/>
      </w:pPr>
      <w:r>
        <w:t>Tipo de variante: SNP</w:t>
      </w:r>
      <w:r w:rsidR="00FA182F">
        <w:t xml:space="preserve"> (</w:t>
      </w:r>
      <w:r w:rsidR="00A206D8">
        <w:t>cambio de aminoácido</w:t>
      </w:r>
      <w:r w:rsidR="00A206D8">
        <w:t xml:space="preserve"> </w:t>
      </w:r>
      <w:r w:rsidR="00FA182F">
        <w:t xml:space="preserve">con efecto </w:t>
      </w:r>
      <w:proofErr w:type="spellStart"/>
      <w:r>
        <w:t>missen</w:t>
      </w:r>
      <w:r w:rsidR="00FA182F">
        <w:t>s</w:t>
      </w:r>
      <w:r>
        <w:t>e</w:t>
      </w:r>
      <w:proofErr w:type="spellEnd"/>
      <w:r w:rsidR="00FA182F">
        <w:t>)</w:t>
      </w:r>
    </w:p>
    <w:p w14:paraId="7BA534E3" w14:textId="48E5296E" w:rsidR="00DF59EB" w:rsidRDefault="00DF59EB" w:rsidP="00DF59EB">
      <w:pPr>
        <w:pStyle w:val="Vietaprimernivel"/>
        <w:numPr>
          <w:ilvl w:val="0"/>
          <w:numId w:val="0"/>
        </w:numPr>
        <w:ind w:left="284"/>
      </w:pPr>
      <w:r>
        <w:t>Heterocigoto (ya que solo se detecta un alelo alternativo)</w:t>
      </w:r>
    </w:p>
    <w:p w14:paraId="001BDFFA" w14:textId="4EF259FF" w:rsidR="00EC4085" w:rsidRDefault="00EC4085" w:rsidP="00DF59EB">
      <w:pPr>
        <w:pStyle w:val="Vietaprimernivel"/>
        <w:numPr>
          <w:ilvl w:val="0"/>
          <w:numId w:val="0"/>
        </w:numPr>
        <w:ind w:left="284"/>
      </w:pPr>
      <w:r w:rsidRPr="00EC4085">
        <w:t xml:space="preserve">La variante presenta una frecuencia baja en </w:t>
      </w:r>
      <w:proofErr w:type="spellStart"/>
      <w:r w:rsidRPr="00EC4085">
        <w:t>gnomAD</w:t>
      </w:r>
      <w:proofErr w:type="spellEnd"/>
      <w:r w:rsidRPr="00EC4085">
        <w:t xml:space="preserve"> </w:t>
      </w:r>
      <w:r>
        <w:t>(</w:t>
      </w:r>
      <w:r w:rsidRPr="00EC4085">
        <w:t>6,84E-04</w:t>
      </w:r>
      <w:r>
        <w:t>%)</w:t>
      </w:r>
      <w:r w:rsidRPr="00EC4085">
        <w:t>, lo que indica que se trata de un polimorfismo raro presente en la población general.</w:t>
      </w:r>
    </w:p>
    <w:p w14:paraId="7DC4799B" w14:textId="77777777" w:rsidR="00DD75F9" w:rsidRPr="00DD75F9" w:rsidRDefault="00DD75F9" w:rsidP="00DD75F9"/>
    <w:p w14:paraId="757A3A4C" w14:textId="77777777" w:rsidR="00DD75F9" w:rsidRDefault="00DD75F9" w:rsidP="004118A4">
      <w:pPr>
        <w:pStyle w:val="Vietaprimernivel"/>
      </w:pPr>
      <w:r w:rsidRPr="00DD75F9">
        <w:rPr>
          <w:b/>
          <w:bCs/>
        </w:rPr>
        <w:t xml:space="preserve">Proteína que codifica </w:t>
      </w:r>
      <w:r w:rsidRPr="00DD75F9">
        <w:t xml:space="preserve">dicho gen, </w:t>
      </w:r>
      <w:r w:rsidRPr="00DD75F9">
        <w:rPr>
          <w:b/>
          <w:bCs/>
        </w:rPr>
        <w:t>ID</w:t>
      </w:r>
      <w:r w:rsidRPr="00DD75F9">
        <w:t xml:space="preserve"> de la proteína (según NCBI o </w:t>
      </w:r>
      <w:proofErr w:type="spellStart"/>
      <w:r w:rsidRPr="00DD75F9">
        <w:t>Ensembl</w:t>
      </w:r>
      <w:proofErr w:type="spellEnd"/>
      <w:r w:rsidRPr="00DD75F9">
        <w:t xml:space="preserve">), la </w:t>
      </w:r>
      <w:r w:rsidRPr="00DD75F9">
        <w:rPr>
          <w:b/>
          <w:bCs/>
        </w:rPr>
        <w:t>nomenclatura de la variante en p.</w:t>
      </w:r>
      <w:r w:rsidRPr="00DD75F9">
        <w:t xml:space="preserve"> (indicando el identificador de la proteína según NCBI o </w:t>
      </w:r>
      <w:proofErr w:type="spellStart"/>
      <w:r w:rsidRPr="00DD75F9">
        <w:t>Ensembl</w:t>
      </w:r>
      <w:proofErr w:type="spellEnd"/>
      <w:r w:rsidRPr="00DD75F9">
        <w:t>) y el</w:t>
      </w:r>
      <w:r w:rsidRPr="00DD75F9">
        <w:rPr>
          <w:b/>
          <w:bCs/>
        </w:rPr>
        <w:t xml:space="preserve"> efecto</w:t>
      </w:r>
      <w:r w:rsidRPr="00DD75F9">
        <w:t xml:space="preserve"> </w:t>
      </w:r>
      <w:r w:rsidRPr="00DD75F9">
        <w:rPr>
          <w:b/>
          <w:bCs/>
        </w:rPr>
        <w:t>de la variante en la proteína</w:t>
      </w:r>
      <w:r w:rsidRPr="00DD75F9">
        <w:t xml:space="preserve"> (mutación sinónima, sin sentido, etc.).</w:t>
      </w:r>
    </w:p>
    <w:p w14:paraId="30238589" w14:textId="4540CE8D" w:rsidR="008561A9" w:rsidRDefault="008561A9" w:rsidP="008561A9">
      <w:pPr>
        <w:pStyle w:val="Vietaprimernivel"/>
        <w:numPr>
          <w:ilvl w:val="0"/>
          <w:numId w:val="0"/>
        </w:numPr>
        <w:ind w:left="284"/>
      </w:pPr>
      <w:r>
        <w:t>Proteína: P53 (</w:t>
      </w:r>
      <w:r>
        <w:t xml:space="preserve">Cellular tumor </w:t>
      </w:r>
      <w:proofErr w:type="spellStart"/>
      <w:r>
        <w:t>antigen</w:t>
      </w:r>
      <w:proofErr w:type="spellEnd"/>
      <w:r>
        <w:t xml:space="preserve"> p53</w:t>
      </w:r>
      <w:r>
        <w:t>)</w:t>
      </w:r>
    </w:p>
    <w:p w14:paraId="69998257" w14:textId="1A2C175D" w:rsidR="00FA182F" w:rsidRDefault="00A206D8" w:rsidP="00FA182F">
      <w:pPr>
        <w:pStyle w:val="Vietaprimernivel"/>
        <w:numPr>
          <w:ilvl w:val="0"/>
          <w:numId w:val="0"/>
        </w:numPr>
        <w:ind w:left="284"/>
      </w:pPr>
      <w:r w:rsidRPr="00DF59EB">
        <w:t xml:space="preserve">Nomenclatura de la variante en </w:t>
      </w:r>
      <w:r>
        <w:t>p</w:t>
      </w:r>
      <w:r w:rsidRPr="00DF59EB">
        <w:t>.</w:t>
      </w:r>
      <w:r w:rsidR="00EC4085">
        <w:t xml:space="preserve">: </w:t>
      </w:r>
      <w:r w:rsidR="00FA182F" w:rsidRPr="00FA182F">
        <w:t>ENSP00000269305.</w:t>
      </w:r>
      <w:proofErr w:type="gramStart"/>
      <w:r w:rsidR="00FA182F" w:rsidRPr="00FA182F">
        <w:t>4:p</w:t>
      </w:r>
      <w:proofErr w:type="gramEnd"/>
      <w:r w:rsidR="00FA182F" w:rsidRPr="00FA182F">
        <w:t>.Pro72Leu</w:t>
      </w:r>
      <w:r w:rsidR="00FA182F" w:rsidRPr="00FA182F">
        <w:t xml:space="preserve"> (posición: </w:t>
      </w:r>
      <w:r w:rsidR="00FA182F" w:rsidRPr="00FA182F">
        <w:t>72</w:t>
      </w:r>
      <w:r w:rsidR="00FA182F">
        <w:t xml:space="preserve">, aminoácidos: </w:t>
      </w:r>
      <w:r w:rsidR="00FA182F" w:rsidRPr="00FA182F">
        <w:t>P/L</w:t>
      </w:r>
      <w:r w:rsidR="00FA182F">
        <w:t xml:space="preserve">, codones: </w:t>
      </w:r>
      <w:proofErr w:type="spellStart"/>
      <w:r w:rsidR="00FA182F">
        <w:t>c</w:t>
      </w:r>
      <w:r w:rsidR="00FA182F" w:rsidRPr="00FA182F">
        <w:t>Cc</w:t>
      </w:r>
      <w:proofErr w:type="spellEnd"/>
      <w:r w:rsidR="00FA182F" w:rsidRPr="00FA182F">
        <w:t>/</w:t>
      </w:r>
      <w:proofErr w:type="spellStart"/>
      <w:r w:rsidR="00FA182F" w:rsidRPr="00FA182F">
        <w:t>cTc</w:t>
      </w:r>
      <w:proofErr w:type="spellEnd"/>
      <w:r w:rsidR="00FA182F">
        <w:t>)</w:t>
      </w:r>
    </w:p>
    <w:p w14:paraId="6B1A10E9" w14:textId="39F2DEFE" w:rsidR="00FA182F" w:rsidRPr="00FA182F" w:rsidRDefault="00FA182F" w:rsidP="00FA182F">
      <w:pPr>
        <w:pStyle w:val="Vietaprimernivel"/>
        <w:numPr>
          <w:ilvl w:val="0"/>
          <w:numId w:val="0"/>
        </w:numPr>
        <w:ind w:left="284"/>
      </w:pPr>
      <w:r>
        <w:t xml:space="preserve">Efecto de la variante: variante </w:t>
      </w:r>
      <w:proofErr w:type="spellStart"/>
      <w:r>
        <w:t>missense</w:t>
      </w:r>
      <w:proofErr w:type="spellEnd"/>
    </w:p>
    <w:p w14:paraId="6D1B73B6" w14:textId="77777777" w:rsidR="00DD75F9" w:rsidRPr="00DD75F9" w:rsidRDefault="00DD75F9" w:rsidP="00FA182F">
      <w:pPr>
        <w:contextualSpacing/>
      </w:pPr>
    </w:p>
    <w:p w14:paraId="513301EE" w14:textId="77777777" w:rsidR="00DD75F9" w:rsidRDefault="00DD75F9" w:rsidP="004118A4">
      <w:r w:rsidRPr="00DD75F9">
        <w:t xml:space="preserve">Para las </w:t>
      </w:r>
      <w:r w:rsidRPr="004118A4">
        <w:rPr>
          <w:b/>
          <w:bCs/>
        </w:rPr>
        <w:t>mutaciones de cambio de nucleótido,</w:t>
      </w:r>
      <w:r w:rsidRPr="00DD75F9">
        <w:rPr>
          <w:b/>
          <w:bCs/>
        </w:rPr>
        <w:t xml:space="preserve"> </w:t>
      </w:r>
      <w:r w:rsidRPr="00DD75F9">
        <w:t xml:space="preserve">indica la </w:t>
      </w:r>
      <w:r w:rsidRPr="00DD75F9">
        <w:rPr>
          <w:b/>
          <w:bCs/>
        </w:rPr>
        <w:t>predicción</w:t>
      </w:r>
      <w:r w:rsidRPr="00DD75F9">
        <w:t xml:space="preserve"> </w:t>
      </w:r>
      <w:r w:rsidRPr="00DD75F9">
        <w:rPr>
          <w:b/>
          <w:bCs/>
        </w:rPr>
        <w:t>de la patogenicidad</w:t>
      </w:r>
      <w:r w:rsidRPr="00DD75F9">
        <w:t xml:space="preserve"> de la variante en la proteína (SIFT y </w:t>
      </w:r>
      <w:proofErr w:type="spellStart"/>
      <w:r w:rsidRPr="00DD75F9">
        <w:t>PolyPhen</w:t>
      </w:r>
      <w:proofErr w:type="spellEnd"/>
      <w:r w:rsidRPr="00DD75F9">
        <w:t xml:space="preserve">). Además, realiza un </w:t>
      </w:r>
      <w:r w:rsidRPr="00DD75F9">
        <w:lastRenderedPageBreak/>
        <w:t xml:space="preserve">alineamiento de secuencias ortólogas con </w:t>
      </w:r>
      <w:hyperlink r:id="rId11" w:history="1">
        <w:proofErr w:type="spellStart"/>
        <w:r w:rsidRPr="00DD75F9">
          <w:rPr>
            <w:color w:val="0098CD" w:themeColor="hyperlink"/>
            <w:u w:val="single"/>
          </w:rPr>
          <w:t>Clustal</w:t>
        </w:r>
        <w:proofErr w:type="spellEnd"/>
        <w:r w:rsidRPr="00DD75F9">
          <w:rPr>
            <w:color w:val="0098CD" w:themeColor="hyperlink"/>
            <w:u w:val="single"/>
          </w:rPr>
          <w:t xml:space="preserve"> Omega</w:t>
        </w:r>
      </w:hyperlink>
      <w:r w:rsidRPr="00DD75F9">
        <w:t xml:space="preserve"> para evaluar la conservación del aminoácido afectado y consulta en la base de datos de </w:t>
      </w:r>
      <w:hyperlink r:id="rId12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el dominio de la proteína que se vería afectado. En el informe deberás incluir un apartado sobre interpretación de resultados indicando </w:t>
      </w:r>
      <w:r w:rsidRPr="00DD75F9">
        <w:rPr>
          <w:b/>
          <w:bCs/>
        </w:rPr>
        <w:t>si el aminoácido está conservado</w:t>
      </w:r>
      <w:r w:rsidRPr="00DD75F9">
        <w:t xml:space="preserve">, qué </w:t>
      </w:r>
      <w:r w:rsidRPr="00DD75F9">
        <w:rPr>
          <w:b/>
          <w:bCs/>
        </w:rPr>
        <w:t>dominio proteico se ve afectado</w:t>
      </w:r>
      <w:r w:rsidRPr="00DD75F9">
        <w:t xml:space="preserve"> y discute si predices alguna </w:t>
      </w:r>
      <w:r w:rsidRPr="00DD75F9">
        <w:rPr>
          <w:b/>
          <w:bCs/>
        </w:rPr>
        <w:t>consecuencia en la proteína</w:t>
      </w:r>
      <w:r w:rsidRPr="00DD75F9">
        <w:t>.</w:t>
      </w:r>
    </w:p>
    <w:p w14:paraId="786A16A8" w14:textId="3F0C9882" w:rsidR="00FA182F" w:rsidRDefault="00EE77FF" w:rsidP="004118A4">
      <w:r>
        <w:t xml:space="preserve">Predicción de </w:t>
      </w:r>
      <w:proofErr w:type="spellStart"/>
      <w:r>
        <w:t>patogeneidad</w:t>
      </w:r>
      <w:proofErr w:type="spellEnd"/>
      <w:r>
        <w:t>:</w:t>
      </w:r>
    </w:p>
    <w:p w14:paraId="507B0610" w14:textId="77777777" w:rsidR="00EE77FF" w:rsidRDefault="00EE77FF" w:rsidP="00EE77FF">
      <w:r>
        <w:t>SIFT</w:t>
      </w:r>
      <w:r>
        <w:t xml:space="preserve">: </w:t>
      </w:r>
      <w:proofErr w:type="spellStart"/>
      <w:proofErr w:type="gramStart"/>
      <w:r>
        <w:t>tolerated</w:t>
      </w:r>
      <w:proofErr w:type="spellEnd"/>
      <w:r>
        <w:t>(</w:t>
      </w:r>
      <w:proofErr w:type="gramEnd"/>
      <w:r>
        <w:t>0.13)</w:t>
      </w:r>
      <w:r>
        <w:tab/>
      </w:r>
    </w:p>
    <w:p w14:paraId="79286418" w14:textId="3485D93D" w:rsidR="00EE77FF" w:rsidRDefault="00EE77FF" w:rsidP="00EE77FF">
      <w:proofErr w:type="spellStart"/>
      <w:r>
        <w:t>PolyPhe</w:t>
      </w:r>
      <w:r>
        <w:t>n</w:t>
      </w:r>
      <w:proofErr w:type="spellEnd"/>
      <w:r>
        <w:t xml:space="preserve">: </w:t>
      </w:r>
      <w:proofErr w:type="spellStart"/>
      <w:proofErr w:type="gramStart"/>
      <w:r>
        <w:t>benign</w:t>
      </w:r>
      <w:proofErr w:type="spellEnd"/>
      <w:r>
        <w:t>(</w:t>
      </w:r>
      <w:proofErr w:type="gramEnd"/>
      <w:r>
        <w:t>0.003)</w:t>
      </w:r>
    </w:p>
    <w:p w14:paraId="27FF0D4F" w14:textId="067313D1" w:rsidR="00EC4085" w:rsidRPr="00DD75F9" w:rsidRDefault="00EC4085" w:rsidP="00EE77FF">
      <w:r>
        <w:t xml:space="preserve">Ambas predicciones sugieren </w:t>
      </w:r>
      <w:r w:rsidRPr="00EC4085">
        <w:t xml:space="preserve">que </w:t>
      </w:r>
      <w:r>
        <w:t xml:space="preserve">la variante </w:t>
      </w:r>
      <w:r w:rsidRPr="00EC4085">
        <w:t>no altera significativamente la función de la proteína.</w:t>
      </w:r>
    </w:p>
    <w:p w14:paraId="2CDDE832" w14:textId="46ABB25A" w:rsidR="00DD75F9" w:rsidRDefault="000D16A2" w:rsidP="00DD75F9">
      <w:r w:rsidRPr="000D16A2">
        <w:drawing>
          <wp:inline distT="0" distB="0" distL="0" distR="0" wp14:anchorId="43E61298" wp14:editId="0606EB42">
            <wp:extent cx="5219700" cy="1934845"/>
            <wp:effectExtent l="0" t="0" r="0" b="8255"/>
            <wp:docPr id="60906978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9788" name="Imagen 1" descr="Imagen que contien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8DAC" w14:textId="2AE2B495" w:rsidR="000D16A2" w:rsidRDefault="000D16A2" w:rsidP="00DD75F9">
      <w:r>
        <w:t>El residuo en la posición 72 no está conservado entre especies (humano, ratón, perro y chimpancé)</w:t>
      </w:r>
    </w:p>
    <w:p w14:paraId="613EF81A" w14:textId="010614BD" w:rsidR="005A78FA" w:rsidRDefault="00EF1A2F" w:rsidP="00DD75F9">
      <w:proofErr w:type="spellStart"/>
      <w:r>
        <w:t>UniProt</w:t>
      </w:r>
      <w:proofErr w:type="spellEnd"/>
      <w:r>
        <w:t xml:space="preserve"> </w:t>
      </w:r>
      <w:r w:rsidR="005A78FA">
        <w:t xml:space="preserve">Dominios: </w:t>
      </w:r>
    </w:p>
    <w:p w14:paraId="3F39FB61" w14:textId="555300A6" w:rsidR="005A78FA" w:rsidRPr="005A78FA" w:rsidRDefault="005A78FA" w:rsidP="005A78FA">
      <w:pPr>
        <w:pStyle w:val="Prrafodelista"/>
        <w:numPr>
          <w:ilvl w:val="0"/>
          <w:numId w:val="46"/>
        </w:numPr>
        <w:rPr>
          <w:lang w:val="en-GB"/>
        </w:rPr>
      </w:pPr>
      <w:r w:rsidRPr="005A78FA">
        <w:rPr>
          <w:lang w:val="en-GB"/>
        </w:rPr>
        <w:t>Region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1-83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Interaction with HRMT1L2</w:t>
      </w:r>
    </w:p>
    <w:p w14:paraId="6ED69D02" w14:textId="4F29B50A" w:rsidR="005A78FA" w:rsidRPr="005A78FA" w:rsidRDefault="005A78FA" w:rsidP="005A78FA">
      <w:pPr>
        <w:pStyle w:val="Prrafodelista"/>
        <w:numPr>
          <w:ilvl w:val="0"/>
          <w:numId w:val="46"/>
        </w:numPr>
        <w:rPr>
          <w:lang w:val="en-GB"/>
        </w:rPr>
      </w:pPr>
      <w:r w:rsidRPr="005A78FA">
        <w:rPr>
          <w:lang w:val="en-GB"/>
        </w:rPr>
        <w:t>Region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1-320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Interaction with CCAR2</w:t>
      </w:r>
    </w:p>
    <w:p w14:paraId="38A26FF4" w14:textId="356E882A" w:rsidR="005A78FA" w:rsidRPr="005A78FA" w:rsidRDefault="005A78FA" w:rsidP="005A78FA">
      <w:pPr>
        <w:pStyle w:val="Prrafodelista"/>
        <w:numPr>
          <w:ilvl w:val="0"/>
          <w:numId w:val="46"/>
        </w:numPr>
        <w:rPr>
          <w:lang w:val="en-GB"/>
        </w:rPr>
      </w:pPr>
      <w:r w:rsidRPr="005A78FA">
        <w:rPr>
          <w:lang w:val="en-GB"/>
        </w:rPr>
        <w:t>Region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50-96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Disordered</w:t>
      </w:r>
    </w:p>
    <w:p w14:paraId="61F809D6" w14:textId="5FF137A0" w:rsidR="005A78FA" w:rsidRPr="005A78FA" w:rsidRDefault="005A78FA" w:rsidP="005A78FA">
      <w:pPr>
        <w:pStyle w:val="Prrafodelista"/>
        <w:numPr>
          <w:ilvl w:val="0"/>
          <w:numId w:val="46"/>
        </w:numPr>
        <w:rPr>
          <w:lang w:val="en-GB"/>
        </w:rPr>
      </w:pPr>
      <w:r w:rsidRPr="005A78FA">
        <w:rPr>
          <w:lang w:val="en-GB"/>
        </w:rPr>
        <w:t>Region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66-110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Interaction with WWOX</w:t>
      </w:r>
      <w:r w:rsidRPr="005A78FA">
        <w:rPr>
          <w:lang w:val="en-GB"/>
        </w:rPr>
        <w:tab/>
      </w:r>
    </w:p>
    <w:p w14:paraId="528D56B5" w14:textId="4ED2CD00" w:rsidR="005A78FA" w:rsidRPr="005A78FA" w:rsidRDefault="005A78FA" w:rsidP="005A78FA">
      <w:pPr>
        <w:pStyle w:val="Prrafodelista"/>
        <w:numPr>
          <w:ilvl w:val="0"/>
          <w:numId w:val="46"/>
        </w:numPr>
        <w:rPr>
          <w:lang w:val="en-GB"/>
        </w:rPr>
      </w:pPr>
      <w:r w:rsidRPr="005A78FA">
        <w:rPr>
          <w:lang w:val="en-GB"/>
        </w:rPr>
        <w:t>Compositional bias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69-90</w:t>
      </w:r>
      <w:r w:rsidRPr="005A78FA">
        <w:rPr>
          <w:lang w:val="en-GB"/>
        </w:rPr>
        <w:t xml:space="preserve">, </w:t>
      </w:r>
      <w:r w:rsidRPr="005A78FA">
        <w:rPr>
          <w:lang w:val="en-GB"/>
        </w:rPr>
        <w:t>Pro residues</w:t>
      </w:r>
    </w:p>
    <w:p w14:paraId="710C9F82" w14:textId="2C190B7F" w:rsidR="00DD75F9" w:rsidRDefault="00EF1A2F" w:rsidP="00DD75F9">
      <w:r w:rsidRPr="00EF1A2F">
        <w:t xml:space="preserve">Según </w:t>
      </w:r>
      <w:proofErr w:type="spellStart"/>
      <w:r w:rsidRPr="00EF1A2F">
        <w:t>UniProt</w:t>
      </w:r>
      <w:proofErr w:type="spellEnd"/>
      <w:r w:rsidRPr="00EF1A2F">
        <w:t xml:space="preserve">, la variante </w:t>
      </w:r>
      <w:proofErr w:type="gramStart"/>
      <w:r w:rsidRPr="00EF1A2F">
        <w:t>p.Pro</w:t>
      </w:r>
      <w:proofErr w:type="gramEnd"/>
      <w:r w:rsidRPr="00EF1A2F">
        <w:t xml:space="preserve">72Leu se localiza en el extremo N-terminal de la proteína p53, en una región desordenada rica en residuos de prolina, implicada en interacciones proteína–proteína. No afecta a ninguno de los dominios funcionales principales de la proteína, como el dominio de unión al ADN o el dominio de </w:t>
      </w:r>
      <w:proofErr w:type="spellStart"/>
      <w:r w:rsidRPr="00EF1A2F">
        <w:lastRenderedPageBreak/>
        <w:t>tetramerización</w:t>
      </w:r>
      <w:proofErr w:type="spellEnd"/>
      <w:r w:rsidRPr="00EF1A2F">
        <w:t>, lo que sugiere que no compromete de forma directa su función transcripcional.</w:t>
      </w:r>
    </w:p>
    <w:p w14:paraId="2BC873EB" w14:textId="77777777" w:rsidR="00A206D8" w:rsidRPr="00DD75F9" w:rsidRDefault="00A206D8" w:rsidP="00DD75F9"/>
    <w:p w14:paraId="0C5020B0" w14:textId="77777777" w:rsidR="00DD75F9" w:rsidRDefault="00DD75F9" w:rsidP="00996A31">
      <w:pPr>
        <w:pStyle w:val="Vietaprimernivel"/>
      </w:pPr>
      <w:r w:rsidRPr="00DD75F9">
        <w:t xml:space="preserve">Para cualquier tipo de mutación, consultad en la base de datos </w:t>
      </w:r>
      <w:hyperlink r:id="rId14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si existe una asociación de las variantes detectadas con una </w:t>
      </w:r>
      <w:r w:rsidRPr="00DD75F9">
        <w:rPr>
          <w:b/>
          <w:bCs/>
        </w:rPr>
        <w:t>patología,</w:t>
      </w:r>
      <w:r w:rsidRPr="00DD75F9">
        <w:t xml:space="preserve"> el</w:t>
      </w:r>
      <w:r w:rsidRPr="00DD75F9">
        <w:rPr>
          <w:b/>
          <w:bCs/>
        </w:rPr>
        <w:t xml:space="preserve"> MIM de la patología </w:t>
      </w:r>
      <w:r w:rsidRPr="00DD75F9">
        <w:t>y el</w:t>
      </w:r>
      <w:r w:rsidRPr="00DD75F9">
        <w:rPr>
          <w:b/>
          <w:bCs/>
        </w:rPr>
        <w:t xml:space="preserve"> patrón de herencia</w:t>
      </w:r>
      <w:r w:rsidRPr="00DD75F9">
        <w:t>.</w:t>
      </w:r>
    </w:p>
    <w:p w14:paraId="3ABA7D76" w14:textId="688591A6" w:rsidR="000C0DE2" w:rsidRDefault="000C0DE2" w:rsidP="000C0DE2">
      <w:pPr>
        <w:pStyle w:val="Vietaprimernivel"/>
        <w:numPr>
          <w:ilvl w:val="0"/>
          <w:numId w:val="0"/>
        </w:numPr>
        <w:ind w:left="284"/>
      </w:pPr>
      <w:r>
        <w:t>OMIM:</w:t>
      </w:r>
    </w:p>
    <w:p w14:paraId="7A8096FA" w14:textId="4F5F3176" w:rsidR="005A78FA" w:rsidRDefault="000C0DE2" w:rsidP="005A78FA">
      <w:pPr>
        <w:pStyle w:val="Vietaprimernivel"/>
        <w:numPr>
          <w:ilvl w:val="0"/>
          <w:numId w:val="0"/>
        </w:numPr>
        <w:ind w:left="284"/>
      </w:pPr>
      <w:r w:rsidRPr="000C0DE2">
        <w:drawing>
          <wp:inline distT="0" distB="0" distL="0" distR="0" wp14:anchorId="11F955A2" wp14:editId="0AF26FEA">
            <wp:extent cx="4660900" cy="1853587"/>
            <wp:effectExtent l="0" t="0" r="6350" b="0"/>
            <wp:docPr id="70691065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10658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743" cy="185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6F28" w14:textId="14AB50B8" w:rsidR="00366CAC" w:rsidRDefault="00366CAC" w:rsidP="005A78FA">
      <w:pPr>
        <w:pStyle w:val="Vietaprimernivel"/>
        <w:numPr>
          <w:ilvl w:val="0"/>
          <w:numId w:val="0"/>
        </w:numPr>
        <w:ind w:left="284"/>
      </w:pPr>
      <w:r>
        <w:t>E</w:t>
      </w:r>
      <w:r w:rsidRPr="00366CAC">
        <w:t>l gen TP53 (MIM:191170) está asociado a múltiples patologías, entre ellas el síndrome de Li-</w:t>
      </w:r>
      <w:proofErr w:type="spellStart"/>
      <w:r w:rsidRPr="00366CAC">
        <w:t>Fraumeni</w:t>
      </w:r>
      <w:proofErr w:type="spellEnd"/>
      <w:r w:rsidRPr="00366CAC">
        <w:t xml:space="preserve"> (MIM:151623), de herencia autosómica dominante, así como diversos tipos de cáncer asociados a mutaciones somáticas. Sin embargo, estas asociaciones corresponden a mutaciones patogénicas específicas del gen y no implican necesariamente a la variante analizada.</w:t>
      </w:r>
    </w:p>
    <w:p w14:paraId="5A7379A5" w14:textId="77777777" w:rsidR="00366CAC" w:rsidRDefault="00366CAC" w:rsidP="005A78FA">
      <w:pPr>
        <w:pStyle w:val="Vietaprimernivel"/>
        <w:numPr>
          <w:ilvl w:val="0"/>
          <w:numId w:val="0"/>
        </w:numPr>
        <w:ind w:left="284"/>
      </w:pPr>
    </w:p>
    <w:p w14:paraId="70B0012F" w14:textId="0B4468C1" w:rsidR="000C0DE2" w:rsidRDefault="000C0DE2" w:rsidP="005A78FA">
      <w:pPr>
        <w:pStyle w:val="Vietaprimernivel"/>
        <w:numPr>
          <w:ilvl w:val="0"/>
          <w:numId w:val="0"/>
        </w:numPr>
        <w:ind w:left="284"/>
      </w:pPr>
      <w:proofErr w:type="spellStart"/>
      <w:r>
        <w:t>ClinVar</w:t>
      </w:r>
      <w:proofErr w:type="spellEnd"/>
      <w:r>
        <w:t>:</w:t>
      </w:r>
    </w:p>
    <w:p w14:paraId="72160089" w14:textId="1AA4E654" w:rsidR="000C0DE2" w:rsidRDefault="000C0DE2" w:rsidP="005A78FA">
      <w:pPr>
        <w:pStyle w:val="Vietaprimernivel"/>
        <w:numPr>
          <w:ilvl w:val="0"/>
          <w:numId w:val="0"/>
        </w:numPr>
        <w:ind w:left="284"/>
      </w:pPr>
      <w:r w:rsidRPr="000C0DE2">
        <w:drawing>
          <wp:inline distT="0" distB="0" distL="0" distR="0" wp14:anchorId="4324D345" wp14:editId="7376C14F">
            <wp:extent cx="4387850" cy="1525072"/>
            <wp:effectExtent l="0" t="0" r="0" b="0"/>
            <wp:docPr id="2032156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6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6670" cy="15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BDF6" w14:textId="1B35542C" w:rsidR="00460EF3" w:rsidRDefault="00460EF3" w:rsidP="005A78FA">
      <w:pPr>
        <w:pStyle w:val="Vietaprimernivel"/>
        <w:numPr>
          <w:ilvl w:val="0"/>
          <w:numId w:val="0"/>
        </w:numPr>
        <w:ind w:left="284"/>
      </w:pPr>
      <w:r w:rsidRPr="00460EF3">
        <w:drawing>
          <wp:inline distT="0" distB="0" distL="0" distR="0" wp14:anchorId="67EAE27D" wp14:editId="0935D201">
            <wp:extent cx="5219700" cy="947420"/>
            <wp:effectExtent l="0" t="0" r="0" b="5080"/>
            <wp:docPr id="164421315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3159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A71F" w14:textId="1B0E9E5D" w:rsidR="00DD75F9" w:rsidRDefault="00460EF3" w:rsidP="00366CAC">
      <w:pPr>
        <w:pStyle w:val="Vietaprimernivel"/>
        <w:numPr>
          <w:ilvl w:val="0"/>
          <w:numId w:val="0"/>
        </w:numPr>
        <w:ind w:left="284"/>
      </w:pPr>
      <w:r w:rsidRPr="00460EF3">
        <w:lastRenderedPageBreak/>
        <w:t xml:space="preserve">En la base de datos </w:t>
      </w:r>
      <w:proofErr w:type="spellStart"/>
      <w:r w:rsidRPr="00460EF3">
        <w:t>ClinVar</w:t>
      </w:r>
      <w:proofErr w:type="spellEnd"/>
      <w:r w:rsidRPr="00460EF3">
        <w:t xml:space="preserve">, la variante rs1042522 está clasificada como </w:t>
      </w:r>
      <w:proofErr w:type="spellStart"/>
      <w:r w:rsidRPr="00460EF3">
        <w:t>likely</w:t>
      </w:r>
      <w:proofErr w:type="spellEnd"/>
      <w:r w:rsidRPr="00460EF3">
        <w:t xml:space="preserve"> </w:t>
      </w:r>
      <w:proofErr w:type="spellStart"/>
      <w:r w:rsidRPr="00460EF3">
        <w:t>benign</w:t>
      </w:r>
      <w:proofErr w:type="spellEnd"/>
      <w:r w:rsidRPr="00460EF3">
        <w:t>, sin evidencia suficiente que la relacione con una patología hereditaria.</w:t>
      </w:r>
    </w:p>
    <w:p w14:paraId="7F6A9869" w14:textId="77777777" w:rsidR="00A206D8" w:rsidRPr="00DD75F9" w:rsidRDefault="00A206D8" w:rsidP="00366CAC">
      <w:pPr>
        <w:pStyle w:val="Vietaprimernivel"/>
        <w:numPr>
          <w:ilvl w:val="0"/>
          <w:numId w:val="0"/>
        </w:numPr>
        <w:ind w:left="284"/>
      </w:pPr>
    </w:p>
    <w:p w14:paraId="75D25063" w14:textId="77777777" w:rsidR="00DD75F9" w:rsidRDefault="00DD75F9" w:rsidP="00996A31">
      <w:pPr>
        <w:pStyle w:val="Vietaprimernivel"/>
      </w:pPr>
      <w:r w:rsidRPr="00DD75F9">
        <w:t xml:space="preserve">Analizad en </w:t>
      </w:r>
      <w:hyperlink r:id="rId18" w:history="1">
        <w:proofErr w:type="spellStart"/>
        <w:r w:rsidRPr="00DD75F9">
          <w:rPr>
            <w:color w:val="0098CD" w:themeColor="hyperlink"/>
            <w:u w:val="single"/>
          </w:rPr>
          <w:t>Kegg</w:t>
        </w:r>
        <w:proofErr w:type="spellEnd"/>
        <w:r w:rsidRPr="00DD75F9">
          <w:rPr>
            <w:color w:val="0098CD" w:themeColor="hyperlink"/>
            <w:u w:val="single"/>
          </w:rPr>
          <w:t xml:space="preserve"> </w:t>
        </w:r>
        <w:proofErr w:type="spellStart"/>
        <w:r w:rsidRPr="00DD75F9">
          <w:rPr>
            <w:color w:val="0098CD" w:themeColor="hyperlink"/>
            <w:u w:val="single"/>
          </w:rPr>
          <w:t>Pathways</w:t>
        </w:r>
        <w:proofErr w:type="spellEnd"/>
      </w:hyperlink>
      <w:r w:rsidRPr="00DD75F9">
        <w:t xml:space="preserve"> o en </w:t>
      </w:r>
      <w:hyperlink r:id="rId19" w:history="1">
        <w:proofErr w:type="spellStart"/>
        <w:r w:rsidRPr="00DD75F9">
          <w:rPr>
            <w:color w:val="0098CD" w:themeColor="hyperlink"/>
            <w:u w:val="single"/>
          </w:rPr>
          <w:t>Reactome</w:t>
        </w:r>
        <w:proofErr w:type="spellEnd"/>
      </w:hyperlink>
      <w:r w:rsidRPr="00DD75F9">
        <w:t xml:space="preserve"> la </w:t>
      </w:r>
      <w:r w:rsidRPr="00DD75F9">
        <w:rPr>
          <w:b/>
          <w:bCs/>
        </w:rPr>
        <w:t xml:space="preserve">ruta molecular </w:t>
      </w:r>
      <w:r w:rsidRPr="00DD75F9">
        <w:t xml:space="preserve">en la que está implicada dicho gen y consultad en bibliografía científica contrastada el </w:t>
      </w:r>
      <w:r w:rsidRPr="00DD75F9">
        <w:rPr>
          <w:b/>
          <w:bCs/>
        </w:rPr>
        <w:t>mecanismo molecular</w:t>
      </w:r>
      <w:r w:rsidRPr="00DD75F9">
        <w:t xml:space="preserve"> por el cuál las mutaciones en ese gen producen obesidad.</w:t>
      </w:r>
    </w:p>
    <w:p w14:paraId="00D9B08F" w14:textId="6580A9CC" w:rsidR="003E61D2" w:rsidRPr="00DD75F9" w:rsidRDefault="003E61D2" w:rsidP="003E61D2">
      <w:pPr>
        <w:pStyle w:val="Vietaprimernivel"/>
        <w:numPr>
          <w:ilvl w:val="0"/>
          <w:numId w:val="0"/>
        </w:numPr>
        <w:ind w:left="284"/>
      </w:pPr>
      <w:r w:rsidRPr="003E61D2">
        <w:drawing>
          <wp:inline distT="0" distB="0" distL="0" distR="0" wp14:anchorId="13FEDDEA" wp14:editId="5CC4B5C6">
            <wp:extent cx="3632200" cy="5982866"/>
            <wp:effectExtent l="0" t="0" r="6350" b="0"/>
            <wp:docPr id="43664847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8475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6347" cy="59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D72F" w14:textId="50C6CCCD" w:rsidR="00DD75F9" w:rsidRDefault="001A0AC5" w:rsidP="00DD75F9">
      <w:r w:rsidRPr="001A0AC5">
        <w:t xml:space="preserve">El análisis en KEGG </w:t>
      </w:r>
      <w:proofErr w:type="spellStart"/>
      <w:r w:rsidRPr="001A0AC5">
        <w:t>Pathways</w:t>
      </w:r>
      <w:proofErr w:type="spellEnd"/>
      <w:r w:rsidRPr="001A0AC5">
        <w:t xml:space="preserve"> muestra que TP53 (KO: K04451) participa principalmente en la ruta de señalización de p53 (hsa04115), así como en rutas relacionadas con el control del ciclo celular (hsa04110) y la apoptosis (hsa04210). Estas vías regulan procesos clave como la respuesta al daño en el ADN, la detención </w:t>
      </w:r>
      <w:r w:rsidRPr="001A0AC5">
        <w:lastRenderedPageBreak/>
        <w:t xml:space="preserve">del </w:t>
      </w:r>
      <w:r w:rsidRPr="001A0AC5">
        <w:t>ciclo y la muerte celulares</w:t>
      </w:r>
      <w:r w:rsidRPr="001A0AC5">
        <w:t xml:space="preserve"> programada.</w:t>
      </w:r>
      <w:r>
        <w:t xml:space="preserve"> </w:t>
      </w:r>
      <w:r w:rsidRPr="001A0AC5">
        <w:t xml:space="preserve">La vía de señalización de p53 también se ha relacionado con la regulación del metabolismo celular y la homeostasis energética a través de su interacción con otras rutas como PI3K-Akt. No obstante, la variante </w:t>
      </w:r>
      <w:proofErr w:type="gramStart"/>
      <w:r w:rsidRPr="001A0AC5">
        <w:t>p.Pro</w:t>
      </w:r>
      <w:proofErr w:type="gramEnd"/>
      <w:r w:rsidRPr="001A0AC5">
        <w:t>72Leu analizada no presenta evidencia de un impacto funcional significativo sobre estas rutas, por lo que no se puede establecer una asociación directa con obesidad u otras alteraciones metabólicas.</w:t>
      </w:r>
    </w:p>
    <w:p w14:paraId="1623E563" w14:textId="017E4F9D" w:rsidR="00E64B3C" w:rsidRDefault="00E64B3C" w:rsidP="00A206D8"/>
    <w:sectPr w:rsidR="00E64B3C" w:rsidSect="006008F8">
      <w:headerReference w:type="default" r:id="rId21"/>
      <w:footerReference w:type="default" r:id="rId2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440A" w14:textId="77777777" w:rsidR="00FF28AA" w:rsidRDefault="00FF28AA" w:rsidP="00C50246">
      <w:pPr>
        <w:spacing w:line="240" w:lineRule="auto"/>
      </w:pPr>
      <w:r>
        <w:separator/>
      </w:r>
    </w:p>
  </w:endnote>
  <w:endnote w:type="continuationSeparator" w:id="0">
    <w:p w14:paraId="05ADB93C" w14:textId="77777777" w:rsidR="00FF28AA" w:rsidRDefault="00FF28A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8A8AE" w14:textId="77777777" w:rsidR="00FF28AA" w:rsidRDefault="00FF28AA" w:rsidP="00C50246">
      <w:pPr>
        <w:spacing w:line="240" w:lineRule="auto"/>
      </w:pPr>
      <w:r>
        <w:separator/>
      </w:r>
    </w:p>
  </w:footnote>
  <w:footnote w:type="continuationSeparator" w:id="0">
    <w:p w14:paraId="2A45DF43" w14:textId="77777777" w:rsidR="00FF28AA" w:rsidRDefault="00FF28A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6A7AB233" w:rsidR="005C4BE9" w:rsidRDefault="00D65832">
    <w:r w:rsidRPr="00D65832">
      <w:t>Genética clínica y de poblaciones</w:t>
    </w:r>
  </w:p>
  <w:p w14:paraId="7ED7638B" w14:textId="77777777" w:rsidR="00D65832" w:rsidRDefault="00D658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1A3279A"/>
    <w:multiLevelType w:val="hybridMultilevel"/>
    <w:tmpl w:val="1D84953A"/>
    <w:lvl w:ilvl="0" w:tplc="D04699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5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6"/>
  </w:num>
  <w:num w:numId="2" w16cid:durableId="1640381075">
    <w:abstractNumId w:val="33"/>
  </w:num>
  <w:num w:numId="3" w16cid:durableId="773207880">
    <w:abstractNumId w:val="22"/>
  </w:num>
  <w:num w:numId="4" w16cid:durableId="1854493856">
    <w:abstractNumId w:val="23"/>
  </w:num>
  <w:num w:numId="5" w16cid:durableId="846485646">
    <w:abstractNumId w:val="17"/>
  </w:num>
  <w:num w:numId="6" w16cid:durableId="1502506488">
    <w:abstractNumId w:val="24"/>
  </w:num>
  <w:num w:numId="7" w16cid:durableId="1028332772">
    <w:abstractNumId w:val="35"/>
  </w:num>
  <w:num w:numId="8" w16cid:durableId="1349411567">
    <w:abstractNumId w:val="37"/>
  </w:num>
  <w:num w:numId="9" w16cid:durableId="2014604679">
    <w:abstractNumId w:val="40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3"/>
  </w:num>
  <w:num w:numId="12" w16cid:durableId="1378243311">
    <w:abstractNumId w:val="25"/>
  </w:num>
  <w:num w:numId="13" w16cid:durableId="1412653426">
    <w:abstractNumId w:val="42"/>
  </w:num>
  <w:num w:numId="14" w16cid:durableId="1649364269">
    <w:abstractNumId w:val="32"/>
  </w:num>
  <w:num w:numId="15" w16cid:durableId="1684815289">
    <w:abstractNumId w:val="16"/>
  </w:num>
  <w:num w:numId="16" w16cid:durableId="1119255176">
    <w:abstractNumId w:val="29"/>
  </w:num>
  <w:num w:numId="17" w16cid:durableId="635598305">
    <w:abstractNumId w:val="27"/>
  </w:num>
  <w:num w:numId="18" w16cid:durableId="1881357934">
    <w:abstractNumId w:val="12"/>
  </w:num>
  <w:num w:numId="19" w16cid:durableId="1469518469">
    <w:abstractNumId w:val="39"/>
  </w:num>
  <w:num w:numId="20" w16cid:durableId="1090154984">
    <w:abstractNumId w:val="31"/>
  </w:num>
  <w:num w:numId="21" w16cid:durableId="1501847199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30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8"/>
  </w:num>
  <w:num w:numId="39" w16cid:durableId="612131593">
    <w:abstractNumId w:val="13"/>
  </w:num>
  <w:num w:numId="40" w16cid:durableId="2073650289">
    <w:abstractNumId w:val="21"/>
  </w:num>
  <w:num w:numId="41" w16cid:durableId="399135223">
    <w:abstractNumId w:val="20"/>
  </w:num>
  <w:num w:numId="42" w16cid:durableId="1338925653">
    <w:abstractNumId w:val="28"/>
  </w:num>
  <w:num w:numId="43" w16cid:durableId="1786776746">
    <w:abstractNumId w:val="41"/>
  </w:num>
  <w:num w:numId="44" w16cid:durableId="271400051">
    <w:abstractNumId w:val="18"/>
  </w:num>
  <w:num w:numId="45" w16cid:durableId="392120499">
    <w:abstractNumId w:val="26"/>
  </w:num>
  <w:num w:numId="46" w16cid:durableId="737703272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2974"/>
    <w:rsid w:val="00054229"/>
    <w:rsid w:val="00055C12"/>
    <w:rsid w:val="00056A2A"/>
    <w:rsid w:val="0005762B"/>
    <w:rsid w:val="00061750"/>
    <w:rsid w:val="00061BDC"/>
    <w:rsid w:val="000628C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B6012"/>
    <w:rsid w:val="000C0DE2"/>
    <w:rsid w:val="000C3AF0"/>
    <w:rsid w:val="000C4BFF"/>
    <w:rsid w:val="000C4D94"/>
    <w:rsid w:val="000C68D7"/>
    <w:rsid w:val="000D16A2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36C4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0AC5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16EDD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66CAC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1D2"/>
    <w:rsid w:val="003E6E97"/>
    <w:rsid w:val="003F24D7"/>
    <w:rsid w:val="003F41A7"/>
    <w:rsid w:val="004118A4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57E0B"/>
    <w:rsid w:val="00460EF3"/>
    <w:rsid w:val="00466671"/>
    <w:rsid w:val="0046796B"/>
    <w:rsid w:val="0047123B"/>
    <w:rsid w:val="00471424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A78FA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16F01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15F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561A9"/>
    <w:rsid w:val="008600A0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8F31A8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3CD"/>
    <w:rsid w:val="00976D1B"/>
    <w:rsid w:val="0098228A"/>
    <w:rsid w:val="009848BD"/>
    <w:rsid w:val="00987B51"/>
    <w:rsid w:val="00990F55"/>
    <w:rsid w:val="009959A6"/>
    <w:rsid w:val="00996A31"/>
    <w:rsid w:val="009A1065"/>
    <w:rsid w:val="009A1CF1"/>
    <w:rsid w:val="009A2458"/>
    <w:rsid w:val="009A3C7C"/>
    <w:rsid w:val="009A4CF7"/>
    <w:rsid w:val="009B0764"/>
    <w:rsid w:val="009B417C"/>
    <w:rsid w:val="009B61E5"/>
    <w:rsid w:val="009B66A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4540"/>
    <w:rsid w:val="009E76FD"/>
    <w:rsid w:val="009F18E9"/>
    <w:rsid w:val="009F7B85"/>
    <w:rsid w:val="00A03B7E"/>
    <w:rsid w:val="00A17600"/>
    <w:rsid w:val="00A206D8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8750C"/>
    <w:rsid w:val="00A9140C"/>
    <w:rsid w:val="00A944F6"/>
    <w:rsid w:val="00A969BA"/>
    <w:rsid w:val="00A976B2"/>
    <w:rsid w:val="00AA3D8B"/>
    <w:rsid w:val="00AB2DE2"/>
    <w:rsid w:val="00AB5194"/>
    <w:rsid w:val="00AC4102"/>
    <w:rsid w:val="00AC51BD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5A16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B730E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5832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5F9"/>
    <w:rsid w:val="00DD7F96"/>
    <w:rsid w:val="00DE1440"/>
    <w:rsid w:val="00DE4211"/>
    <w:rsid w:val="00DE4822"/>
    <w:rsid w:val="00DF0BC0"/>
    <w:rsid w:val="00DF30F7"/>
    <w:rsid w:val="00DF4F22"/>
    <w:rsid w:val="00DF59EB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3949"/>
    <w:rsid w:val="00E46BF3"/>
    <w:rsid w:val="00E50BF5"/>
    <w:rsid w:val="00E50F48"/>
    <w:rsid w:val="00E51CEE"/>
    <w:rsid w:val="00E54A6A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08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E77FF"/>
    <w:rsid w:val="00EF1A2F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15A3"/>
    <w:rsid w:val="00F4274A"/>
    <w:rsid w:val="00F46137"/>
    <w:rsid w:val="00F46F3D"/>
    <w:rsid w:val="00F5055C"/>
    <w:rsid w:val="00F51132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182F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0FF28A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https://www.genome.jp/kegg/pathway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uniprot.org/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bi.ac.uk/Tools/msa/clustalo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reactome.org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mim.org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CB60F5D7-2AF4-4435-B21C-2D16F109A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tamara noya mosquera</cp:lastModifiedBy>
  <cp:revision>2</cp:revision>
  <cp:lastPrinted>2017-11-10T07:47:00Z</cp:lastPrinted>
  <dcterms:created xsi:type="dcterms:W3CDTF">2026-01-03T00:06:00Z</dcterms:created>
  <dcterms:modified xsi:type="dcterms:W3CDTF">2026-01-03T00:06:00Z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